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57BA">
      <w:pPr>
        <w:pStyle w:val="11"/>
        <w:widowControl/>
        <w:shd w:val="clear" w:color="auto" w:fill="FDFDFE"/>
        <w:spacing w:line="560" w:lineRule="exact"/>
        <w:ind w:firstLine="482"/>
        <w:jc w:val="center"/>
        <w:rPr>
          <w:rFonts w:hint="eastAsia" w:ascii="方正小标宋_GBK" w:hAnsi="方正小标宋_GBK" w:eastAsia="方正小标宋_GBK"/>
          <w:sz w:val="44"/>
          <w:szCs w:val="44"/>
          <w:shd w:val="clear" w:color="auto" w:fill="FDFDF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DFDFE"/>
          <w:lang w:val="en-US" w:eastAsia="zh-CN"/>
        </w:rPr>
        <w:t>衡阳市消防救援支队火调器材装备采购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DFDFE"/>
        </w:rPr>
        <w:t>项目竞价文件</w:t>
      </w:r>
    </w:p>
    <w:p w14:paraId="42DCF586">
      <w:pPr>
        <w:pStyle w:val="11"/>
        <w:widowControl/>
        <w:shd w:val="clear" w:color="auto" w:fill="FDFDFE"/>
        <w:spacing w:line="560" w:lineRule="exact"/>
        <w:ind w:firstLine="482"/>
        <w:jc w:val="center"/>
        <w:rPr>
          <w:rFonts w:ascii="方正小标宋_GBK" w:hAnsi="方正小标宋_GBK" w:eastAsia="方正小标宋_GBK"/>
          <w:sz w:val="44"/>
          <w:szCs w:val="44"/>
          <w:shd w:val="clear" w:color="auto" w:fill="FDFDFE"/>
        </w:rPr>
      </w:pPr>
    </w:p>
    <w:p w14:paraId="2204A03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一、采购项目概况：</w:t>
      </w:r>
    </w:p>
    <w:p w14:paraId="1EF1F46D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1.</w:t>
      </w:r>
      <w:r>
        <w:rPr>
          <w:rFonts w:hint="eastAsia" w:ascii="仿宋" w:hAnsi="仿宋" w:eastAsia="仿宋" w:cs="仿宋"/>
          <w:kern w:val="21"/>
          <w:sz w:val="32"/>
          <w:szCs w:val="32"/>
        </w:rPr>
        <w:t>项目名称：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衡阳市消防救援支队火调器材装备采购</w:t>
      </w:r>
      <w:r>
        <w:rPr>
          <w:rFonts w:hint="eastAsia" w:ascii="仿宋" w:hAnsi="仿宋" w:eastAsia="仿宋" w:cs="仿宋"/>
          <w:kern w:val="21"/>
          <w:sz w:val="32"/>
          <w:szCs w:val="32"/>
        </w:rPr>
        <w:t>项目</w:t>
      </w:r>
    </w:p>
    <w:p w14:paraId="542C8D7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2.</w:t>
      </w:r>
      <w:r>
        <w:rPr>
          <w:rFonts w:hint="eastAsia" w:ascii="仿宋" w:hAnsi="仿宋" w:eastAsia="仿宋" w:cs="仿宋"/>
          <w:kern w:val="21"/>
          <w:sz w:val="32"/>
          <w:szCs w:val="32"/>
        </w:rPr>
        <w:t>采购方式：电子卖场竞价</w:t>
      </w:r>
    </w:p>
    <w:p w14:paraId="789AA0B3">
      <w:pPr>
        <w:ind w:firstLine="320" w:firstLineChars="100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3.采购控制价：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人民币95000</w:t>
      </w:r>
      <w:r>
        <w:rPr>
          <w:rFonts w:hint="eastAsia" w:ascii="仿宋" w:hAnsi="仿宋" w:eastAsia="仿宋" w:cs="仿宋"/>
          <w:kern w:val="21"/>
          <w:sz w:val="32"/>
          <w:szCs w:val="32"/>
        </w:rPr>
        <w:t>元。</w:t>
      </w:r>
    </w:p>
    <w:p w14:paraId="34ACA4C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480D69F2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1.</w:t>
      </w:r>
      <w:r>
        <w:rPr>
          <w:rFonts w:hint="eastAsia" w:ascii="仿宋" w:hAnsi="仿宋" w:eastAsia="仿宋" w:cs="仿宋"/>
          <w:kern w:val="21"/>
          <w:sz w:val="32"/>
          <w:szCs w:val="32"/>
        </w:rPr>
        <w:t>具有独立法人资格，具备相应的经营范围和资质。</w:t>
      </w:r>
    </w:p>
    <w:p w14:paraId="31113A8C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具有良好的商业信誉和健全的财务会计制度。</w:t>
      </w:r>
    </w:p>
    <w:p w14:paraId="0C4223C5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近三年内无重大违法违规记录。</w:t>
      </w:r>
    </w:p>
    <w:p w14:paraId="7F1BE796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能够按照竞价文件的要求提供服务，并有良好的售后服务体系。</w:t>
      </w:r>
    </w:p>
    <w:p w14:paraId="30CD3407">
      <w:pPr>
        <w:rPr>
          <w:rFonts w:hint="eastAsia" w:ascii="仿宋" w:hAnsi="仿宋" w:eastAsia="仿宋" w:cs="仿宋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三、质保期：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验收合格后设备质保期不少于1年，质保期自采购单位、中标单位在最终验收单上签字之日起计算。</w:t>
      </w:r>
    </w:p>
    <w:p w14:paraId="714CF503">
      <w:pPr>
        <w:pStyle w:val="17"/>
        <w:spacing w:line="460" w:lineRule="exact"/>
        <w:ind w:firstLine="0" w:firstLineChars="0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四：投标文件递交截止时间：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湖南省政府采购电子卖场（</w:t>
      </w:r>
      <w:r>
        <w:rPr>
          <w:rFonts w:ascii="仿宋" w:hAnsi="仿宋" w:eastAsia="仿宋" w:cs="仿宋"/>
          <w:kern w:val="21"/>
          <w:sz w:val="32"/>
          <w:szCs w:val="32"/>
        </w:rPr>
        <w:t>https://hunan.zcygov.cn/</w:t>
      </w:r>
      <w:r>
        <w:rPr>
          <w:rFonts w:hint="eastAsia" w:ascii="仿宋" w:hAnsi="仿宋" w:eastAsia="仿宋" w:cs="仿宋"/>
          <w:kern w:val="21"/>
          <w:sz w:val="32"/>
          <w:szCs w:val="32"/>
        </w:rPr>
        <w:t>）本项目报价文件上传截止时间。</w:t>
      </w:r>
    </w:p>
    <w:p w14:paraId="52947681">
      <w:pPr>
        <w:pStyle w:val="17"/>
        <w:wordWrap w:val="0"/>
        <w:spacing w:line="460" w:lineRule="exact"/>
        <w:ind w:firstLine="0" w:firstLineChars="0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五：投标文件递交地点：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由投标人编制响应文件并上传到湖南省政府采购电子卖场（</w:t>
      </w:r>
      <w:r>
        <w:rPr>
          <w:rFonts w:ascii="仿宋" w:hAnsi="仿宋" w:eastAsia="仿宋" w:cs="仿宋"/>
          <w:kern w:val="21"/>
          <w:sz w:val="32"/>
          <w:szCs w:val="32"/>
        </w:rPr>
        <w:t>https://hunan.zcygov.cn/</w:t>
      </w:r>
      <w:r>
        <w:rPr>
          <w:rFonts w:hint="eastAsia" w:ascii="仿宋" w:hAnsi="仿宋" w:eastAsia="仿宋" w:cs="仿宋"/>
          <w:kern w:val="21"/>
          <w:sz w:val="32"/>
          <w:szCs w:val="32"/>
        </w:rPr>
        <w:t>）</w:t>
      </w:r>
    </w:p>
    <w:p w14:paraId="660846C9">
      <w:pPr>
        <w:ind w:firstLine="640" w:firstLineChars="200"/>
        <w:rPr>
          <w:rFonts w:ascii="宋体" w:cs="宋体"/>
          <w:sz w:val="32"/>
          <w:szCs w:val="32"/>
        </w:rPr>
      </w:pPr>
    </w:p>
    <w:p w14:paraId="5A71A7B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六、投标要求：</w:t>
      </w:r>
    </w:p>
    <w:p w14:paraId="0CC3E535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投标人应按照竞价文件的要求，提交详细的投标方案，包括但不限于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火调装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备、软件、保养及维修服务等。</w:t>
      </w:r>
    </w:p>
    <w:p w14:paraId="667B5FD6">
      <w:pPr>
        <w:ind w:firstLine="420"/>
        <w:rPr>
          <w:rFonts w:ascii="仿宋" w:hAnsi="仿宋" w:eastAsia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如代理商参加投标必须在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响应文件时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出具产品的生产厂家授权书原件或售后服务承诺书原件，以保障用户单位享受原厂配件及原厂技术支持。逾期未提供或提供的授权书或售后服务承诺书未满足本项目需求的，采购人将取消该中标人的中标资格。</w:t>
      </w:r>
    </w:p>
    <w:p w14:paraId="40BFC731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 w:cs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投标人须在湖南设有售后服务网点，具备售后服务快速响应能力，投标人需承诺负责设备的维修及日常维护保养，保证手续齐全有效。</w:t>
      </w:r>
    </w:p>
    <w:p w14:paraId="061F8D8E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投标文件应包含报价清单、营业执照副本复印件、相关资质证明等支持材料，并加盖投标人和制造商公章。</w:t>
      </w:r>
    </w:p>
    <w:p w14:paraId="7393C1B3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报价文件每页须加盖供应商公章，未按本项目竞价文件要求提供相关材料的视为无效报价。</w:t>
      </w:r>
    </w:p>
    <w:p w14:paraId="05BF3AE1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default" w:ascii="仿宋" w:hAnsi="仿宋" w:eastAsia="仿宋" w:cs="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6.合同签订后供应商在30个工作日内送货上门。</w:t>
      </w:r>
    </w:p>
    <w:p w14:paraId="1024D5D8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七、评标标准：</w:t>
      </w:r>
    </w:p>
    <w:p w14:paraId="03AEF722">
      <w:pPr>
        <w:widowControl/>
        <w:adjustRightInd w:val="0"/>
        <w:snapToGrid w:val="0"/>
        <w:spacing w:line="560" w:lineRule="exact"/>
        <w:ind w:left="0" w:leftChars="0" w:firstLine="320" w:firstLineChars="100"/>
        <w:jc w:val="both"/>
        <w:rPr>
          <w:rFonts w:ascii="仿宋" w:hAnsi="仿宋" w:eastAsia="仿宋"/>
          <w:color w:val="auto"/>
          <w:kern w:val="21"/>
          <w:sz w:val="32"/>
          <w:szCs w:val="32"/>
        </w:rPr>
      </w:pPr>
      <w:r>
        <w:rPr>
          <w:rFonts w:ascii="仿宋" w:hAnsi="仿宋" w:eastAsia="仿宋" w:cs="仿宋"/>
          <w:color w:val="auto"/>
          <w:kern w:val="21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投标价格的合理性，不得超过预算限价。</w:t>
      </w:r>
    </w:p>
    <w:p w14:paraId="4959B257">
      <w:pPr>
        <w:widowControl/>
        <w:adjustRightInd w:val="0"/>
        <w:snapToGrid w:val="0"/>
        <w:spacing w:line="560" w:lineRule="exact"/>
        <w:ind w:left="0" w:leftChars="0" w:firstLine="320" w:firstLineChars="100"/>
        <w:jc w:val="both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售后服务体系及能力。</w:t>
      </w:r>
    </w:p>
    <w:p w14:paraId="41417468">
      <w:pPr>
        <w:widowControl/>
        <w:adjustRightInd w:val="0"/>
        <w:snapToGrid w:val="0"/>
        <w:spacing w:line="560" w:lineRule="exact"/>
        <w:ind w:left="0" w:leftChars="0" w:firstLine="320" w:firstLineChars="100"/>
        <w:jc w:val="both"/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响应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文件及报价单，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需加盖公司公章。</w:t>
      </w:r>
    </w:p>
    <w:p w14:paraId="75BC845E">
      <w:pPr>
        <w:rPr>
          <w:rFonts w:asci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八、付款方式：</w:t>
      </w:r>
      <w:r>
        <w:rPr>
          <w:rFonts w:hint="eastAsia" w:ascii="仿宋" w:hAnsi="仿宋" w:eastAsia="仿宋" w:cs="仿宋"/>
          <w:kern w:val="21"/>
          <w:sz w:val="32"/>
          <w:szCs w:val="32"/>
        </w:rPr>
        <w:t>一次性付款。</w:t>
      </w:r>
    </w:p>
    <w:p w14:paraId="00E76687">
      <w:pPr>
        <w:ind w:firstLine="640" w:firstLineChars="200"/>
        <w:rPr>
          <w:rFonts w:ascii="宋体" w:cs="宋体"/>
          <w:sz w:val="32"/>
          <w:szCs w:val="32"/>
        </w:rPr>
      </w:pPr>
    </w:p>
    <w:p w14:paraId="5343EF4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九、联系方式：</w:t>
      </w:r>
    </w:p>
    <w:p w14:paraId="7D520AF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招标单位：衡阳市消防救援支队</w:t>
      </w:r>
    </w:p>
    <w:p w14:paraId="4B169ADB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联系人：张强</w:t>
      </w:r>
    </w:p>
    <w:p w14:paraId="1B8DED66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 w:cs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联系电话：</w:t>
      </w:r>
      <w:r>
        <w:rPr>
          <w:rFonts w:ascii="仿宋" w:hAnsi="仿宋" w:eastAsia="仿宋" w:cs="仿宋"/>
          <w:kern w:val="21"/>
          <w:sz w:val="32"/>
          <w:szCs w:val="32"/>
        </w:rPr>
        <w:t>13575288895</w:t>
      </w:r>
    </w:p>
    <w:p w14:paraId="1B9B3BC5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</w:rPr>
        <w:t>联系地址：衡阳市蒸湘区芙蓉路</w:t>
      </w:r>
      <w:r>
        <w:rPr>
          <w:rFonts w:ascii="仿宋" w:hAnsi="仿宋" w:eastAsia="仿宋" w:cs="仿宋"/>
          <w:kern w:val="21"/>
          <w:sz w:val="32"/>
          <w:szCs w:val="32"/>
        </w:rPr>
        <w:t>17</w:t>
      </w:r>
      <w:r>
        <w:rPr>
          <w:rFonts w:hint="eastAsia" w:ascii="仿宋" w:hAnsi="仿宋" w:eastAsia="仿宋" w:cs="仿宋"/>
          <w:kern w:val="21"/>
          <w:sz w:val="32"/>
          <w:szCs w:val="32"/>
        </w:rPr>
        <w:t>号</w:t>
      </w:r>
    </w:p>
    <w:p w14:paraId="7AD47FA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十、其他要求：</w:t>
      </w:r>
    </w:p>
    <w:p w14:paraId="5F75A678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1.</w:t>
      </w:r>
      <w:r>
        <w:rPr>
          <w:rFonts w:hint="eastAsia" w:ascii="仿宋" w:hAnsi="仿宋" w:eastAsia="仿宋" w:cs="仿宋"/>
          <w:kern w:val="21"/>
          <w:sz w:val="32"/>
          <w:szCs w:val="32"/>
        </w:rPr>
        <w:t>投标人应确保投标文件的真实性、完整性和准确性。</w:t>
      </w:r>
    </w:p>
    <w:p w14:paraId="4AD2BCF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ascii="仿宋" w:hAnsi="仿宋" w:eastAsia="仿宋" w:cs="仿宋"/>
          <w:kern w:val="21"/>
          <w:sz w:val="32"/>
          <w:szCs w:val="32"/>
        </w:rPr>
        <w:t>2.</w:t>
      </w:r>
      <w:r>
        <w:rPr>
          <w:rFonts w:hint="eastAsia" w:ascii="仿宋" w:hAnsi="仿宋" w:eastAsia="仿宋" w:cs="仿宋"/>
          <w:kern w:val="21"/>
          <w:sz w:val="32"/>
          <w:szCs w:val="32"/>
        </w:rPr>
        <w:t>本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kern w:val="21"/>
          <w:sz w:val="32"/>
          <w:szCs w:val="32"/>
        </w:rPr>
        <w:t>文件自发布之日起生效，如有变更或补充，以招标单位发出的正式文件为准。</w:t>
      </w:r>
    </w:p>
    <w:p w14:paraId="07589730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必须承诺自行提供本项目所有服务内容，不得进行任何形式的转让或转包，否则，采购人有权立即解除合同，采购人无须向成交供应商支付任何费用，若采购人已经支付费用的，成交供应商应当返还，并赔偿采购人一切损失。</w:t>
      </w:r>
    </w:p>
    <w:p w14:paraId="1FB41CFE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成交供应商提供的服务应符合国家标准及行业标准。</w:t>
      </w:r>
    </w:p>
    <w:p w14:paraId="676C91E9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成交供应商提供的服务不满足竞价文件要求或验收不合格的，采购人有权解除合同并追究成交供应商的违约责任。</w:t>
      </w:r>
    </w:p>
    <w:p w14:paraId="54F210EC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ascii="仿宋" w:hAnsi="仿宋" w:eastAsia="仿宋"/>
          <w:kern w:val="21"/>
          <w:sz w:val="32"/>
          <w:szCs w:val="32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kern w:val="21"/>
          <w:sz w:val="32"/>
          <w:szCs w:val="32"/>
        </w:rPr>
        <w:t>.</w:t>
      </w:r>
      <w:r>
        <w:rPr>
          <w:rFonts w:hint="eastAsia" w:ascii="仿宋" w:hAnsi="仿宋" w:eastAsia="仿宋" w:cs="仿宋"/>
          <w:kern w:val="21"/>
          <w:sz w:val="32"/>
          <w:szCs w:val="32"/>
        </w:rPr>
        <w:t>接采购人服务通知，成交供应商须立即响应并到达指定现场进行处理，遇重大问题或其它不可预见的问题应与采购人协商解决。</w:t>
      </w:r>
    </w:p>
    <w:p w14:paraId="6D899125">
      <w:pPr>
        <w:jc w:val="center"/>
        <w:rPr>
          <w:rFonts w:ascii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537762A">
      <w:pPr>
        <w:jc w:val="center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衡阳市消防救援支队火调器材装备采购项目表</w:t>
      </w:r>
    </w:p>
    <w:tbl>
      <w:tblPr>
        <w:tblStyle w:val="13"/>
        <w:tblW w:w="146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3"/>
        <w:gridCol w:w="4428"/>
        <w:gridCol w:w="1859"/>
        <w:gridCol w:w="1841"/>
        <w:gridCol w:w="1342"/>
        <w:gridCol w:w="1342"/>
        <w:gridCol w:w="1342"/>
        <w:gridCol w:w="1274"/>
      </w:tblGrid>
      <w:tr w14:paraId="6BF2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6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规格型号/参数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C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控制总价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报价人单价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A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报价人总价价（元）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9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</w:tr>
      <w:tr w14:paraId="0448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2C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F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火灾现场勘验全景照明灯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B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不低于6000流明亮度，可用作360°全景照明，或用作聚光灯（12°聚焦，照射距离不低于500米）；快速展开或收起，轻便、安静,充电式锂离子电池系统供电，尼龙66 灯体，具备防水、防火、防静电、耐磨、耐冲击、耐腐蚀、坚固耐用；使用时间在 6000 流明时不低于3小时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A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B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2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B1D9">
            <w:pPr>
              <w:numPr>
                <w:ilvl w:val="0"/>
                <w:numId w:val="1"/>
              </w:numPr>
              <w:bidi w:val="0"/>
              <w:ind w:left="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金卫盾</w:t>
            </w:r>
          </w:p>
          <w:p w14:paraId="52B714CB">
            <w:pPr>
              <w:numPr>
                <w:ilvl w:val="0"/>
                <w:numId w:val="1"/>
              </w:numPr>
              <w:bidi w:val="0"/>
              <w:ind w:left="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郎乾</w:t>
            </w:r>
          </w:p>
          <w:p w14:paraId="11ECFF13">
            <w:pPr>
              <w:numPr>
                <w:ilvl w:val="0"/>
                <w:numId w:val="1"/>
              </w:numPr>
              <w:bidi w:val="0"/>
              <w:ind w:left="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九天星</w:t>
            </w:r>
          </w:p>
        </w:tc>
      </w:tr>
      <w:bookmarkEnd w:id="0"/>
      <w:tr w14:paraId="29EE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B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80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金属探测器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55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用于吸取铁制品和铁磁性物品,如电焊焊渣等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D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3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6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7EF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新宇胜利</w:t>
            </w:r>
          </w:p>
          <w:p w14:paraId="25D7E618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金卫盾</w:t>
            </w:r>
          </w:p>
          <w:p w14:paraId="772D34E5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郎乾</w:t>
            </w:r>
          </w:p>
          <w:p w14:paraId="61092A54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</w:tc>
      </w:tr>
      <w:tr w14:paraId="60B6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36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8B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微小空间痕迹内窥镜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103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有效像素不低于30W像素 ，不少于2倍数码变焦， 内置电池供电,探头弯曲方向：360°，视 场 角≥80°，景深：10mm～∞/10mm～150mm，光源：高亮度LED，存储媒介：SD卡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A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1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A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4DAF">
            <w:pPr>
              <w:numPr>
                <w:ilvl w:val="0"/>
                <w:numId w:val="3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新宇胜利</w:t>
            </w:r>
          </w:p>
          <w:p w14:paraId="70DB471E">
            <w:pPr>
              <w:numPr>
                <w:ilvl w:val="0"/>
                <w:numId w:val="3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金卫盾</w:t>
            </w:r>
          </w:p>
          <w:p w14:paraId="35C1876B">
            <w:pPr>
              <w:numPr>
                <w:ilvl w:val="0"/>
                <w:numId w:val="3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郎乾</w:t>
            </w:r>
          </w:p>
        </w:tc>
      </w:tr>
      <w:tr w14:paraId="31C9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2C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DB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磁盘阵列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11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存储空间不小于50T，具备RAID功能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C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4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B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8445">
            <w:pPr>
              <w:numPr>
                <w:ilvl w:val="0"/>
                <w:numId w:val="4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科大讯飞</w:t>
            </w:r>
          </w:p>
          <w:p w14:paraId="2D1C71AA">
            <w:pPr>
              <w:numPr>
                <w:ilvl w:val="0"/>
                <w:numId w:val="4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金卫盾</w:t>
            </w:r>
          </w:p>
          <w:p w14:paraId="58530312">
            <w:pPr>
              <w:numPr>
                <w:ilvl w:val="0"/>
                <w:numId w:val="4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郎乾</w:t>
            </w:r>
          </w:p>
        </w:tc>
      </w:tr>
      <w:tr w14:paraId="0706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38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E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耗材工具包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70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专用耗材工具包，配置火场勘查防护口罩（N95）、一次性手套、鞋套、护目镜、痕迹标签、警戒带、带有专用标识物证取样袋等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9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5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F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4804">
            <w:pPr>
              <w:numPr>
                <w:ilvl w:val="0"/>
                <w:numId w:val="5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新宇胜利</w:t>
            </w:r>
          </w:p>
          <w:p w14:paraId="1B495367">
            <w:pPr>
              <w:numPr>
                <w:ilvl w:val="0"/>
                <w:numId w:val="5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金卫盾</w:t>
            </w:r>
          </w:p>
          <w:p w14:paraId="607144C4">
            <w:pPr>
              <w:numPr>
                <w:ilvl w:val="0"/>
                <w:numId w:val="5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郎乾</w:t>
            </w:r>
          </w:p>
        </w:tc>
      </w:tr>
      <w:tr w14:paraId="489F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B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C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4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F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93A6555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7972"/>
    <w:multiLevelType w:val="singleLevel"/>
    <w:tmpl w:val="C26D7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C43828"/>
    <w:multiLevelType w:val="singleLevel"/>
    <w:tmpl w:val="1AC43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8CF381"/>
    <w:multiLevelType w:val="singleLevel"/>
    <w:tmpl w:val="248CF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B3739B"/>
    <w:multiLevelType w:val="singleLevel"/>
    <w:tmpl w:val="3BB3739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abstractNum w:abstractNumId="4">
    <w:nsid w:val="785FCFDA"/>
    <w:multiLevelType w:val="singleLevel"/>
    <w:tmpl w:val="785FC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7C67"/>
    <w:rsid w:val="00032364"/>
    <w:rsid w:val="00093381"/>
    <w:rsid w:val="001E49F8"/>
    <w:rsid w:val="00217C67"/>
    <w:rsid w:val="002F345D"/>
    <w:rsid w:val="003D0805"/>
    <w:rsid w:val="004238F0"/>
    <w:rsid w:val="0043600D"/>
    <w:rsid w:val="004E18D9"/>
    <w:rsid w:val="00836D73"/>
    <w:rsid w:val="00895248"/>
    <w:rsid w:val="008D3ADA"/>
    <w:rsid w:val="00A343B5"/>
    <w:rsid w:val="00A422D7"/>
    <w:rsid w:val="00A81C9B"/>
    <w:rsid w:val="00B96BA1"/>
    <w:rsid w:val="00C2561A"/>
    <w:rsid w:val="00D42581"/>
    <w:rsid w:val="00DF208D"/>
    <w:rsid w:val="00EA7D8E"/>
    <w:rsid w:val="07323C5D"/>
    <w:rsid w:val="0BEA1BFE"/>
    <w:rsid w:val="0C812055"/>
    <w:rsid w:val="10F52896"/>
    <w:rsid w:val="134B3A54"/>
    <w:rsid w:val="1818442F"/>
    <w:rsid w:val="1B46204F"/>
    <w:rsid w:val="1B942A39"/>
    <w:rsid w:val="1DF90476"/>
    <w:rsid w:val="1F207866"/>
    <w:rsid w:val="216D3304"/>
    <w:rsid w:val="22D46AE6"/>
    <w:rsid w:val="2A5D6A27"/>
    <w:rsid w:val="2DA54273"/>
    <w:rsid w:val="2EC13E2B"/>
    <w:rsid w:val="2FA774C5"/>
    <w:rsid w:val="31202995"/>
    <w:rsid w:val="378F1BBD"/>
    <w:rsid w:val="387C2F7E"/>
    <w:rsid w:val="3B93372A"/>
    <w:rsid w:val="3E70725B"/>
    <w:rsid w:val="40932096"/>
    <w:rsid w:val="40FA31CC"/>
    <w:rsid w:val="47151E2D"/>
    <w:rsid w:val="4D7814A6"/>
    <w:rsid w:val="52C5491A"/>
    <w:rsid w:val="608622DF"/>
    <w:rsid w:val="643E42AF"/>
    <w:rsid w:val="66636F9A"/>
    <w:rsid w:val="6A407526"/>
    <w:rsid w:val="6C2F108A"/>
    <w:rsid w:val="6DBC13E9"/>
    <w:rsid w:val="6E0E2583"/>
    <w:rsid w:val="6FA570FB"/>
    <w:rsid w:val="7CDF3DD0"/>
    <w:rsid w:val="E5E5E378"/>
    <w:rsid w:val="EFA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6"/>
    <w:qFormat/>
    <w:uiPriority w:val="0"/>
    <w:pPr>
      <w:spacing w:after="120" w:afterLines="0" w:afterAutospacing="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locked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文本 字符"/>
    <w:link w:val="7"/>
    <w:semiHidden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字符"/>
    <w:link w:val="10"/>
    <w:qFormat/>
    <w:uiPriority w:val="99"/>
    <w:rPr>
      <w:sz w:val="18"/>
    </w:rPr>
  </w:style>
  <w:style w:type="character" w:customStyle="1" w:styleId="19">
    <w:name w:val="页脚 字符"/>
    <w:link w:val="9"/>
    <w:qFormat/>
    <w:uiPriority w:val="99"/>
    <w:rPr>
      <w:sz w:val="18"/>
    </w:rPr>
  </w:style>
  <w:style w:type="character" w:customStyle="1" w:styleId="20">
    <w:name w:val="font4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21"/>
    <w:basedOn w:val="15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1511</Words>
  <Characters>1677</Characters>
  <Lines>19</Lines>
  <Paragraphs>5</Paragraphs>
  <TotalTime>24</TotalTime>
  <ScaleCrop>false</ScaleCrop>
  <LinksUpToDate>false</LinksUpToDate>
  <CharactersWithSpaces>1684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2024-03-14T09:14:00Z</dcterms:created>
  <dc:creator>34857</dc:creator>
  <cp:lastModifiedBy>夏天的小妮子</cp:lastModifiedBy>
  <cp:lastPrinted>2024-02-26T16:42:00Z</cp:lastPrinted>
  <dcterms:modified xsi:type="dcterms:W3CDTF">2024-11-13T07:29:55Z</dcterms:modified>
  <dc:title>新能源公务车租赁项目竞价文件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03C7B27A482E4E26AB089A4F1B58001B_13</vt:lpwstr>
  </property>
</Properties>
</file>