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371D5">
      <w:pPr>
        <w:pStyle w:val="2"/>
        <w:bidi w:val="0"/>
        <w:jc w:val="center"/>
        <w:rPr>
          <w:rFonts w:hint="eastAsia"/>
          <w:color w:val="auto"/>
          <w:sz w:val="32"/>
          <w:szCs w:val="32"/>
          <w:highlight w:val="none"/>
          <w:lang w:val="en-US" w:eastAsia="zh-CN"/>
        </w:rPr>
      </w:pPr>
      <w:r>
        <w:rPr>
          <w:rFonts w:hint="eastAsia"/>
          <w:color w:val="auto"/>
          <w:sz w:val="32"/>
          <w:szCs w:val="32"/>
          <w:highlight w:val="none"/>
          <w:lang w:val="en-US" w:eastAsia="zh-CN"/>
        </w:rPr>
        <w:t>采购需求</w:t>
      </w:r>
    </w:p>
    <w:p w14:paraId="762837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一、项目情况</w:t>
      </w:r>
    </w:p>
    <w:tbl>
      <w:tblPr>
        <w:tblStyle w:val="3"/>
        <w:tblpPr w:leftFromText="180" w:rightFromText="180" w:vertAnchor="text" w:horzAnchor="page" w:tblpXSpec="center" w:tblpY="294"/>
        <w:tblOverlap w:val="never"/>
        <w:tblW w:w="8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7"/>
        <w:gridCol w:w="1792"/>
        <w:gridCol w:w="2625"/>
        <w:gridCol w:w="2423"/>
      </w:tblGrid>
      <w:tr w14:paraId="6755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07" w:type="dxa"/>
            <w:shd w:val="clear" w:color="auto" w:fill="auto"/>
          </w:tcPr>
          <w:p w14:paraId="0A4C13B4">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6840" w:type="dxa"/>
            <w:gridSpan w:val="3"/>
            <w:shd w:val="clear" w:color="auto" w:fill="auto"/>
          </w:tcPr>
          <w:p w14:paraId="1C216F0A">
            <w:pPr>
              <w:jc w:val="center"/>
              <w:rPr>
                <w:rFonts w:hint="default" w:ascii="仿宋" w:hAnsi="仿宋" w:eastAsia="仿宋" w:cs="仿宋"/>
                <w:color w:val="auto"/>
                <w:sz w:val="28"/>
                <w:szCs w:val="28"/>
                <w:highlight w:val="none"/>
                <w:lang w:val="en-US"/>
              </w:rPr>
            </w:pPr>
            <w:r>
              <w:rPr>
                <w:rFonts w:hint="eastAsia" w:ascii="仿宋" w:hAnsi="仿宋" w:eastAsia="仿宋" w:cs="仿宋"/>
                <w:b w:val="0"/>
                <w:bCs w:val="0"/>
                <w:color w:val="auto"/>
                <w:sz w:val="28"/>
                <w:szCs w:val="28"/>
                <w:highlight w:val="none"/>
                <w:lang w:eastAsia="zh-CN"/>
              </w:rPr>
              <w:t>学院危房拆除电箱移位和电缆下地</w:t>
            </w:r>
            <w:r>
              <w:rPr>
                <w:rFonts w:hint="eastAsia" w:ascii="仿宋" w:hAnsi="仿宋" w:eastAsia="仿宋" w:cs="仿宋"/>
                <w:b w:val="0"/>
                <w:bCs w:val="0"/>
                <w:color w:val="auto"/>
                <w:sz w:val="28"/>
                <w:szCs w:val="28"/>
                <w:highlight w:val="none"/>
                <w:lang w:val="en-US" w:eastAsia="zh-CN"/>
              </w:rPr>
              <w:t>工程</w:t>
            </w:r>
          </w:p>
        </w:tc>
      </w:tr>
      <w:tr w14:paraId="16CD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07" w:type="dxa"/>
            <w:shd w:val="clear" w:color="auto" w:fill="auto"/>
          </w:tcPr>
          <w:p w14:paraId="15770F28">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采购部门</w:t>
            </w:r>
          </w:p>
        </w:tc>
        <w:tc>
          <w:tcPr>
            <w:tcW w:w="6840" w:type="dxa"/>
            <w:gridSpan w:val="3"/>
            <w:shd w:val="clear" w:color="auto" w:fill="auto"/>
          </w:tcPr>
          <w:p w14:paraId="1F5A920E">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基建处</w:t>
            </w:r>
          </w:p>
        </w:tc>
      </w:tr>
      <w:tr w14:paraId="2DB7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07" w:type="dxa"/>
            <w:vMerge w:val="restart"/>
            <w:shd w:val="clear" w:color="auto" w:fill="auto"/>
            <w:vAlign w:val="center"/>
          </w:tcPr>
          <w:p w14:paraId="31296484">
            <w:pPr>
              <w:spacing w:after="24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组织编制</w:t>
            </w:r>
          </w:p>
        </w:tc>
        <w:tc>
          <w:tcPr>
            <w:tcW w:w="1792" w:type="dxa"/>
            <w:shd w:val="clear" w:color="auto" w:fill="auto"/>
          </w:tcPr>
          <w:p w14:paraId="5F19E20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负责人</w:t>
            </w:r>
          </w:p>
        </w:tc>
        <w:tc>
          <w:tcPr>
            <w:tcW w:w="2625" w:type="dxa"/>
            <w:shd w:val="clear" w:color="auto" w:fill="auto"/>
          </w:tcPr>
          <w:p w14:paraId="4A397805">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w:t>
            </w:r>
          </w:p>
        </w:tc>
        <w:tc>
          <w:tcPr>
            <w:tcW w:w="2423" w:type="dxa"/>
            <w:shd w:val="clear" w:color="auto" w:fill="auto"/>
          </w:tcPr>
          <w:p w14:paraId="3A4DD028">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电子邮箱</w:t>
            </w:r>
          </w:p>
        </w:tc>
      </w:tr>
      <w:tr w14:paraId="055D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07" w:type="dxa"/>
            <w:vMerge w:val="continue"/>
            <w:shd w:val="clear" w:color="auto" w:fill="auto"/>
          </w:tcPr>
          <w:p w14:paraId="06D0E466">
            <w:pPr>
              <w:jc w:val="center"/>
              <w:rPr>
                <w:rFonts w:hint="eastAsia" w:ascii="仿宋" w:hAnsi="仿宋" w:eastAsia="仿宋" w:cs="仿宋"/>
                <w:color w:val="auto"/>
                <w:sz w:val="28"/>
                <w:szCs w:val="28"/>
                <w:highlight w:val="none"/>
              </w:rPr>
            </w:pPr>
          </w:p>
        </w:tc>
        <w:tc>
          <w:tcPr>
            <w:tcW w:w="1792" w:type="dxa"/>
            <w:shd w:val="clear" w:color="auto" w:fill="auto"/>
          </w:tcPr>
          <w:p w14:paraId="7C0D5BCA">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陈胜云</w:t>
            </w:r>
          </w:p>
        </w:tc>
        <w:tc>
          <w:tcPr>
            <w:tcW w:w="2625" w:type="dxa"/>
            <w:shd w:val="clear" w:color="auto" w:fill="auto"/>
            <w:vAlign w:val="center"/>
          </w:tcPr>
          <w:p w14:paraId="68D112A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13575289309</w:t>
            </w:r>
          </w:p>
        </w:tc>
        <w:tc>
          <w:tcPr>
            <w:tcW w:w="2423" w:type="dxa"/>
            <w:shd w:val="clear" w:color="auto" w:fill="auto"/>
            <w:vAlign w:val="center"/>
          </w:tcPr>
          <w:p w14:paraId="12FDA2AD">
            <w:pPr>
              <w:jc w:val="center"/>
              <w:rPr>
                <w:rFonts w:hint="eastAsia" w:ascii="仿宋" w:hAnsi="仿宋" w:eastAsia="仿宋" w:cs="仿宋"/>
                <w:color w:val="auto"/>
                <w:sz w:val="24"/>
                <w:szCs w:val="24"/>
                <w:highlight w:val="none"/>
              </w:rPr>
            </w:pPr>
          </w:p>
        </w:tc>
      </w:tr>
      <w:tr w14:paraId="73AF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07" w:type="dxa"/>
            <w:vMerge w:val="continue"/>
            <w:shd w:val="clear" w:color="auto" w:fill="auto"/>
          </w:tcPr>
          <w:p w14:paraId="243258CC">
            <w:pPr>
              <w:jc w:val="center"/>
              <w:rPr>
                <w:rFonts w:hint="eastAsia" w:ascii="仿宋" w:hAnsi="仿宋" w:eastAsia="仿宋" w:cs="仿宋"/>
                <w:color w:val="auto"/>
                <w:sz w:val="28"/>
                <w:szCs w:val="28"/>
                <w:highlight w:val="none"/>
              </w:rPr>
            </w:pPr>
          </w:p>
        </w:tc>
        <w:tc>
          <w:tcPr>
            <w:tcW w:w="1792" w:type="dxa"/>
            <w:shd w:val="clear" w:color="auto" w:fill="auto"/>
          </w:tcPr>
          <w:p w14:paraId="2F45AB16">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其它参与</w:t>
            </w:r>
          </w:p>
          <w:p w14:paraId="31E5624A">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编制人员</w:t>
            </w:r>
          </w:p>
        </w:tc>
        <w:tc>
          <w:tcPr>
            <w:tcW w:w="5048" w:type="dxa"/>
            <w:gridSpan w:val="2"/>
            <w:shd w:val="clear" w:color="auto" w:fill="auto"/>
            <w:vAlign w:val="center"/>
          </w:tcPr>
          <w:p w14:paraId="6EA031E1">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王秋生、刘友园、冯金敏、邹鑫泉</w:t>
            </w:r>
          </w:p>
        </w:tc>
      </w:tr>
    </w:tbl>
    <w:p w14:paraId="79012C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二、项目可行性及必要性</w:t>
      </w:r>
    </w:p>
    <w:p w14:paraId="19429D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1.项目可行性</w:t>
      </w:r>
    </w:p>
    <w:p w14:paraId="4CA4D42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由</w:t>
      </w:r>
      <w:r>
        <w:rPr>
          <w:rFonts w:hint="eastAsia" w:ascii="仿宋_GB2312" w:hAnsi="仿宋_GB2312" w:eastAsia="仿宋_GB2312" w:cs="仿宋_GB2312"/>
          <w:color w:val="auto"/>
          <w:sz w:val="28"/>
          <w:szCs w:val="28"/>
          <w:highlight w:val="none"/>
          <w:u w:val="single"/>
          <w:lang w:val="en-US" w:eastAsia="zh-CN"/>
        </w:rPr>
        <w:t>湖南理想电力科技责任有限公司</w:t>
      </w:r>
      <w:r>
        <w:rPr>
          <w:rFonts w:hint="eastAsia" w:ascii="仿宋_GB2312" w:hAnsi="仿宋_GB2312" w:eastAsia="仿宋_GB2312" w:cs="仿宋_GB2312"/>
          <w:color w:val="auto"/>
          <w:sz w:val="28"/>
          <w:szCs w:val="28"/>
          <w:highlight w:val="none"/>
          <w:lang w:val="en-US" w:eastAsia="zh-CN"/>
        </w:rPr>
        <w:t>出具学院危房拆除电箱移位和电缆下地工程设计图及方案。</w:t>
      </w:r>
    </w:p>
    <w:p w14:paraId="064AA0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2.项目必要性</w:t>
      </w:r>
    </w:p>
    <w:p w14:paraId="3E2718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根据学院工作安排，拟对学院本部第七栋教学楼、第二食堂东面澡堂及厕所、学生公寓8#A区和东院教学大楼4处房屋进行拆除，在拆除学生公寓8#A区和第二食堂东面澡堂及厕所前需先将学生公寓8#A区配电间电箱移位和第二食堂东面澡堂及厕所上的主电缆下地处理。</w:t>
      </w:r>
    </w:p>
    <w:p w14:paraId="45F3BD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三、需求清单</w:t>
      </w:r>
    </w:p>
    <w:p w14:paraId="69081E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（一）采购项目预算</w:t>
      </w:r>
    </w:p>
    <w:p w14:paraId="3EE2321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项目总预算：</w:t>
      </w:r>
      <w:r>
        <w:rPr>
          <w:rFonts w:hint="eastAsia" w:ascii="仿宋_GB2312" w:hAnsi="仿宋_GB2312" w:eastAsia="仿宋_GB2312" w:cs="仿宋_GB2312"/>
          <w:color w:val="auto"/>
          <w:sz w:val="28"/>
          <w:szCs w:val="28"/>
          <w:highlight w:val="none"/>
          <w:u w:val="single"/>
          <w:lang w:val="en-US" w:eastAsia="zh-CN"/>
        </w:rPr>
        <w:t>4.31万元</w:t>
      </w:r>
    </w:p>
    <w:p w14:paraId="7C4AC37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附件：2025年3月阶梯项目咨询有限公司出具的《学院危房拆除电箱移位及电缆下地工程预算审核报告》。</w:t>
      </w:r>
    </w:p>
    <w:p w14:paraId="516133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（二）采购标的及预算汇总表</w:t>
      </w:r>
    </w:p>
    <w:tbl>
      <w:tblPr>
        <w:tblStyle w:val="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877"/>
        <w:gridCol w:w="1195"/>
        <w:gridCol w:w="831"/>
        <w:gridCol w:w="1091"/>
        <w:gridCol w:w="1091"/>
        <w:gridCol w:w="1091"/>
        <w:gridCol w:w="793"/>
      </w:tblGrid>
      <w:tr w14:paraId="2570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897" w:type="dxa"/>
            <w:vAlign w:val="center"/>
          </w:tcPr>
          <w:p w14:paraId="7450C000">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877" w:type="dxa"/>
            <w:vAlign w:val="center"/>
          </w:tcPr>
          <w:p w14:paraId="1543495B">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标的（产品）</w:t>
            </w:r>
          </w:p>
          <w:p w14:paraId="58A2BE02">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品目</w:t>
            </w:r>
          </w:p>
        </w:tc>
        <w:tc>
          <w:tcPr>
            <w:tcW w:w="1195" w:type="dxa"/>
            <w:vAlign w:val="center"/>
          </w:tcPr>
          <w:p w14:paraId="1C107F99">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计量</w:t>
            </w:r>
          </w:p>
          <w:p w14:paraId="529E5972">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单位</w:t>
            </w:r>
          </w:p>
        </w:tc>
        <w:tc>
          <w:tcPr>
            <w:tcW w:w="831" w:type="dxa"/>
            <w:vAlign w:val="center"/>
          </w:tcPr>
          <w:p w14:paraId="747879C4">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数量</w:t>
            </w:r>
          </w:p>
        </w:tc>
        <w:tc>
          <w:tcPr>
            <w:tcW w:w="1091" w:type="dxa"/>
            <w:vAlign w:val="center"/>
          </w:tcPr>
          <w:p w14:paraId="69929AC6">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预算</w:t>
            </w:r>
          </w:p>
          <w:p w14:paraId="2311570A">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金额</w:t>
            </w:r>
          </w:p>
        </w:tc>
        <w:tc>
          <w:tcPr>
            <w:tcW w:w="1091" w:type="dxa"/>
            <w:vAlign w:val="center"/>
          </w:tcPr>
          <w:p w14:paraId="5FA25255">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进口/国产</w:t>
            </w:r>
          </w:p>
        </w:tc>
        <w:tc>
          <w:tcPr>
            <w:tcW w:w="1091" w:type="dxa"/>
            <w:vAlign w:val="center"/>
          </w:tcPr>
          <w:p w14:paraId="2339AB10">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核心</w:t>
            </w:r>
          </w:p>
          <w:p w14:paraId="0780941B">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产品</w:t>
            </w:r>
          </w:p>
        </w:tc>
        <w:tc>
          <w:tcPr>
            <w:tcW w:w="793" w:type="dxa"/>
            <w:vAlign w:val="center"/>
          </w:tcPr>
          <w:p w14:paraId="1BEF9E5E">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备注</w:t>
            </w:r>
          </w:p>
        </w:tc>
      </w:tr>
      <w:tr w14:paraId="3DC4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97" w:type="dxa"/>
            <w:vAlign w:val="center"/>
          </w:tcPr>
          <w:p w14:paraId="016F89C9">
            <w:pPr>
              <w:adjustRightInd w:val="0"/>
              <w:snapToGrid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7969" w:type="dxa"/>
            <w:gridSpan w:val="7"/>
            <w:vAlign w:val="center"/>
          </w:tcPr>
          <w:p w14:paraId="26BF0E6B">
            <w:pPr>
              <w:adjustRightInd w:val="0"/>
              <w:snapToGrid w:val="0"/>
              <w:spacing w:line="400" w:lineRule="exact"/>
              <w:jc w:val="left"/>
              <w:rPr>
                <w:rFonts w:hint="default" w:ascii="仿宋" w:hAnsi="仿宋" w:eastAsia="仿宋" w:cs="仿宋"/>
                <w:i/>
                <w:iCs/>
                <w:color w:val="auto"/>
                <w:sz w:val="28"/>
                <w:szCs w:val="28"/>
                <w:highlight w:val="none"/>
                <w:lang w:val="en-US"/>
              </w:rPr>
            </w:pPr>
            <w:r>
              <w:rPr>
                <w:rFonts w:hint="eastAsia" w:ascii="仿宋_GB2312" w:hAnsi="仿宋_GB2312" w:eastAsia="仿宋_GB2312" w:cs="仿宋_GB2312"/>
                <w:color w:val="auto"/>
                <w:sz w:val="28"/>
                <w:szCs w:val="28"/>
                <w:highlight w:val="none"/>
                <w:lang w:val="en-US" w:eastAsia="zh-CN"/>
              </w:rPr>
              <w:t>详见：附件。</w:t>
            </w:r>
          </w:p>
        </w:tc>
      </w:tr>
      <w:tr w14:paraId="7210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97" w:type="dxa"/>
            <w:vAlign w:val="center"/>
          </w:tcPr>
          <w:p w14:paraId="3348BD01">
            <w:pPr>
              <w:adjustRightInd w:val="0"/>
              <w:snapToGrid w:val="0"/>
              <w:spacing w:line="400" w:lineRule="exact"/>
              <w:jc w:val="center"/>
              <w:rPr>
                <w:rFonts w:hint="eastAsia" w:ascii="仿宋" w:hAnsi="仿宋" w:eastAsia="仿宋" w:cs="仿宋"/>
                <w:color w:val="auto"/>
                <w:sz w:val="28"/>
                <w:szCs w:val="28"/>
                <w:highlight w:val="none"/>
              </w:rPr>
            </w:pPr>
          </w:p>
        </w:tc>
        <w:tc>
          <w:tcPr>
            <w:tcW w:w="7969" w:type="dxa"/>
            <w:gridSpan w:val="7"/>
            <w:vAlign w:val="center"/>
          </w:tcPr>
          <w:p w14:paraId="5E90F4FA">
            <w:pPr>
              <w:adjustRightInd w:val="0"/>
              <w:snapToGrid w:val="0"/>
              <w:spacing w:line="400" w:lineRule="exact"/>
              <w:jc w:val="left"/>
              <w:rPr>
                <w:rFonts w:hint="eastAsia" w:ascii="仿宋" w:hAnsi="仿宋" w:eastAsia="仿宋" w:cs="仿宋"/>
                <w:color w:val="auto"/>
                <w:sz w:val="28"/>
                <w:szCs w:val="28"/>
                <w:highlight w:val="none"/>
              </w:rPr>
            </w:pPr>
            <w:r>
              <w:rPr>
                <w:rFonts w:hint="eastAsia" w:ascii="仿宋_GB2312" w:hAnsi="仿宋_GB2312" w:eastAsia="仿宋_GB2312" w:cs="仿宋_GB2312"/>
                <w:color w:val="auto"/>
                <w:sz w:val="28"/>
                <w:szCs w:val="28"/>
                <w:highlight w:val="none"/>
                <w:lang w:val="en-US" w:eastAsia="zh-CN"/>
              </w:rPr>
              <w:t>附件：2025年3月阶梯项目咨询有限公司出具的《学院危房拆除电箱移位及电缆下地工程预算审核报告》和《学院危房拆除电箱移位及电缆下地工程招标工程量清单》</w:t>
            </w:r>
          </w:p>
        </w:tc>
      </w:tr>
      <w:tr w14:paraId="68F1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97" w:type="dxa"/>
            <w:vAlign w:val="center"/>
          </w:tcPr>
          <w:p w14:paraId="0C4D4560">
            <w:pPr>
              <w:adjustRightInd w:val="0"/>
              <w:snapToGrid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合计</w:t>
            </w:r>
          </w:p>
        </w:tc>
        <w:tc>
          <w:tcPr>
            <w:tcW w:w="1877" w:type="dxa"/>
            <w:vAlign w:val="center"/>
          </w:tcPr>
          <w:p w14:paraId="2ABBAA36">
            <w:pPr>
              <w:adjustRightInd w:val="0"/>
              <w:snapToGrid w:val="0"/>
              <w:spacing w:line="400" w:lineRule="exact"/>
              <w:jc w:val="center"/>
              <w:rPr>
                <w:rFonts w:hint="eastAsia" w:ascii="仿宋" w:hAnsi="仿宋" w:eastAsia="仿宋" w:cs="仿宋"/>
                <w:i/>
                <w:color w:val="auto"/>
                <w:sz w:val="28"/>
                <w:szCs w:val="28"/>
                <w:highlight w:val="none"/>
                <w:u w:val="single"/>
              </w:rPr>
            </w:pPr>
          </w:p>
        </w:tc>
        <w:tc>
          <w:tcPr>
            <w:tcW w:w="1195" w:type="dxa"/>
            <w:vAlign w:val="center"/>
          </w:tcPr>
          <w:p w14:paraId="076E9E5A">
            <w:pPr>
              <w:adjustRightInd w:val="0"/>
              <w:snapToGrid w:val="0"/>
              <w:spacing w:line="400" w:lineRule="exact"/>
              <w:jc w:val="center"/>
              <w:rPr>
                <w:rFonts w:hint="eastAsia" w:ascii="仿宋" w:hAnsi="仿宋" w:eastAsia="仿宋" w:cs="仿宋"/>
                <w:color w:val="auto"/>
                <w:sz w:val="28"/>
                <w:szCs w:val="28"/>
                <w:highlight w:val="none"/>
              </w:rPr>
            </w:pPr>
          </w:p>
        </w:tc>
        <w:tc>
          <w:tcPr>
            <w:tcW w:w="831" w:type="dxa"/>
            <w:vAlign w:val="center"/>
          </w:tcPr>
          <w:p w14:paraId="7314645B">
            <w:pPr>
              <w:adjustRightInd w:val="0"/>
              <w:snapToGrid w:val="0"/>
              <w:spacing w:line="400" w:lineRule="exact"/>
              <w:jc w:val="center"/>
              <w:rPr>
                <w:rFonts w:hint="eastAsia" w:ascii="仿宋" w:hAnsi="仿宋" w:eastAsia="仿宋" w:cs="仿宋"/>
                <w:color w:val="auto"/>
                <w:sz w:val="28"/>
                <w:szCs w:val="28"/>
                <w:highlight w:val="none"/>
              </w:rPr>
            </w:pPr>
          </w:p>
        </w:tc>
        <w:tc>
          <w:tcPr>
            <w:tcW w:w="1091" w:type="dxa"/>
            <w:vAlign w:val="center"/>
          </w:tcPr>
          <w:p w14:paraId="4B5D06FD">
            <w:pPr>
              <w:adjustRightInd w:val="0"/>
              <w:snapToGrid w:val="0"/>
              <w:spacing w:line="400" w:lineRule="exact"/>
              <w:jc w:val="center"/>
              <w:rPr>
                <w:rFonts w:hint="eastAsia" w:ascii="仿宋" w:hAnsi="仿宋" w:eastAsia="仿宋" w:cs="仿宋"/>
                <w:color w:val="auto"/>
                <w:sz w:val="28"/>
                <w:szCs w:val="28"/>
                <w:highlight w:val="none"/>
              </w:rPr>
            </w:pPr>
          </w:p>
        </w:tc>
        <w:tc>
          <w:tcPr>
            <w:tcW w:w="1091" w:type="dxa"/>
            <w:vAlign w:val="center"/>
          </w:tcPr>
          <w:p w14:paraId="5D43DDC3">
            <w:pPr>
              <w:adjustRightInd w:val="0"/>
              <w:snapToGrid w:val="0"/>
              <w:spacing w:line="400" w:lineRule="exact"/>
              <w:jc w:val="center"/>
              <w:rPr>
                <w:rFonts w:hint="eastAsia" w:ascii="仿宋" w:hAnsi="仿宋" w:eastAsia="仿宋" w:cs="仿宋"/>
                <w:color w:val="auto"/>
                <w:sz w:val="28"/>
                <w:szCs w:val="28"/>
                <w:highlight w:val="none"/>
              </w:rPr>
            </w:pPr>
          </w:p>
        </w:tc>
        <w:tc>
          <w:tcPr>
            <w:tcW w:w="1091" w:type="dxa"/>
            <w:vAlign w:val="center"/>
          </w:tcPr>
          <w:p w14:paraId="2127632D">
            <w:pPr>
              <w:adjustRightInd w:val="0"/>
              <w:snapToGrid w:val="0"/>
              <w:spacing w:line="400" w:lineRule="exact"/>
              <w:jc w:val="center"/>
              <w:rPr>
                <w:rFonts w:hint="eastAsia" w:ascii="仿宋" w:hAnsi="仿宋" w:eastAsia="仿宋" w:cs="仿宋"/>
                <w:color w:val="auto"/>
                <w:sz w:val="28"/>
                <w:szCs w:val="28"/>
                <w:highlight w:val="none"/>
              </w:rPr>
            </w:pPr>
          </w:p>
        </w:tc>
        <w:tc>
          <w:tcPr>
            <w:tcW w:w="793" w:type="dxa"/>
            <w:vAlign w:val="center"/>
          </w:tcPr>
          <w:p w14:paraId="57C6B638">
            <w:pPr>
              <w:adjustRightInd w:val="0"/>
              <w:snapToGrid w:val="0"/>
              <w:spacing w:line="400" w:lineRule="exact"/>
              <w:jc w:val="center"/>
              <w:rPr>
                <w:rFonts w:hint="eastAsia" w:ascii="仿宋" w:hAnsi="仿宋" w:eastAsia="仿宋" w:cs="仿宋"/>
                <w:color w:val="auto"/>
                <w:sz w:val="28"/>
                <w:szCs w:val="28"/>
                <w:highlight w:val="none"/>
              </w:rPr>
            </w:pPr>
          </w:p>
        </w:tc>
      </w:tr>
    </w:tbl>
    <w:p w14:paraId="2B1183B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备注：</w:t>
      </w:r>
      <w:r>
        <w:rPr>
          <w:rFonts w:hint="eastAsia" w:ascii="仿宋" w:hAnsi="仿宋" w:eastAsia="仿宋" w:cs="仿宋"/>
          <w:color w:val="auto"/>
          <w:sz w:val="28"/>
          <w:szCs w:val="28"/>
          <w:highlight w:val="none"/>
        </w:rPr>
        <w:t>本表根据项目类型可调整，其中：</w:t>
      </w:r>
    </w:p>
    <w:p w14:paraId="64E888D2">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1.政府购买服务项目请在备注栏注明指导性目录编号。</w:t>
      </w:r>
    </w:p>
    <w:p w14:paraId="757F0994">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2.服务类采购项目请提供服务内容或方案清单作附件。</w:t>
      </w:r>
    </w:p>
    <w:p w14:paraId="57EF50CD">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3.工程类采购项目请提供工程量清单作附件。</w:t>
      </w:r>
    </w:p>
    <w:p w14:paraId="370E77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（三）技术商务要求</w:t>
      </w:r>
    </w:p>
    <w:p w14:paraId="06E5997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1.技术要求</w:t>
      </w:r>
    </w:p>
    <w:p w14:paraId="1C8E852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技术要求是指对采购标的的功能和质量要求，包括性能、材料、结构、外观、安全，或者服务内容和标准等。功能和质量指标的设置要充分考虑可能影响供应商报价和项目实施风险的因素。</w:t>
      </w:r>
    </w:p>
    <w:p w14:paraId="5C55CDF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 质量标准：符合国家《建设工程施工质量验收统一标准》（GB50300-2001）、《电气装置安装工程电缆线路施工及验收规范》（GB50168-2006)以及配套的相关工程质量验收规范的合格等级。</w:t>
      </w:r>
    </w:p>
    <w:p w14:paraId="6325E02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 项目施工不得影响危房拆除及加固工程项目的正常施工，两项目施工班组应保持沟通，全力配合，保障工程施工的顺畅性及安全性。</w:t>
      </w:r>
    </w:p>
    <w:p w14:paraId="6117884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 安全要求：</w:t>
      </w:r>
    </w:p>
    <w:p w14:paraId="5C27E92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1.3.1 承包人（乙方）应对进场施工人员进行安全技术交底，加强安全教育培训宣传，增强安全意识。</w:t>
      </w:r>
    </w:p>
    <w:p w14:paraId="5B1F110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1.3.2 承包人（乙方）应在施工区域周围设禁区围栏警戒标志，派专人监护，禁止非工作人员进入施工现场。</w:t>
      </w:r>
    </w:p>
    <w:p w14:paraId="16FBB28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1.3.3 承包人（乙方）应根据现场实际情况搭设临时防护设施，避免施工时的砂石、灰尘飞扬影响生产的正常进行。</w:t>
      </w:r>
    </w:p>
    <w:p w14:paraId="116E0A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1.3.4 若发包人（甲方）或监理在现场巡查过程中发现安全隐患，承包方必须立即整改，如整改不到位，不得进行施工。</w:t>
      </w:r>
    </w:p>
    <w:p w14:paraId="716654A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1.4 验收要求：</w:t>
      </w:r>
    </w:p>
    <w:p w14:paraId="0016A4D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1.4.1 经相关部门、发包人（甲方）按国家有关施工及规范验收，确保验收合格。项目验收不合格，由承包人（乙方）返工直至合格，有关返工、再行验收，由此给发包人（甲方）造成的损失等费用由承包人（乙方）承担。</w:t>
      </w:r>
    </w:p>
    <w:p w14:paraId="2F2A34B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1.4.2 项目完成后，承包人（乙方）应将项目有关的全部资料，包括技术文档、施工图纸等，移交发包人（甲方）。</w:t>
      </w:r>
    </w:p>
    <w:p w14:paraId="19ABCA9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 参与此项工程投标的单位必须具有电力施工的资质。</w:t>
      </w:r>
    </w:p>
    <w:p w14:paraId="7FE6115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 投标人应按照国家和省有关法律法规、规范标准和湘建建[2020]208号文《湖南省建设工程施工项目部和现场监理部关键岗位人员配备管理办法》规定配备施工项目部关键岗位人员，即至少项目负责人1人、施工员1人、安全员1人，且不得有其它在建项目并提供无在建承诺或证明，提供人员岗位证书（复印件）和二代身份证（复印件）。以上人员均须提供2025年度近三个月（3月至5月）中任意一个月投标单位为其缴纳社保的证明材料。</w:t>
      </w:r>
    </w:p>
    <w:p w14:paraId="5FDB8D3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 施工员具有岗位资格证书，安全员具有安全员岗位资格证书和安全考核合格证书。</w:t>
      </w:r>
    </w:p>
    <w:p w14:paraId="6DD8F4B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1.8 投标单位施工项目部关键岗位人员在成交后不得擅自变更，如确需变更，须经发包人（甲方）同意。</w:t>
      </w:r>
    </w:p>
    <w:p w14:paraId="79B7B8B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1.9 承包人（乙方）须加强施工现场的组织管理，所有施工人员必须持证上岗，严格遵守安全文明施工的有关规章制度以及发包人（甲方）相关制度。如发生任何施工安全、交通安全事故一切经济、法律责任由承包人（乙方）承担。</w:t>
      </w:r>
    </w:p>
    <w:p w14:paraId="0AA8FD3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1.10 未列出的技术规范按国家有关规定执行，除上述技术规范外，若有遗缺，按国家或行业现行的有关规定执行，国家和行业不全的按本地有关部门规定和标准执行。</w:t>
      </w:r>
    </w:p>
    <w:p w14:paraId="6A3CB9F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2.商务要求</w:t>
      </w:r>
    </w:p>
    <w:p w14:paraId="3544933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2.1 工期要求：合同生效之日起</w:t>
      </w:r>
      <w:r>
        <w:rPr>
          <w:rFonts w:hint="eastAsia" w:ascii="仿宋_GB2312" w:hAnsi="仿宋_GB2312" w:eastAsia="仿宋_GB2312" w:cs="仿宋_GB2312"/>
          <w:b w:val="0"/>
          <w:bCs w:val="0"/>
          <w:color w:val="auto"/>
          <w:sz w:val="28"/>
          <w:szCs w:val="28"/>
          <w:highlight w:val="none"/>
          <w:lang w:val="en-US" w:eastAsia="zh-CN"/>
        </w:rPr>
        <w:t>30</w:t>
      </w:r>
      <w:r>
        <w:rPr>
          <w:rFonts w:hint="eastAsia" w:ascii="仿宋_GB2312" w:hAnsi="仿宋_GB2312" w:eastAsia="仿宋_GB2312" w:cs="仿宋_GB2312"/>
          <w:color w:val="auto"/>
          <w:sz w:val="28"/>
          <w:szCs w:val="28"/>
          <w:highlight w:val="none"/>
          <w:lang w:val="en-US" w:eastAsia="zh-CN"/>
        </w:rPr>
        <w:t>日历日，如因学生公寓8#A区拆除因素造成无法施工，工期顺延。</w:t>
      </w:r>
    </w:p>
    <w:p w14:paraId="7076840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2.2 按国务院2000年第279号令《建设工程质量管理条例》和建设部80号令《房屋建筑工程质量保修办法》相关规定保修。</w:t>
      </w:r>
    </w:p>
    <w:p w14:paraId="3B49E43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2.3 付款方式：按进度付款，具体双方合同约定。</w:t>
      </w:r>
    </w:p>
    <w:p w14:paraId="5ED2F6F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2.4 本次采购为普通工程项目。投标总报价应包含工程量清单所确定的招标范围内的全部内容。</w:t>
      </w:r>
    </w:p>
    <w:p w14:paraId="483C549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 本项目工程结算由发包人（甲方）选定的第三方机构出具工程结算报告，结算总金额超出合同总金额，超出部分由施工方承担；结算总金额低于合同总金额，发包人（甲方）按结算金额付款。</w:t>
      </w:r>
    </w:p>
    <w:p w14:paraId="6917ACE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2.6 在施工期间因不可抗力事件或其他因素导致的费用，发包人（甲方）和承包人（乙方）应按以下原则分别承担并调整工程价款：</w:t>
      </w:r>
    </w:p>
    <w:p w14:paraId="5646764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2.6.1 承包人（乙方）应在不可抗力事件发生后48小时内提交书面报告（附官方证明文件），未及时报告导致损失扩大的，应承担扩大部分责任。</w:t>
      </w:r>
    </w:p>
    <w:p w14:paraId="42C9097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2.6.2 永久工程、已进场工程设备及材料的损失由承包人（乙方）承担。</w:t>
      </w:r>
    </w:p>
    <w:p w14:paraId="07AE5E5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2.6.3 承包人施工机械设备损坏、周转材料损失及停工期间必要人员工资由承包人（乙方）承担。</w:t>
      </w:r>
    </w:p>
    <w:p w14:paraId="167FD5E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2.6.4 包括但不限于工程所在场地内第三方人员伤亡及财产损失由承包人（乙方）承担。</w:t>
      </w:r>
    </w:p>
    <w:p w14:paraId="05F0AF6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附件：技术参数明细表</w:t>
      </w:r>
    </w:p>
    <w:p w14:paraId="27F8D64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p>
    <w:p w14:paraId="4263040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p>
    <w:p w14:paraId="2BEE93B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p>
    <w:tbl>
      <w:tblPr>
        <w:tblStyle w:val="3"/>
        <w:tblW w:w="8589" w:type="dxa"/>
        <w:tblInd w:w="264" w:type="dxa"/>
        <w:tblLayout w:type="fixed"/>
        <w:tblCellMar>
          <w:top w:w="0" w:type="dxa"/>
          <w:left w:w="108" w:type="dxa"/>
          <w:bottom w:w="0" w:type="dxa"/>
          <w:right w:w="108" w:type="dxa"/>
        </w:tblCellMar>
      </w:tblPr>
      <w:tblGrid>
        <w:gridCol w:w="771"/>
        <w:gridCol w:w="1212"/>
        <w:gridCol w:w="4172"/>
        <w:gridCol w:w="655"/>
        <w:gridCol w:w="921"/>
        <w:gridCol w:w="858"/>
      </w:tblGrid>
      <w:tr w14:paraId="0CDAA54F">
        <w:tblPrEx>
          <w:tblCellMar>
            <w:top w:w="0" w:type="dxa"/>
            <w:left w:w="108" w:type="dxa"/>
            <w:bottom w:w="0" w:type="dxa"/>
            <w:right w:w="108" w:type="dxa"/>
          </w:tblCellMar>
        </w:tblPrEx>
        <w:trPr>
          <w:trHeight w:val="648"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00E51491">
            <w:pPr>
              <w:widowControl/>
              <w:spacing w:line="320" w:lineRule="exact"/>
              <w:jc w:val="center"/>
              <w:textAlignment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1212" w:type="dxa"/>
            <w:tcBorders>
              <w:top w:val="single" w:color="000000" w:sz="4" w:space="0"/>
              <w:left w:val="single" w:color="000000" w:sz="4" w:space="0"/>
              <w:bottom w:val="single" w:color="000000" w:sz="4" w:space="0"/>
              <w:right w:val="single" w:color="000000" w:sz="4" w:space="0"/>
            </w:tcBorders>
            <w:vAlign w:val="center"/>
          </w:tcPr>
          <w:p w14:paraId="07EDD3F7">
            <w:pPr>
              <w:widowControl/>
              <w:spacing w:line="320" w:lineRule="exact"/>
              <w:jc w:val="center"/>
              <w:textAlignment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产品名称</w:t>
            </w:r>
          </w:p>
        </w:tc>
        <w:tc>
          <w:tcPr>
            <w:tcW w:w="4172" w:type="dxa"/>
            <w:tcBorders>
              <w:top w:val="single" w:color="000000" w:sz="4" w:space="0"/>
              <w:left w:val="single" w:color="000000" w:sz="4" w:space="0"/>
              <w:bottom w:val="single" w:color="000000" w:sz="4" w:space="0"/>
              <w:right w:val="single" w:color="000000" w:sz="4" w:space="0"/>
            </w:tcBorders>
            <w:noWrap/>
            <w:vAlign w:val="center"/>
          </w:tcPr>
          <w:p w14:paraId="71032667">
            <w:pPr>
              <w:widowControl/>
              <w:spacing w:line="320" w:lineRule="exact"/>
              <w:jc w:val="center"/>
              <w:textAlignment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产品参数及性能配置要求</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3BD90BE2">
            <w:pPr>
              <w:widowControl/>
              <w:spacing w:line="320" w:lineRule="exact"/>
              <w:jc w:val="center"/>
              <w:textAlignment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3DCA3421">
            <w:pPr>
              <w:widowControl/>
              <w:spacing w:line="320" w:lineRule="exact"/>
              <w:jc w:val="center"/>
              <w:textAlignment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215143F0">
            <w:pPr>
              <w:widowControl/>
              <w:spacing w:line="320" w:lineRule="exact"/>
              <w:jc w:val="center"/>
              <w:textAlignment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72DF4B70">
        <w:tblPrEx>
          <w:tblCellMar>
            <w:top w:w="0" w:type="dxa"/>
            <w:left w:w="108" w:type="dxa"/>
            <w:bottom w:w="0" w:type="dxa"/>
            <w:right w:w="108" w:type="dxa"/>
          </w:tblCellMar>
        </w:tblPrEx>
        <w:trPr>
          <w:trHeight w:val="1889"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F087">
            <w:pPr>
              <w:widowControl/>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7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7795D4">
            <w:pPr>
              <w:widowControl/>
              <w:jc w:val="left"/>
              <w:textAlignment w:val="center"/>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详见：附件。</w:t>
            </w:r>
          </w:p>
          <w:p w14:paraId="79459AF4">
            <w:pPr>
              <w:widowControl/>
              <w:jc w:val="left"/>
              <w:textAlignment w:val="center"/>
              <w:rPr>
                <w:rFonts w:hint="default" w:ascii="仿宋" w:hAnsi="仿宋" w:eastAsia="仿宋" w:cs="仿宋"/>
                <w:color w:val="auto"/>
                <w:kern w:val="0"/>
                <w:sz w:val="21"/>
                <w:szCs w:val="21"/>
                <w:highlight w:val="none"/>
                <w:lang w:val="en-US"/>
              </w:rPr>
            </w:pPr>
            <w:r>
              <w:rPr>
                <w:rFonts w:hint="eastAsia" w:ascii="仿宋" w:hAnsi="仿宋" w:eastAsia="仿宋" w:cs="仿宋"/>
                <w:b w:val="0"/>
                <w:bCs w:val="0"/>
                <w:color w:val="auto"/>
                <w:sz w:val="28"/>
                <w:szCs w:val="28"/>
                <w:highlight w:val="none"/>
                <w:u w:val="none"/>
                <w:lang w:val="en-US" w:eastAsia="zh-CN"/>
              </w:rPr>
              <w:t>附件：2025年3月阶梯项目咨询有限公司出具的</w:t>
            </w: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lang w:val="en-US" w:eastAsia="zh-CN"/>
              </w:rPr>
              <w:t>学院危房拆除电箱移位及电缆下地工程预算审核报告</w:t>
            </w: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lang w:val="en-US" w:eastAsia="zh-CN"/>
              </w:rPr>
              <w:t>和</w:t>
            </w: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lang w:val="en-US" w:eastAsia="zh-CN"/>
              </w:rPr>
              <w:t>学院危房拆除电箱移位及电缆下地工程招标工程量清单</w:t>
            </w:r>
            <w:r>
              <w:rPr>
                <w:rFonts w:hint="eastAsia" w:ascii="仿宋" w:hAnsi="仿宋" w:eastAsia="仿宋" w:cs="仿宋"/>
                <w:b w:val="0"/>
                <w:bCs w:val="0"/>
                <w:color w:val="auto"/>
                <w:sz w:val="28"/>
                <w:szCs w:val="28"/>
                <w:highlight w:val="none"/>
                <w:u w:val="none"/>
                <w:lang w:eastAsia="zh-CN"/>
              </w:rPr>
              <w:t>》</w:t>
            </w:r>
          </w:p>
        </w:tc>
      </w:tr>
    </w:tbl>
    <w:p w14:paraId="2AF9AB08">
      <w:pPr>
        <w:rPr>
          <w:color w:val="auto"/>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N2I5ODk2MDhjNTkwOGU1ZGY5ZTdkNWI3MDIzZmIifQ=="/>
  </w:docVars>
  <w:rsids>
    <w:rsidRoot w:val="057C7A9B"/>
    <w:rsid w:val="00E50259"/>
    <w:rsid w:val="01E1787F"/>
    <w:rsid w:val="02E61F3C"/>
    <w:rsid w:val="03893646"/>
    <w:rsid w:val="057C7A9B"/>
    <w:rsid w:val="0A457539"/>
    <w:rsid w:val="0A7A318A"/>
    <w:rsid w:val="10E464D8"/>
    <w:rsid w:val="1627775C"/>
    <w:rsid w:val="169F7B05"/>
    <w:rsid w:val="17C1716B"/>
    <w:rsid w:val="1BCF6027"/>
    <w:rsid w:val="1BDF36A6"/>
    <w:rsid w:val="1F497C60"/>
    <w:rsid w:val="21790641"/>
    <w:rsid w:val="21E13B7B"/>
    <w:rsid w:val="223D243C"/>
    <w:rsid w:val="242C269C"/>
    <w:rsid w:val="25C074EE"/>
    <w:rsid w:val="2CC94A4F"/>
    <w:rsid w:val="2ED84384"/>
    <w:rsid w:val="30F158A2"/>
    <w:rsid w:val="334439E4"/>
    <w:rsid w:val="36C941C4"/>
    <w:rsid w:val="40004E39"/>
    <w:rsid w:val="41546D80"/>
    <w:rsid w:val="418644F7"/>
    <w:rsid w:val="426B4623"/>
    <w:rsid w:val="4BE16B52"/>
    <w:rsid w:val="4D0B3AFD"/>
    <w:rsid w:val="4DCD537A"/>
    <w:rsid w:val="4F432811"/>
    <w:rsid w:val="50986335"/>
    <w:rsid w:val="51C72104"/>
    <w:rsid w:val="52BA2652"/>
    <w:rsid w:val="53EC182C"/>
    <w:rsid w:val="57225CEB"/>
    <w:rsid w:val="5A9F29C3"/>
    <w:rsid w:val="5E882884"/>
    <w:rsid w:val="60FD6695"/>
    <w:rsid w:val="63B33C0F"/>
    <w:rsid w:val="67624D17"/>
    <w:rsid w:val="676A183A"/>
    <w:rsid w:val="67C17A70"/>
    <w:rsid w:val="69052A00"/>
    <w:rsid w:val="6CD2793B"/>
    <w:rsid w:val="6D531108"/>
    <w:rsid w:val="6EBC3B21"/>
    <w:rsid w:val="722C40DA"/>
    <w:rsid w:val="74E0215D"/>
    <w:rsid w:val="7F5A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3345</Words>
  <Characters>3593</Characters>
  <Lines>0</Lines>
  <Paragraphs>0</Paragraphs>
  <TotalTime>37</TotalTime>
  <ScaleCrop>false</ScaleCrop>
  <LinksUpToDate>false</LinksUpToDate>
  <CharactersWithSpaces>3630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2024-09-05T01:58:00Z</dcterms:created>
  <dc:creator>谢祝生</dc:creator>
  <cp:lastModifiedBy>DELL</cp:lastModifiedBy>
  <cp:lastPrinted>2025-06-17T07:37:00Z</cp:lastPrinted>
  <dcterms:modified xsi:type="dcterms:W3CDTF">2025-06-19T07:26:06Z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56014A8A35814EEB830BA65F96FEEE21_13</vt:lpwstr>
  </property>
  <property fmtid="{D5CDD505-2E9C-101B-9397-08002B2CF9AE}" pid="4" name="KSOTemplateDocerSaveRecord">
    <vt:lpwstr>eyJoZGlkIjoiNThjY2M2ODZhNjRlMzdiNmQ5OTE3ZmUxNjI2NzI2YWEifQ==</vt:lpwstr>
  </property>
</Properties>
</file>