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73A9E">
      <w:pPr>
        <w:pStyle w:val="4"/>
        <w:tabs>
          <w:tab w:val="left" w:pos="8400"/>
        </w:tabs>
        <w:adjustRightInd w:val="0"/>
        <w:snapToGrid w:val="0"/>
        <w:spacing w:line="360" w:lineRule="auto"/>
        <w:jc w:val="center"/>
        <w:rPr>
          <w:rFonts w:hint="eastAsia" w:hAnsi="宋体"/>
          <w:b/>
          <w:sz w:val="72"/>
          <w:szCs w:val="72"/>
        </w:rPr>
      </w:pPr>
    </w:p>
    <w:p w14:paraId="6DCB6578">
      <w:pPr>
        <w:pStyle w:val="4"/>
        <w:tabs>
          <w:tab w:val="left" w:pos="8400"/>
        </w:tabs>
        <w:adjustRightInd w:val="0"/>
        <w:snapToGrid w:val="0"/>
        <w:spacing w:line="360" w:lineRule="auto"/>
        <w:jc w:val="center"/>
        <w:rPr>
          <w:rFonts w:hint="eastAsia" w:hAnsi="宋体"/>
          <w:b/>
          <w:sz w:val="72"/>
          <w:szCs w:val="72"/>
        </w:rPr>
      </w:pPr>
      <w:bookmarkStart w:id="1" w:name="_GoBack"/>
      <w:bookmarkEnd w:id="1"/>
    </w:p>
    <w:p w14:paraId="55B02410">
      <w:pPr>
        <w:pStyle w:val="4"/>
        <w:tabs>
          <w:tab w:val="left" w:pos="8400"/>
        </w:tabs>
        <w:adjustRightInd w:val="0"/>
        <w:snapToGrid w:val="0"/>
        <w:spacing w:line="360" w:lineRule="auto"/>
        <w:jc w:val="center"/>
        <w:rPr>
          <w:rFonts w:hAnsi="宋体"/>
          <w:b/>
          <w:sz w:val="72"/>
          <w:szCs w:val="72"/>
        </w:rPr>
      </w:pPr>
      <w:r>
        <w:rPr>
          <w:rFonts w:hint="eastAsia" w:hAnsi="宋体"/>
          <w:b/>
          <w:sz w:val="72"/>
          <w:szCs w:val="72"/>
        </w:rPr>
        <w:t>电子卖场竞价文件</w:t>
      </w:r>
    </w:p>
    <w:p w14:paraId="6164578C">
      <w:pPr>
        <w:pStyle w:val="4"/>
        <w:adjustRightInd w:val="0"/>
        <w:snapToGrid w:val="0"/>
        <w:spacing w:line="800" w:lineRule="exact"/>
        <w:rPr>
          <w:rFonts w:hAnsi="宋体"/>
          <w:b/>
          <w:sz w:val="84"/>
          <w:szCs w:val="84"/>
        </w:rPr>
      </w:pPr>
    </w:p>
    <w:p w14:paraId="617F789D">
      <w:pPr>
        <w:pStyle w:val="4"/>
        <w:adjustRightInd w:val="0"/>
        <w:snapToGrid w:val="0"/>
        <w:spacing w:line="800" w:lineRule="exact"/>
        <w:rPr>
          <w:rFonts w:hAnsi="宋体"/>
          <w:b/>
          <w:sz w:val="84"/>
          <w:szCs w:val="84"/>
        </w:rPr>
      </w:pPr>
    </w:p>
    <w:p w14:paraId="3F72806E">
      <w:pPr>
        <w:adjustRightInd w:val="0"/>
        <w:snapToGrid w:val="0"/>
        <w:spacing w:line="800" w:lineRule="exact"/>
        <w:ind w:left="0" w:leftChars="0" w:right="-244" w:rightChars="-116" w:firstLine="683" w:firstLineChars="200"/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</w:rPr>
        <w:t>采购项目名称：祁东县国民经济和社会发展第十五个</w:t>
      </w:r>
    </w:p>
    <w:p w14:paraId="7243084F">
      <w:pPr>
        <w:adjustRightInd w:val="0"/>
        <w:snapToGrid w:val="0"/>
        <w:spacing w:line="800" w:lineRule="exact"/>
        <w:ind w:left="0" w:leftChars="0" w:right="-244" w:rightChars="-116" w:firstLine="3072" w:firstLineChars="900"/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</w:rPr>
        <w:t>五年规划编制服务</w:t>
      </w:r>
    </w:p>
    <w:p w14:paraId="10A2A069">
      <w:pPr>
        <w:widowControl/>
        <w:ind w:firstLine="1707" w:firstLineChars="500"/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</w:rPr>
      </w:pPr>
    </w:p>
    <w:p w14:paraId="05BD319F">
      <w:pPr>
        <w:widowControl/>
        <w:ind w:firstLine="683" w:firstLineChars="200"/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</w:rPr>
        <w:t>采   购   人：祁东县发展和改革局</w:t>
      </w:r>
    </w:p>
    <w:p w14:paraId="49F08A3A">
      <w:pP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</w:rPr>
        <w:br w:type="page"/>
      </w:r>
    </w:p>
    <w:p w14:paraId="3CA99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20" w:lineRule="exact"/>
        <w:jc w:val="center"/>
        <w:textAlignment w:val="auto"/>
        <w:rPr>
          <w:rFonts w:hint="eastAsia" w:ascii="华文细黑" w:hAnsi="华文细黑" w:eastAsia="华文细黑" w:cs="华文细黑"/>
          <w:w w:val="100"/>
          <w:sz w:val="44"/>
          <w:szCs w:val="44"/>
        </w:rPr>
      </w:pPr>
      <w:r>
        <w:rPr>
          <w:rFonts w:hint="eastAsia" w:ascii="华文细黑" w:hAnsi="华文细黑" w:eastAsia="华文细黑" w:cs="华文细黑"/>
          <w:w w:val="100"/>
          <w:sz w:val="44"/>
          <w:szCs w:val="44"/>
        </w:rPr>
        <w:t>电子卖场竞价采购需求</w:t>
      </w:r>
    </w:p>
    <w:p w14:paraId="521E5B15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14:paraId="7199179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一、采购单位：祁东县发展和改革局</w:t>
      </w:r>
    </w:p>
    <w:p w14:paraId="192B937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-244" w:rightChars="-116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祁东县国民经济和社会发展第十五个五年规划编制服务</w:t>
      </w:r>
    </w:p>
    <w:p w14:paraId="66C209A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三、项目预算及控制价：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680000.00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 w14:paraId="3CFA5CA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四、采购方式：电子卖场竞价</w:t>
      </w:r>
    </w:p>
    <w:p w14:paraId="6BC284C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五、投标人资质要求：</w:t>
      </w:r>
    </w:p>
    <w:p w14:paraId="206DCDD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（一）基本资格条件</w:t>
      </w:r>
    </w:p>
    <w:p w14:paraId="2F7FA16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1、满足《中华人民共和国政府采购法》第二十二条规定，即：</w:t>
      </w:r>
    </w:p>
    <w:p w14:paraId="4E5ED70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（1）具有独立承担民事责任的能力；</w:t>
      </w:r>
    </w:p>
    <w:p w14:paraId="276B609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（2）具有良好的商业信誉和健全的财务会计制度；</w:t>
      </w:r>
    </w:p>
    <w:p w14:paraId="5D6533C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（3）具有履行合同所必需的设备和专业技术能力；</w:t>
      </w:r>
    </w:p>
    <w:p w14:paraId="0E81537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（4）有依法缴纳税收和社会保障资金的良好记录；</w:t>
      </w:r>
    </w:p>
    <w:p w14:paraId="126B7F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（5）参加政府采购活动前三年内，在经营活动中没有重大违法记录；</w:t>
      </w:r>
    </w:p>
    <w:p w14:paraId="410277D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（6）法律、行政法规规定的其他条件。</w:t>
      </w:r>
    </w:p>
    <w:p w14:paraId="16BC578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2、满足湖南省政府采购电子卖场管理办法的供应商。</w:t>
      </w:r>
    </w:p>
    <w:p w14:paraId="5275FF5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（二）特定资格条件：无</w:t>
      </w:r>
    </w:p>
    <w:p w14:paraId="13D1F37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（三）单位负责人为同一人或者存在直接控股、管理关系的不同投标人，不得参加同一合同项下的政府采购活动。</w:t>
      </w:r>
    </w:p>
    <w:p w14:paraId="7875F8E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    （四）为本采购项目提供整体设计、规范编制或者项目管理、监理、检测等服务的，不得再参加此项目的其他招标采购活动。</w:t>
      </w:r>
    </w:p>
    <w:p w14:paraId="60DB1D4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140" w:firstLineChars="44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   （五）列入失信被执行人、重大税收违法案件当事人名单，列入政府采购严重违法失信行为记录名单的，拒绝其参与政府采购活动。</w:t>
      </w:r>
    </w:p>
    <w:p w14:paraId="50FFC2D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 xml:space="preserve">    （六）本项目不接受联合体报名。</w:t>
      </w:r>
    </w:p>
    <w:p w14:paraId="7EE301A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六、项目情况及清单内容或服务要求</w:t>
      </w:r>
    </w:p>
    <w:p w14:paraId="65C3696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-244" w:rightChars="-116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1、项目基本情况：祁东县国民经济和社会发展第十五个五年规划编制服务</w:t>
      </w:r>
    </w:p>
    <w:p w14:paraId="3BB815BE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服务要求及内容</w:t>
      </w:r>
    </w:p>
    <w:p w14:paraId="2026FFD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(1)项目背景：</w:t>
      </w:r>
    </w:p>
    <w:p w14:paraId="1332224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十五五”时期，是我国全面推进中国式现代化建设的重要历史时期，也是事关能否顺利实现2035远景目标和第二个百年奋斗目标的关键时期，研究和编制好“十五五”规划纲要，对祁东县的经济社会高质量发展有十分重要的积极作用。按照省委省政府和市委市政府工作部署，准确把握祁东县“十五五”时期发展的阶段性特征， 认真贯彻党的二十届三中全会精神，深化重点领域和关键环节改革，科学研判数字化转型、绿色低碳转型背景下，加快培育新质生产力，抢抓新范式赋能、新赛道开辟机遇，系统完善创新创业服务链条，形成具有祁东县特色、多方联动、协同共享的良好发展环境，研究、编制《</w:t>
      </w:r>
      <w:bookmarkStart w:id="0" w:name="_Hlk200961454"/>
      <w:r>
        <w:rPr>
          <w:rFonts w:hint="eastAsia" w:ascii="仿宋_GB2312" w:hAnsi="仿宋_GB2312" w:eastAsia="仿宋_GB2312" w:cs="仿宋_GB2312"/>
          <w:sz w:val="32"/>
          <w:szCs w:val="32"/>
        </w:rPr>
        <w:t>祁东县国民经济和社会发展第十五个五年规划纲要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</w:p>
    <w:p w14:paraId="504DC75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(2)服务要求：</w:t>
      </w:r>
    </w:p>
    <w:p w14:paraId="52E5EC2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① 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梳理总结“十四五”时期祁东县经济社会发展成就，对“十四五”规划实施情况进行全面总结评估，围绕规划实施的主要问题和薄弱环节，分析查找原因，并提出针对性的建议和改进措施，为“十五五”规划编制打牢基础。</w:t>
      </w:r>
    </w:p>
    <w:p w14:paraId="59A1D5A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分析国内外宏观形势，总结祁东县“十五五”发展的阶段性特征，科学设定“十五五”时期目标任务、指标体系以及保障措施，根据“十五五”时期的阶段性任务，设置抓重点、补短板、强弱项的指标，确保“十五五”规划指标能够体现高质量发展要求。</w:t>
      </w:r>
    </w:p>
    <w:p w14:paraId="308D818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围绕祁东县创新发展面临的重点、难点、热点问题，从发展思路转变、体制机制创新、政策手段完善等多个维度进行深度分析和积极探索，实现定点聚焦突破。</w:t>
      </w:r>
    </w:p>
    <w:p w14:paraId="3FAF753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超前谋划和切实推动祁东县“十五五”时期重点工作，以第三方新视角开展新评价，研究新思路，提出新措施。围绕确保调研工作和规划编制取得实效，能真正为祁东县“十五五”时期经济社会高质量发展做好顶层设计，要做到现状梳理既系统全面又纲举目张，问题分析既符合实际又切中要害，对策建议既超前谋划又切实可行。</w:t>
      </w:r>
    </w:p>
    <w:p w14:paraId="49313A1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(3)其他相关要求:</w:t>
      </w:r>
    </w:p>
    <w:p w14:paraId="008D6BA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成立编制项目组，收集祁东县有关产业的产业经济数据以及研究资料，组织开展调研活动积极组织设计，按相关规范要求保证成果质量，按时提交成果；</w:t>
      </w:r>
    </w:p>
    <w:p w14:paraId="4C67B87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.分阶段向委托方或政府汇报规划编制的相关工作，积极听取相关部门、专家和领导意见，完善规划的相关内容；</w:t>
      </w:r>
    </w:p>
    <w:p w14:paraId="421C7C0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积极与采购人进行沟通，及时解决问题。</w:t>
      </w:r>
    </w:p>
    <w:p w14:paraId="1DA9E24B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七、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验收要求：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规划评审稿需通过专家评审。</w:t>
      </w:r>
    </w:p>
    <w:p w14:paraId="195B2A6B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八、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供应商响应附件要求</w:t>
      </w:r>
    </w:p>
    <w:p w14:paraId="597716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1.营业执照扫描件</w:t>
      </w:r>
    </w:p>
    <w:p w14:paraId="489A84E1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服务方案（工作流程、项目团队、进度安排、保障措施等方面提供完整的服务方案，否则视为无效响应）；</w:t>
      </w:r>
    </w:p>
    <w:p w14:paraId="6AE87EFB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总报价及分项报价（由供应商盖章确认）；</w:t>
      </w:r>
    </w:p>
    <w:p w14:paraId="745C5BD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政府采购严重违法失信行为信息记录查询情况；</w:t>
      </w:r>
    </w:p>
    <w:p w14:paraId="163B4BD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承诺函；</w:t>
      </w:r>
    </w:p>
    <w:p w14:paraId="7BD9A57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自2020年以来，承担过省级以上园区或市县区国家级平台项目申报研究及规划3个及以上，其中至少一个国家级先进制造业集群项目业绩（以上业绩均需提供委托合同复印件或中标通知书，以及申报成功的官网截图，并由供应商加盖公章，原件备查，否则视为无效响应）；</w:t>
      </w:r>
    </w:p>
    <w:p w14:paraId="67AD93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项目团队要求：项目负责人具有高级工程师职称证，并且在项目投标截止日期前60个月做过国家级申报项目，提供项目业主单位相关证明材料。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须提供项目负责人近半年连续3个月社保缴纳证明、职称证书复印件、学位证书复印件并加盖供应商公章，原件备查，否则视为无效响应)。项目团队成员中具有中级职称，方向为经济学或城乡规划相关专业领域的职称，学历学位在硕士及以上，且参加过国家级申报项目,(须提供近半年连续3个月社保缴纳证明、职称证书复印件、学位证书复印件并加盖供应商公章，原件备查，否则视为无效响应。)</w:t>
      </w:r>
    </w:p>
    <w:p w14:paraId="090859B4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8.采购需求清单内容或服务要求；</w:t>
      </w:r>
    </w:p>
    <w:p w14:paraId="206604C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9.以上材料均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需提供清晰的原件扫描件加盖公章，采购人在竞争价结束后须对成交供应商的资质文件原件等进行核查。</w:t>
      </w:r>
    </w:p>
    <w:p w14:paraId="04D28E48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九、其他</w:t>
      </w:r>
    </w:p>
    <w:tbl>
      <w:tblPr>
        <w:tblStyle w:val="8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6555"/>
      </w:tblGrid>
      <w:tr w14:paraId="1B9C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0" w:type="dxa"/>
            <w:vAlign w:val="center"/>
          </w:tcPr>
          <w:p w14:paraId="1CA90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highlight w:val="white"/>
              </w:rPr>
              <w:t>商务项目</w:t>
            </w:r>
          </w:p>
        </w:tc>
        <w:tc>
          <w:tcPr>
            <w:tcW w:w="6555" w:type="dxa"/>
            <w:vAlign w:val="center"/>
          </w:tcPr>
          <w:p w14:paraId="1C3AE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highlight w:val="white"/>
              </w:rPr>
              <w:t>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highlight w:val="whit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highlight w:val="white"/>
              </w:rPr>
              <w:t>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highlight w:val="whit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highlight w:val="white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highlight w:val="whit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highlight w:val="white"/>
              </w:rPr>
              <w:t>求</w:t>
            </w:r>
          </w:p>
        </w:tc>
      </w:tr>
      <w:tr w14:paraId="6945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30" w:type="dxa"/>
            <w:vAlign w:val="center"/>
          </w:tcPr>
          <w:p w14:paraId="6FA2E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  <w:t>参与此竞价项目的其他要求</w:t>
            </w:r>
          </w:p>
        </w:tc>
        <w:tc>
          <w:tcPr>
            <w:tcW w:w="6555" w:type="dxa"/>
          </w:tcPr>
          <w:p w14:paraId="57CCD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  <w:t>为保障服务的质量，以及杜绝恶性竞价，此竞价项目将对资格条件、服务方案、响应文件等进行审核，审核通过后按电子卖场竞价原则确定中标供应商，对于明显恶意低价中标情况，须报成本核算表后再确认。</w:t>
            </w:r>
          </w:p>
        </w:tc>
      </w:tr>
      <w:tr w14:paraId="40E2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0" w:type="dxa"/>
            <w:vAlign w:val="center"/>
          </w:tcPr>
          <w:p w14:paraId="1E1A4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  <w:t>参与此竞价项目供应商的服务性要求</w:t>
            </w:r>
          </w:p>
        </w:tc>
        <w:tc>
          <w:tcPr>
            <w:tcW w:w="6555" w:type="dxa"/>
          </w:tcPr>
          <w:p w14:paraId="708F3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由采购人对供应商进行初步审核。请潜在供供应商线上提交单位介绍信原件扫描件、营业执照扫描件及相关资格证明材料。</w:t>
            </w:r>
          </w:p>
        </w:tc>
      </w:tr>
      <w:tr w14:paraId="74A4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center"/>
          </w:tcPr>
          <w:p w14:paraId="465BD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  <w:t>参与此竞价项目供应商的服务性要求</w:t>
            </w:r>
          </w:p>
        </w:tc>
        <w:tc>
          <w:tcPr>
            <w:tcW w:w="6555" w:type="dxa"/>
          </w:tcPr>
          <w:p w14:paraId="4C264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  <w:t>供应商报价金额为全包干性质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所需的劳务、技术、材料、管理、措施费、规费、税金和利润等所有费用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）</w:t>
            </w:r>
          </w:p>
        </w:tc>
      </w:tr>
      <w:tr w14:paraId="2A7D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230" w:type="dxa"/>
            <w:vAlign w:val="center"/>
          </w:tcPr>
          <w:p w14:paraId="563CD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  <w:t>参与此竞价项目供应商</w:t>
            </w:r>
          </w:p>
          <w:p w14:paraId="7853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  <w:t>法律责任</w:t>
            </w:r>
          </w:p>
        </w:tc>
        <w:tc>
          <w:tcPr>
            <w:tcW w:w="6555" w:type="dxa"/>
          </w:tcPr>
          <w:p w14:paraId="3216A9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whit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如果不满意竞价公示要求内容而恶意竞价的供应商，影响采购方正常工作开展，采购方有权追究其法律责任的权利，同时报政府采购监督部门严肃处理。</w:t>
            </w:r>
          </w:p>
        </w:tc>
      </w:tr>
    </w:tbl>
    <w:p w14:paraId="2D9D8716">
      <w:pPr>
        <w:pStyle w:val="2"/>
        <w:ind w:firstLine="600" w:firstLineChars="200"/>
        <w:rPr>
          <w:rFonts w:ascii="宋体" w:hAnsi="宋体" w:cs="黑体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</w:rPr>
        <w:t>十、供应商应按照以上采购需求规定条款参与投标报价，并完全响应，如有偏离视为无效投标。</w:t>
      </w:r>
    </w:p>
    <w:p w14:paraId="33A03975"/>
    <w:sectPr>
      <w:footerReference r:id="rId3" w:type="default"/>
      <w:pgSz w:w="11906" w:h="16838"/>
      <w:pgMar w:top="1780" w:right="157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4D2B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588C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588C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9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99"/>
    <w:pPr>
      <w:spacing w:line="460" w:lineRule="exact"/>
    </w:pPr>
    <w:rPr>
      <w:rFonts w:ascii="宋体" w:hAnsi="宋体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2025-07-07T02:35:34Z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eyJoZGlkIjoiZDZkMGU2NjIzMWQxMGNkZjYxY2YxYjQyZTRmYmFhZjkifQ==</vt:lpwstr>
  </property>
  <property fmtid="{D5CDD505-2E9C-101B-9397-08002B2CF9AE}" pid="4" name="ICV">
    <vt:lpwstr>42219E3BB1F54191B887EF7945B4EEAC_12</vt:lpwstr>
  </property>
</Properties>
</file>