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466"/>
          <w:tab w:val="left" w:pos="5464"/>
        </w:tabs>
        <w:adjustRightInd w:val="0"/>
        <w:snapToGrid w:val="0"/>
        <w:spacing w:line="360" w:lineRule="auto"/>
        <w:ind w:left="108"/>
        <w:jc w:val="center"/>
        <w:rPr>
          <w:b/>
        </w:rPr>
      </w:pPr>
      <w:r>
        <w:rPr>
          <w:rFonts w:hint="eastAsia" w:ascii="黑体" w:eastAsia="黑体"/>
          <w:b/>
          <w:sz w:val="32"/>
          <w:szCs w:val="32"/>
        </w:rPr>
        <w:t>采购需求</w:t>
      </w:r>
    </w:p>
    <w:p>
      <w:pPr>
        <w:pStyle w:val="4"/>
        <w:adjustRightInd w:val="0"/>
        <w:snapToGrid w:val="0"/>
        <w:spacing w:beforeLines="50"/>
        <w:jc w:val="center"/>
        <w:rPr>
          <w:rFonts w:ascii="宋体" w:hAnsi="宋体" w:cs="宋体"/>
        </w:rPr>
      </w:pPr>
      <w:bookmarkStart w:id="0" w:name="_Toc34637774"/>
      <w:r>
        <w:rPr>
          <w:rFonts w:hint="eastAsia" w:ascii="黑体" w:hAnsi="黑体" w:eastAsia="黑体"/>
          <w:sz w:val="28"/>
          <w:szCs w:val="28"/>
        </w:rPr>
        <w:t xml:space="preserve">第一节 </w:t>
      </w:r>
      <w:bookmarkEnd w:id="0"/>
      <w:r>
        <w:rPr>
          <w:rFonts w:hint="eastAsia" w:ascii="黑体" w:hAnsi="黑体" w:eastAsia="黑体"/>
          <w:sz w:val="28"/>
          <w:szCs w:val="28"/>
        </w:rPr>
        <w:t>采购清单一览表</w:t>
      </w:r>
    </w:p>
    <w:tbl>
      <w:tblPr>
        <w:tblStyle w:val="14"/>
        <w:tblW w:w="8098" w:type="dxa"/>
        <w:tblInd w:w="533" w:type="dxa"/>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643"/>
        <w:gridCol w:w="4095"/>
        <w:gridCol w:w="1140"/>
        <w:gridCol w:w="2220"/>
      </w:tblGrid>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090" w:hRule="atLeast"/>
        </w:trPr>
        <w:tc>
          <w:tcPr>
            <w:tcW w:w="643" w:type="dxa"/>
            <w:tcBorders>
              <w:right w:val="single" w:color="auto" w:sz="4" w:space="0"/>
            </w:tcBorders>
            <w:vAlign w:val="center"/>
          </w:tcPr>
          <w:p>
            <w:pPr>
              <w:widowControl/>
              <w:adjustRightInd w:val="0"/>
              <w:snapToGrid w:val="0"/>
              <w:spacing w:beforeLines="50" w:line="360" w:lineRule="auto"/>
              <w:jc w:val="center"/>
              <w:rPr>
                <w:rFonts w:ascii="宋体" w:hAnsi="宋体" w:cs="宋体"/>
                <w:kern w:val="0"/>
                <w:szCs w:val="21"/>
              </w:rPr>
            </w:pPr>
            <w:r>
              <w:rPr>
                <w:rFonts w:hint="eastAsia" w:ascii="宋体" w:hAnsi="宋体" w:cs="宋体"/>
                <w:kern w:val="0"/>
                <w:szCs w:val="21"/>
              </w:rPr>
              <w:t>序号</w:t>
            </w:r>
          </w:p>
        </w:tc>
        <w:tc>
          <w:tcPr>
            <w:tcW w:w="4095" w:type="dxa"/>
            <w:tcBorders>
              <w:left w:val="single" w:color="auto" w:sz="4" w:space="0"/>
              <w:right w:val="single" w:color="auto" w:sz="4" w:space="0"/>
            </w:tcBorders>
            <w:vAlign w:val="center"/>
          </w:tcPr>
          <w:p>
            <w:pPr>
              <w:widowControl/>
              <w:adjustRightInd w:val="0"/>
              <w:snapToGrid w:val="0"/>
              <w:spacing w:beforeLines="50" w:line="360" w:lineRule="auto"/>
              <w:jc w:val="center"/>
              <w:rPr>
                <w:rFonts w:ascii="宋体" w:hAnsi="宋体" w:cs="宋体"/>
                <w:kern w:val="0"/>
                <w:szCs w:val="21"/>
              </w:rPr>
            </w:pPr>
            <w:r>
              <w:rPr>
                <w:rFonts w:hint="eastAsia" w:ascii="宋体" w:hAnsi="宋体" w:cs="宋体"/>
                <w:kern w:val="0"/>
              </w:rPr>
              <w:t>项目名称</w:t>
            </w:r>
          </w:p>
        </w:tc>
        <w:tc>
          <w:tcPr>
            <w:tcW w:w="1140" w:type="dxa"/>
            <w:tcBorders>
              <w:left w:val="single" w:color="auto" w:sz="4" w:space="0"/>
              <w:right w:val="single" w:color="auto" w:sz="4" w:space="0"/>
            </w:tcBorders>
            <w:vAlign w:val="center"/>
          </w:tcPr>
          <w:p>
            <w:pPr>
              <w:widowControl/>
              <w:adjustRightInd w:val="0"/>
              <w:snapToGrid w:val="0"/>
              <w:spacing w:beforeLines="50" w:line="360" w:lineRule="auto"/>
              <w:jc w:val="center"/>
              <w:rPr>
                <w:rFonts w:ascii="宋体" w:hAnsi="宋体" w:cs="宋体"/>
                <w:kern w:val="0"/>
                <w:szCs w:val="21"/>
              </w:rPr>
            </w:pPr>
            <w:r>
              <w:rPr>
                <w:rFonts w:hint="eastAsia" w:ascii="宋体" w:hAnsi="宋体" w:cs="宋体"/>
                <w:kern w:val="0"/>
                <w:szCs w:val="21"/>
              </w:rPr>
              <w:t>数量</w:t>
            </w:r>
          </w:p>
        </w:tc>
        <w:tc>
          <w:tcPr>
            <w:tcW w:w="2220" w:type="dxa"/>
            <w:tcBorders>
              <w:left w:val="single" w:color="auto" w:sz="4" w:space="0"/>
              <w:right w:val="double" w:color="auto" w:sz="2" w:space="0"/>
            </w:tcBorders>
            <w:vAlign w:val="center"/>
          </w:tcPr>
          <w:p>
            <w:pPr>
              <w:widowControl/>
              <w:adjustRightInd w:val="0"/>
              <w:snapToGrid w:val="0"/>
              <w:spacing w:beforeLines="50" w:line="360" w:lineRule="auto"/>
              <w:jc w:val="center"/>
              <w:rPr>
                <w:rFonts w:ascii="宋体" w:hAnsi="宋体" w:cs="宋体"/>
                <w:kern w:val="0"/>
                <w:szCs w:val="21"/>
              </w:rPr>
            </w:pPr>
            <w:r>
              <w:rPr>
                <w:rFonts w:hint="eastAsia" w:ascii="宋体" w:hAnsi="宋体" w:cs="宋体"/>
                <w:kern w:val="0"/>
                <w:szCs w:val="21"/>
              </w:rPr>
              <w:t>采购项目预算</w:t>
            </w:r>
          </w:p>
          <w:p>
            <w:pPr>
              <w:widowControl/>
              <w:adjustRightInd w:val="0"/>
              <w:snapToGrid w:val="0"/>
              <w:spacing w:beforeLines="50" w:line="360" w:lineRule="auto"/>
              <w:jc w:val="center"/>
              <w:rPr>
                <w:rFonts w:ascii="宋体" w:hAnsi="宋体" w:cs="宋体"/>
                <w:kern w:val="0"/>
                <w:szCs w:val="21"/>
              </w:rPr>
            </w:pPr>
            <w:r>
              <w:rPr>
                <w:rFonts w:hint="eastAsia" w:ascii="宋体" w:hAnsi="宋体" w:cs="宋体"/>
                <w:kern w:val="0"/>
                <w:szCs w:val="21"/>
              </w:rPr>
              <w:t>（元人民币）</w:t>
            </w:r>
          </w:p>
        </w:tc>
      </w:tr>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177" w:hRule="atLeast"/>
        </w:trPr>
        <w:tc>
          <w:tcPr>
            <w:tcW w:w="643" w:type="dxa"/>
            <w:tcBorders>
              <w:right w:val="single" w:color="auto" w:sz="4" w:space="0"/>
            </w:tcBorders>
          </w:tcPr>
          <w:p>
            <w:pPr>
              <w:pStyle w:val="9"/>
              <w:adjustRightInd w:val="0"/>
              <w:snapToGrid w:val="0"/>
              <w:spacing w:beforeLines="50" w:line="360" w:lineRule="auto"/>
              <w:jc w:val="center"/>
              <w:rPr>
                <w:rFonts w:hAnsi="宋体" w:cs="宋体"/>
                <w:kern w:val="0"/>
              </w:rPr>
            </w:pPr>
            <w:r>
              <w:rPr>
                <w:rFonts w:hint="eastAsia" w:hAnsi="宋体" w:cs="宋体"/>
                <w:kern w:val="0"/>
              </w:rPr>
              <w:t>01</w:t>
            </w:r>
          </w:p>
        </w:tc>
        <w:tc>
          <w:tcPr>
            <w:tcW w:w="4095" w:type="dxa"/>
            <w:tcBorders>
              <w:left w:val="single" w:color="auto" w:sz="4" w:space="0"/>
              <w:right w:val="single" w:color="auto" w:sz="4" w:space="0"/>
            </w:tcBorders>
          </w:tcPr>
          <w:p>
            <w:pPr>
              <w:widowControl/>
              <w:jc w:val="left"/>
              <w:rPr>
                <w:rFonts w:hAnsi="宋体" w:cs="宋体"/>
                <w:kern w:val="0"/>
              </w:rPr>
            </w:pPr>
            <w:r>
              <w:rPr>
                <w:rFonts w:hint="eastAsia" w:ascii="宋体" w:hAnsi="宋体" w:cs="宋体"/>
                <w:kern w:val="0"/>
                <w:szCs w:val="21"/>
              </w:rPr>
              <w:t>衡阳市南岳区202</w:t>
            </w:r>
            <w:r>
              <w:rPr>
                <w:rFonts w:hint="eastAsia" w:ascii="宋体" w:hAnsi="宋体" w:cs="宋体"/>
                <w:kern w:val="0"/>
                <w:szCs w:val="21"/>
                <w:lang w:val="en-US" w:eastAsia="zh-CN"/>
              </w:rPr>
              <w:t>3</w:t>
            </w:r>
            <w:r>
              <w:rPr>
                <w:rFonts w:hint="eastAsia" w:ascii="宋体" w:hAnsi="宋体" w:cs="宋体"/>
                <w:kern w:val="0"/>
                <w:szCs w:val="21"/>
              </w:rPr>
              <w:t>年高标准农田建设项目耕地质量评定项目</w:t>
            </w:r>
          </w:p>
        </w:tc>
        <w:tc>
          <w:tcPr>
            <w:tcW w:w="1140" w:type="dxa"/>
            <w:tcBorders>
              <w:left w:val="single" w:color="auto" w:sz="4" w:space="0"/>
              <w:right w:val="single" w:color="auto" w:sz="4" w:space="0"/>
            </w:tcBorders>
          </w:tcPr>
          <w:p>
            <w:pPr>
              <w:pStyle w:val="9"/>
              <w:adjustRightInd w:val="0"/>
              <w:snapToGrid w:val="0"/>
              <w:spacing w:beforeLines="50" w:line="360" w:lineRule="auto"/>
              <w:jc w:val="center"/>
              <w:rPr>
                <w:rFonts w:hAnsi="宋体" w:cs="宋体"/>
                <w:kern w:val="0"/>
              </w:rPr>
            </w:pPr>
            <w:r>
              <w:rPr>
                <w:rFonts w:hint="eastAsia" w:hAnsi="宋体" w:cs="宋体"/>
                <w:kern w:val="0"/>
              </w:rPr>
              <w:t>一项</w:t>
            </w:r>
          </w:p>
        </w:tc>
        <w:tc>
          <w:tcPr>
            <w:tcW w:w="2220" w:type="dxa"/>
            <w:tcBorders>
              <w:left w:val="single" w:color="auto" w:sz="4" w:space="0"/>
              <w:right w:val="double" w:color="auto" w:sz="2" w:space="0"/>
            </w:tcBorders>
          </w:tcPr>
          <w:p>
            <w:pPr>
              <w:pStyle w:val="9"/>
              <w:adjustRightInd w:val="0"/>
              <w:snapToGrid w:val="0"/>
              <w:spacing w:beforeLines="50" w:line="360" w:lineRule="auto"/>
              <w:jc w:val="center"/>
              <w:rPr>
                <w:rFonts w:hAnsi="宋体" w:cs="宋体"/>
                <w:kern w:val="0"/>
              </w:rPr>
            </w:pPr>
            <w:r>
              <w:rPr>
                <w:rFonts w:hint="eastAsia" w:hAnsi="宋体" w:cs="宋体"/>
                <w:kern w:val="0"/>
                <w:lang w:val="en-US" w:eastAsia="zh-CN"/>
              </w:rPr>
              <w:t>6</w:t>
            </w:r>
            <w:r>
              <w:rPr>
                <w:rFonts w:hint="eastAsia" w:hAnsi="宋体" w:cs="宋体"/>
                <w:kern w:val="0"/>
              </w:rPr>
              <w:t>0000</w:t>
            </w:r>
          </w:p>
        </w:tc>
      </w:tr>
    </w:tbl>
    <w:p>
      <w:pPr>
        <w:pStyle w:val="4"/>
        <w:adjustRightInd w:val="0"/>
        <w:snapToGrid w:val="0"/>
        <w:spacing w:beforeLines="50"/>
        <w:jc w:val="center"/>
        <w:rPr>
          <w:rFonts w:ascii="黑体" w:hAnsi="黑体" w:eastAsia="黑体"/>
          <w:sz w:val="28"/>
          <w:szCs w:val="28"/>
        </w:rPr>
      </w:pPr>
      <w:bookmarkStart w:id="1" w:name="_Toc34637775"/>
    </w:p>
    <w:p>
      <w:pPr>
        <w:pStyle w:val="4"/>
        <w:adjustRightInd w:val="0"/>
        <w:snapToGrid w:val="0"/>
        <w:spacing w:beforeLines="50"/>
        <w:jc w:val="center"/>
        <w:rPr>
          <w:rFonts w:ascii="黑体" w:hAnsi="黑体" w:eastAsia="黑体"/>
          <w:sz w:val="28"/>
          <w:szCs w:val="28"/>
        </w:rPr>
      </w:pPr>
      <w:r>
        <w:rPr>
          <w:rFonts w:hint="eastAsia" w:ascii="黑体" w:hAnsi="黑体" w:eastAsia="黑体"/>
          <w:sz w:val="28"/>
          <w:szCs w:val="28"/>
        </w:rPr>
        <w:t xml:space="preserve">第二节 </w:t>
      </w:r>
      <w:r>
        <w:rPr>
          <w:rFonts w:ascii="黑体" w:hAnsi="黑体" w:eastAsia="黑体"/>
          <w:sz w:val="28"/>
          <w:szCs w:val="28"/>
        </w:rPr>
        <w:t>技术要求</w:t>
      </w:r>
      <w:bookmarkEnd w:id="1"/>
    </w:p>
    <w:p>
      <w:pPr>
        <w:keepNext w:val="0"/>
        <w:keepLines w:val="0"/>
        <w:pageBreakBefore w:val="0"/>
        <w:widowControl/>
        <w:kinsoku/>
        <w:wordWrap/>
        <w:overflowPunct/>
        <w:topLinePunct w:val="0"/>
        <w:autoSpaceDE/>
        <w:autoSpaceDN/>
        <w:bidi w:val="0"/>
        <w:spacing w:line="560" w:lineRule="exact"/>
        <w:jc w:val="left"/>
        <w:textAlignment w:val="auto"/>
        <w:rPr>
          <w:rFonts w:hint="eastAsia" w:ascii="方正仿宋简体" w:hAnsi="方正仿宋简体" w:eastAsia="方正仿宋简体" w:cs="方正仿宋简体"/>
          <w:b/>
          <w:sz w:val="28"/>
          <w:szCs w:val="28"/>
        </w:rPr>
      </w:pPr>
      <w:r>
        <w:rPr>
          <w:rFonts w:hint="eastAsia" w:ascii="方正仿宋简体" w:hAnsi="方正仿宋简体" w:eastAsia="方正仿宋简体" w:cs="方正仿宋简体"/>
          <w:b/>
          <w:sz w:val="28"/>
          <w:szCs w:val="28"/>
        </w:rPr>
        <w:t>一、采购项目名称：</w:t>
      </w:r>
      <w:r>
        <w:rPr>
          <w:rFonts w:hint="eastAsia" w:ascii="方正仿宋简体" w:hAnsi="方正仿宋简体" w:eastAsia="方正仿宋简体" w:cs="方正仿宋简体"/>
          <w:kern w:val="0"/>
          <w:sz w:val="28"/>
          <w:szCs w:val="28"/>
        </w:rPr>
        <w:t>衡阳市南岳区202</w:t>
      </w:r>
      <w:r>
        <w:rPr>
          <w:rFonts w:hint="eastAsia" w:ascii="方正仿宋简体" w:hAnsi="方正仿宋简体" w:eastAsia="方正仿宋简体" w:cs="方正仿宋简体"/>
          <w:kern w:val="0"/>
          <w:sz w:val="28"/>
          <w:szCs w:val="28"/>
          <w:lang w:val="en-US" w:eastAsia="zh-CN"/>
        </w:rPr>
        <w:t>3</w:t>
      </w:r>
      <w:r>
        <w:rPr>
          <w:rFonts w:hint="eastAsia" w:ascii="方正仿宋简体" w:hAnsi="方正仿宋简体" w:eastAsia="方正仿宋简体" w:cs="方正仿宋简体"/>
          <w:kern w:val="0"/>
          <w:sz w:val="28"/>
          <w:szCs w:val="28"/>
        </w:rPr>
        <w:t>年高标准农田建设项目耕地质量评定项目</w:t>
      </w:r>
    </w:p>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sz w:val="28"/>
          <w:szCs w:val="28"/>
        </w:rPr>
        <w:t>二、项目说明：</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lang w:eastAsia="zh-CN"/>
        </w:rPr>
      </w:pPr>
      <w:r>
        <w:rPr>
          <w:rFonts w:hint="eastAsia" w:ascii="方正仿宋简体" w:hAnsi="方正仿宋简体" w:eastAsia="方正仿宋简体" w:cs="方正仿宋简体"/>
          <w:sz w:val="28"/>
          <w:szCs w:val="40"/>
        </w:rPr>
        <w:t>南岳区 202</w:t>
      </w:r>
      <w:r>
        <w:rPr>
          <w:rFonts w:hint="eastAsia" w:ascii="方正仿宋简体" w:hAnsi="方正仿宋简体" w:eastAsia="方正仿宋简体" w:cs="方正仿宋简体"/>
          <w:sz w:val="28"/>
          <w:szCs w:val="40"/>
          <w:lang w:val="en-US" w:eastAsia="zh-CN"/>
        </w:rPr>
        <w:t>3</w:t>
      </w:r>
      <w:r>
        <w:rPr>
          <w:rFonts w:hint="eastAsia" w:ascii="方正仿宋简体" w:hAnsi="方正仿宋简体" w:eastAsia="方正仿宋简体" w:cs="方正仿宋简体"/>
          <w:sz w:val="28"/>
          <w:szCs w:val="40"/>
        </w:rPr>
        <w:t xml:space="preserve"> 年高标准农田建设项目涉及</w:t>
      </w:r>
      <w:r>
        <w:rPr>
          <w:rFonts w:hint="eastAsia" w:ascii="方正仿宋简体" w:hAnsi="方正仿宋简体" w:eastAsia="方正仿宋简体" w:cs="方正仿宋简体"/>
          <w:sz w:val="28"/>
          <w:szCs w:val="40"/>
          <w:lang w:val="en-US" w:eastAsia="zh-CN"/>
        </w:rPr>
        <w:t>南岳镇：金月社区、枫木桥村、樟树桥村、紫峰村、水濂村、黄竹村、荆田村、双田村、延寿村、岳东社区；寿岳乡：红旗村、龙凤村、船山村、龙池村、岳林村；祝融街道：衡岳社区，共计16个村。新建</w:t>
      </w:r>
      <w:r>
        <w:rPr>
          <w:rFonts w:hint="eastAsia" w:ascii="方正仿宋简体" w:hAnsi="方正仿宋简体" w:eastAsia="方正仿宋简体" w:cs="方正仿宋简体"/>
          <w:sz w:val="28"/>
          <w:szCs w:val="40"/>
          <w:lang w:val="en" w:eastAsia="zh-CN"/>
        </w:rPr>
        <w:t>建设面积</w:t>
      </w:r>
      <w:r>
        <w:rPr>
          <w:rFonts w:hint="eastAsia" w:ascii="方正仿宋简体" w:hAnsi="方正仿宋简体" w:eastAsia="方正仿宋简体" w:cs="方正仿宋简体"/>
          <w:sz w:val="28"/>
          <w:szCs w:val="40"/>
          <w:lang w:val="en-US" w:eastAsia="zh-CN"/>
        </w:rPr>
        <w:t>0.4</w:t>
      </w:r>
      <w:r>
        <w:rPr>
          <w:rFonts w:hint="eastAsia" w:ascii="方正仿宋简体" w:hAnsi="方正仿宋简体" w:eastAsia="方正仿宋简体" w:cs="方正仿宋简体"/>
          <w:sz w:val="28"/>
          <w:szCs w:val="40"/>
          <w:lang w:val="en" w:eastAsia="zh-CN"/>
        </w:rPr>
        <w:t>万亩</w:t>
      </w:r>
      <w:r>
        <w:rPr>
          <w:rFonts w:hint="eastAsia" w:ascii="方正仿宋简体" w:hAnsi="方正仿宋简体" w:eastAsia="方正仿宋简体" w:cs="方正仿宋简体"/>
          <w:sz w:val="28"/>
          <w:szCs w:val="40"/>
          <w:lang w:eastAsia="zh-CN"/>
        </w:rPr>
        <w:t>。</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40"/>
        </w:rPr>
        <w:t>按照国家标准《耕地质量等级》（GB/T3349-2016）的要求对南岳区高标建设项目区实施前、实施后的耕地质量等级分别进行评定，形成独立的评定报告。</w:t>
      </w:r>
    </w:p>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方正仿宋简体" w:hAnsi="方正仿宋简体" w:eastAsia="方正仿宋简体" w:cs="方正仿宋简体"/>
          <w:b/>
          <w:bCs/>
          <w:sz w:val="28"/>
          <w:szCs w:val="36"/>
        </w:rPr>
      </w:pPr>
      <w:r>
        <w:rPr>
          <w:rFonts w:hint="eastAsia" w:ascii="方正仿宋简体" w:hAnsi="方正仿宋简体" w:eastAsia="方正仿宋简体" w:cs="方正仿宋简体"/>
          <w:b/>
          <w:bCs/>
          <w:sz w:val="28"/>
          <w:szCs w:val="36"/>
        </w:rPr>
        <w:t>三、服务要求、质量和标准：</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南岳区高标准农田建设项目耕地质量等级评定项目工作具体要求如下：</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1、工作申请</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由南岳区农业农村局农田建设股提出耕地质量评定申请，提供评定工作所需的相关材料。</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2、开展采样并填写耕地地力评定土样品采样记录表</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按照国家标准《耕地质量等级》（GB/T33469--2016)的要求开展高标准农田建设项目耕地质量等级评定。根据地貌类型、土壤类型、肥力水平、农业生产情况的差异性，将自然分隔的项目区农田划分为多个评定单元。一般选择项目区农田存在的1〜2个主要差异因素（如农田排灌条件、地形部位)作为划分评定单元的依据，将单个项目区农田划分为2个以上的评定单元，保持单元之间存在较为明显的差异。每个评定单元原则上按200-500亩采集一个土样的标准采集1个以上土样品和容重样品并填写《耕地采样记录表》。</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采样数据主要实施前和实施后的数据：</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实施前的数据包括：地形部位、林网化程度、有效图层厚度、障碍层因素、耕层厚度、有机质含量、pH值、有效磷、速效钾、土壤容重、耕层质地、质地构型、土壤健康状况、灌溉能力、排水能力；</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实施后的数据包括：林网化程度（依工程定）、有机质含量、pH值、有效磷、速效钾（同一田块对照）、土壤健康程度（依工程定）、灌溉能力、排水能力（依工程定）。</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3、土样样本检测及报告编制</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将步骤2所采集的土样样品送具有资质的检测机构检验并完成《耕地质量评定工作报告》和《耕地质量评定技术报告》的初评工作。</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4、耕地质量评价成果审核</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根据《衡阳市高标准农田建设项目耕地质量等级评定实施方案》要求：衡阳市农田建设与农垦科随机抽取5-7名专家对各县市的耕地质量报告进行审核，专家组实地复核原始数据采集的真实性、准确性、评定过程的规范性，验证评价结果与实际情况的一致性，评议《耕地质量评定工作初评报告》和《耕地质量评定技术初评报告》。</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40"/>
        </w:rPr>
      </w:pPr>
      <w:r>
        <w:rPr>
          <w:rFonts w:hint="eastAsia" w:ascii="方正仿宋简体" w:hAnsi="方正仿宋简体" w:eastAsia="方正仿宋简体" w:cs="方正仿宋简体"/>
          <w:sz w:val="28"/>
          <w:szCs w:val="40"/>
        </w:rPr>
        <w:t>5、成果提交</w:t>
      </w:r>
    </w:p>
    <w:p>
      <w:pPr>
        <w:keepNext w:val="0"/>
        <w:keepLines w:val="0"/>
        <w:pageBreakBefore w:val="0"/>
        <w:kinsoku/>
        <w:wordWrap/>
        <w:overflowPunct/>
        <w:topLinePunct w:val="0"/>
        <w:autoSpaceDE/>
        <w:autoSpaceDN/>
        <w:bidi w:val="0"/>
        <w:spacing w:line="560" w:lineRule="exact"/>
        <w:ind w:firstLine="560"/>
        <w:textAlignment w:val="auto"/>
        <w:rPr>
          <w:rFonts w:hint="eastAsia" w:ascii="方正仿宋简体" w:hAnsi="方正仿宋简体" w:eastAsia="方正仿宋简体" w:cs="方正仿宋简体"/>
          <w:sz w:val="28"/>
          <w:szCs w:val="36"/>
        </w:rPr>
      </w:pPr>
      <w:r>
        <w:rPr>
          <w:rFonts w:hint="eastAsia" w:ascii="方正仿宋简体" w:hAnsi="方正仿宋简体" w:eastAsia="方正仿宋简体" w:cs="方正仿宋简体"/>
          <w:sz w:val="28"/>
          <w:szCs w:val="40"/>
        </w:rPr>
        <w:t>对完成审核的《耕地质量评定工作初评报告》和《耕地质量评定技术初评报告》进行上报和提交。</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b/>
          <w:bCs/>
          <w:sz w:val="28"/>
          <w:szCs w:val="36"/>
        </w:rPr>
      </w:pPr>
      <w:r>
        <w:rPr>
          <w:rFonts w:hint="eastAsia" w:ascii="方正仿宋简体" w:hAnsi="方正仿宋简体" w:eastAsia="方正仿宋简体" w:cs="方正仿宋简体"/>
          <w:b/>
          <w:bCs/>
          <w:sz w:val="28"/>
          <w:szCs w:val="36"/>
        </w:rPr>
        <w:t>成交供应商向采购人提交的成果如下：</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1、南岳区202</w:t>
      </w:r>
      <w:r>
        <w:rPr>
          <w:rFonts w:hint="eastAsia" w:ascii="方正仿宋简体" w:hAnsi="方正仿宋简体" w:eastAsia="方正仿宋简体" w:cs="方正仿宋简体"/>
          <w:sz w:val="32"/>
          <w:szCs w:val="32"/>
          <w:lang w:val="en-US" w:eastAsia="zh-CN"/>
        </w:rPr>
        <w:t>3</w:t>
      </w:r>
      <w:r>
        <w:rPr>
          <w:rFonts w:hint="eastAsia" w:ascii="方正仿宋简体" w:hAnsi="方正仿宋简体" w:eastAsia="方正仿宋简体" w:cs="方正仿宋简体"/>
          <w:sz w:val="32"/>
          <w:szCs w:val="32"/>
        </w:rPr>
        <w:t>年高标准农田耕地建设项目耕地质量等级评定报告、技术报告。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2、土壤化验检测报告</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3、前后两次采样点位照片及数据过录表</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4、确保通过市级评定验收通过。</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b/>
          <w:bCs/>
          <w:sz w:val="28"/>
          <w:szCs w:val="36"/>
        </w:rPr>
      </w:pPr>
      <w:r>
        <w:rPr>
          <w:rFonts w:hint="eastAsia" w:ascii="方正仿宋简体" w:hAnsi="方正仿宋简体" w:eastAsia="方正仿宋简体" w:cs="方正仿宋简体"/>
          <w:b/>
          <w:bCs/>
          <w:sz w:val="28"/>
          <w:szCs w:val="36"/>
        </w:rPr>
        <w:t>四、服务期及付款方式：</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40"/>
        </w:rPr>
      </w:pPr>
      <w:r>
        <w:rPr>
          <w:rFonts w:hint="eastAsia" w:ascii="方正仿宋简体" w:hAnsi="方正仿宋简体" w:eastAsia="方正仿宋简体" w:cs="方正仿宋简体"/>
          <w:sz w:val="32"/>
          <w:szCs w:val="40"/>
        </w:rPr>
        <w:t>1、服务期要求：本项目实施周期长，要求供应商在202</w:t>
      </w:r>
      <w:r>
        <w:rPr>
          <w:rFonts w:hint="eastAsia" w:ascii="方正仿宋简体" w:hAnsi="方正仿宋简体" w:eastAsia="方正仿宋简体" w:cs="方正仿宋简体"/>
          <w:sz w:val="32"/>
          <w:szCs w:val="40"/>
          <w:lang w:val="en-US" w:eastAsia="zh-CN"/>
        </w:rPr>
        <w:t>4</w:t>
      </w:r>
      <w:r>
        <w:rPr>
          <w:rFonts w:hint="eastAsia" w:ascii="方正仿宋简体" w:hAnsi="方正仿宋简体" w:eastAsia="方正仿宋简体" w:cs="方正仿宋简体"/>
          <w:sz w:val="32"/>
          <w:szCs w:val="40"/>
        </w:rPr>
        <w:t>年10月1号前提交所有成果。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40"/>
        </w:rPr>
      </w:pPr>
      <w:r>
        <w:rPr>
          <w:rFonts w:hint="eastAsia" w:ascii="方正仿宋简体" w:hAnsi="方正仿宋简体" w:eastAsia="方正仿宋简体" w:cs="方正仿宋简体"/>
          <w:sz w:val="32"/>
          <w:szCs w:val="40"/>
        </w:rPr>
        <w:t>2、服务地点：采购人指定地点。</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40"/>
          <w:lang w:eastAsia="zh-CN"/>
        </w:rPr>
      </w:pPr>
      <w:r>
        <w:rPr>
          <w:rFonts w:hint="eastAsia" w:ascii="方正仿宋简体" w:hAnsi="方正仿宋简体" w:eastAsia="方正仿宋简体" w:cs="方正仿宋简体"/>
          <w:sz w:val="32"/>
          <w:szCs w:val="40"/>
        </w:rPr>
        <w:t>3、付款方式：</w:t>
      </w:r>
      <w:r>
        <w:rPr>
          <w:rFonts w:hint="eastAsia" w:ascii="方正仿宋简体" w:hAnsi="方正仿宋简体" w:eastAsia="方正仿宋简体" w:cs="方正仿宋简体"/>
          <w:sz w:val="32"/>
          <w:szCs w:val="40"/>
          <w:lang w:eastAsia="zh-CN"/>
        </w:rPr>
        <w:t>在</w:t>
      </w:r>
      <w:r>
        <w:rPr>
          <w:rFonts w:hint="eastAsia" w:ascii="方正仿宋简体" w:hAnsi="方正仿宋简体" w:eastAsia="方正仿宋简体" w:cs="方正仿宋简体"/>
          <w:sz w:val="32"/>
          <w:szCs w:val="40"/>
        </w:rPr>
        <w:t>通过市级验收评定后</w:t>
      </w:r>
      <w:r>
        <w:rPr>
          <w:rFonts w:hint="eastAsia" w:ascii="方正仿宋简体" w:hAnsi="方正仿宋简体" w:eastAsia="方正仿宋简体" w:cs="方正仿宋简体"/>
          <w:sz w:val="32"/>
          <w:szCs w:val="40"/>
          <w:lang w:eastAsia="zh-CN"/>
        </w:rPr>
        <w:t>一次性付清。</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sz w:val="32"/>
          <w:szCs w:val="40"/>
          <w:lang w:val="en-US" w:eastAsia="zh-CN"/>
        </w:rPr>
      </w:pPr>
      <w:r>
        <w:rPr>
          <w:rFonts w:hint="eastAsia" w:ascii="方正仿宋简体" w:hAnsi="方正仿宋简体" w:eastAsia="方正仿宋简体" w:cs="方正仿宋简体"/>
          <w:sz w:val="32"/>
          <w:szCs w:val="40"/>
          <w:lang w:val="en-US" w:eastAsia="zh-CN"/>
        </w:rPr>
        <w:t>4、供货商可根据需求自行前往项目区进行勘察</w:t>
      </w:r>
    </w:p>
    <w:p>
      <w:pPr>
        <w:pStyle w:val="13"/>
        <w:keepNext w:val="0"/>
        <w:keepLines w:val="0"/>
        <w:pageBreakBefore w:val="0"/>
        <w:kinsoku/>
        <w:wordWrap/>
        <w:overflowPunct/>
        <w:topLinePunct w:val="0"/>
        <w:autoSpaceDE/>
        <w:autoSpaceDN/>
        <w:bidi w:val="0"/>
        <w:spacing w:line="560" w:lineRule="exact"/>
        <w:ind w:left="0" w:leftChars="0" w:firstLine="0" w:firstLineChars="0"/>
        <w:textAlignment w:val="auto"/>
        <w:rPr>
          <w:rFonts w:hint="eastAsia" w:ascii="方正仿宋简体" w:hAnsi="方正仿宋简体" w:eastAsia="方正仿宋简体" w:cs="方正仿宋简体"/>
          <w:b/>
          <w:bCs/>
          <w:sz w:val="28"/>
          <w:szCs w:val="36"/>
        </w:rPr>
      </w:pPr>
      <w:r>
        <w:rPr>
          <w:rFonts w:hint="eastAsia" w:ascii="方正仿宋简体" w:hAnsi="方正仿宋简体" w:eastAsia="方正仿宋简体" w:cs="方正仿宋简体"/>
          <w:b/>
          <w:bCs/>
          <w:sz w:val="28"/>
          <w:szCs w:val="36"/>
        </w:rPr>
        <w:t>五、供应商资格要求</w:t>
      </w:r>
    </w:p>
    <w:p>
      <w:pPr>
        <w:pStyle w:val="6"/>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kern w:val="2"/>
          <w:sz w:val="28"/>
          <w:szCs w:val="40"/>
          <w:lang w:val="en-US" w:eastAsia="zh-CN" w:bidi="ar-SA"/>
        </w:rPr>
      </w:pPr>
      <w:r>
        <w:rPr>
          <w:rFonts w:hint="eastAsia" w:ascii="方正仿宋简体" w:hAnsi="方正仿宋简体" w:eastAsia="方正仿宋简体" w:cs="方正仿宋简体"/>
          <w:kern w:val="2"/>
          <w:sz w:val="28"/>
          <w:szCs w:val="40"/>
          <w:lang w:val="en-US" w:eastAsia="zh-CN" w:bidi="ar-SA"/>
        </w:rPr>
        <w:t>一、基本要求</w:t>
      </w:r>
    </w:p>
    <w:p>
      <w:pPr>
        <w:keepNext w:val="0"/>
        <w:keepLines w:val="0"/>
        <w:pageBreakBefore w:val="0"/>
        <w:kinsoku/>
        <w:wordWrap/>
        <w:overflowPunct/>
        <w:topLinePunct w:val="0"/>
        <w:autoSpaceDE/>
        <w:autoSpaceDN/>
        <w:bidi w:val="0"/>
        <w:spacing w:line="560" w:lineRule="exact"/>
        <w:ind w:firstLine="560" w:firstLineChars="200"/>
        <w:textAlignment w:val="auto"/>
        <w:rPr>
          <w:rFonts w:hint="eastAsia" w:ascii="方正仿宋简体" w:hAnsi="方正仿宋简体" w:eastAsia="方正仿宋简体" w:cs="方正仿宋简体"/>
          <w:color w:val="FF0000"/>
          <w:sz w:val="28"/>
          <w:szCs w:val="40"/>
          <w:lang w:val="en-US" w:eastAsia="zh-CN"/>
        </w:rPr>
      </w:pPr>
      <w:r>
        <w:rPr>
          <w:rFonts w:hint="eastAsia" w:ascii="方正仿宋简体" w:hAnsi="方正仿宋简体" w:eastAsia="方正仿宋简体" w:cs="方正仿宋简体"/>
          <w:color w:val="FF0000"/>
          <w:sz w:val="28"/>
          <w:szCs w:val="40"/>
          <w:lang w:val="en-US" w:eastAsia="zh-CN"/>
        </w:rPr>
        <w:t>1具有独立法人资格并依法取得企业营业执照，营业执照经营内容包含有农业技术开发服务或土地评估咨询服务等相关内容，营业执照处于有效期内。</w:t>
      </w:r>
    </w:p>
    <w:p>
      <w:pPr>
        <w:keepNext w:val="0"/>
        <w:keepLines w:val="0"/>
        <w:pageBreakBefore w:val="0"/>
        <w:kinsoku/>
        <w:wordWrap/>
        <w:overflowPunct/>
        <w:topLinePunct w:val="0"/>
        <w:autoSpaceDE/>
        <w:autoSpaceDN/>
        <w:bidi w:val="0"/>
        <w:spacing w:line="560" w:lineRule="exact"/>
        <w:ind w:firstLine="560" w:firstLineChars="200"/>
        <w:textAlignment w:val="auto"/>
        <w:rPr>
          <w:rFonts w:hint="eastAsia" w:ascii="方正仿宋简体" w:hAnsi="方正仿宋简体" w:eastAsia="方正仿宋简体" w:cs="方正仿宋简体"/>
          <w:color w:val="FF0000"/>
          <w:sz w:val="28"/>
          <w:szCs w:val="40"/>
          <w:lang w:val="en-US" w:eastAsia="zh-CN"/>
        </w:rPr>
      </w:pPr>
      <w:r>
        <w:rPr>
          <w:rFonts w:hint="eastAsia" w:ascii="方正仿宋简体" w:hAnsi="方正仿宋简体" w:eastAsia="方正仿宋简体" w:cs="方正仿宋简体"/>
          <w:color w:val="FF0000"/>
          <w:sz w:val="28"/>
          <w:szCs w:val="40"/>
          <w:lang w:val="en-US" w:eastAsia="zh-CN"/>
        </w:rPr>
        <w:t>2项目负责人具备农业或环境相关专业中级及以上技术职称且为供应商单位正式职工，提供近期任意连续3个月的社保证明材料。</w:t>
      </w:r>
    </w:p>
    <w:p>
      <w:pPr>
        <w:keepNext w:val="0"/>
        <w:keepLines w:val="0"/>
        <w:pageBreakBefore w:val="0"/>
        <w:kinsoku/>
        <w:wordWrap/>
        <w:overflowPunct/>
        <w:topLinePunct w:val="0"/>
        <w:autoSpaceDE/>
        <w:autoSpaceDN/>
        <w:bidi w:val="0"/>
        <w:spacing w:line="560" w:lineRule="exact"/>
        <w:ind w:firstLine="560" w:firstLineChars="200"/>
        <w:textAlignment w:val="auto"/>
        <w:rPr>
          <w:rFonts w:hint="eastAsia" w:ascii="方正仿宋简体" w:hAnsi="方正仿宋简体" w:eastAsia="方正仿宋简体" w:cs="方正仿宋简体"/>
          <w:color w:val="FF0000"/>
          <w:sz w:val="28"/>
          <w:szCs w:val="40"/>
          <w:lang w:val="en-US" w:eastAsia="zh-CN"/>
        </w:rPr>
      </w:pPr>
      <w:r>
        <w:rPr>
          <w:rFonts w:hint="eastAsia" w:ascii="方正仿宋简体" w:hAnsi="方正仿宋简体" w:eastAsia="方正仿宋简体" w:cs="方正仿宋简体"/>
          <w:color w:val="FF0000"/>
          <w:sz w:val="28"/>
          <w:szCs w:val="40"/>
          <w:lang w:val="en-US" w:eastAsia="zh-CN"/>
        </w:rPr>
        <w:t>3列入失信被执行人、重大税收违法案件当事人名单，列入政府采购严重违法失信行为记录名单的，拒绝其参与政府采购活动（信用中国查询）。</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sz w:val="28"/>
          <w:szCs w:val="40"/>
          <w:lang w:val="en-US" w:eastAsia="zh-CN"/>
        </w:rPr>
      </w:pPr>
      <w:r>
        <w:rPr>
          <w:rFonts w:hint="eastAsia" w:ascii="方正仿宋简体" w:hAnsi="方正仿宋简体" w:eastAsia="方正仿宋简体" w:cs="方正仿宋简体"/>
          <w:sz w:val="28"/>
          <w:szCs w:val="40"/>
          <w:lang w:val="en-US" w:eastAsia="zh-CN"/>
        </w:rPr>
        <w:t>二、要求提供以下资格要求证明资料</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sz w:val="28"/>
          <w:szCs w:val="40"/>
          <w:lang w:val="en-US" w:eastAsia="zh-CN"/>
        </w:rPr>
      </w:pPr>
      <w:r>
        <w:rPr>
          <w:rFonts w:hint="eastAsia" w:ascii="方正仿宋简体" w:hAnsi="方正仿宋简体" w:eastAsia="方正仿宋简体" w:cs="方正仿宋简体"/>
          <w:sz w:val="28"/>
          <w:szCs w:val="40"/>
          <w:lang w:val="en-US" w:eastAsia="zh-CN"/>
        </w:rPr>
        <w:t>供应商需提供以下证明资料，并加盖公章后将扫描件上传至电子卖场，否则作为不响应采购需求，采购人有权拒绝：</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sz w:val="28"/>
          <w:szCs w:val="40"/>
          <w:lang w:val="en-US" w:eastAsia="zh-CN"/>
        </w:rPr>
      </w:pPr>
      <w:r>
        <w:rPr>
          <w:rFonts w:hint="eastAsia" w:ascii="方正仿宋简体" w:hAnsi="方正仿宋简体" w:eastAsia="方正仿宋简体" w:cs="方正仿宋简体"/>
          <w:sz w:val="28"/>
          <w:szCs w:val="40"/>
          <w:lang w:val="en-US" w:eastAsia="zh-CN"/>
        </w:rPr>
        <w:t>2.1提供有效的具有统一社会信用代码的《营业执照》副本；</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sz w:val="28"/>
          <w:szCs w:val="40"/>
          <w:lang w:val="en-US" w:eastAsia="zh-CN"/>
        </w:rPr>
      </w:pPr>
      <w:r>
        <w:rPr>
          <w:rFonts w:hint="eastAsia" w:ascii="方正仿宋简体" w:hAnsi="方正仿宋简体" w:eastAsia="方正仿宋简体" w:cs="方正仿宋简体"/>
          <w:sz w:val="28"/>
          <w:szCs w:val="40"/>
          <w:lang w:val="en-US" w:eastAsia="zh-CN"/>
        </w:rPr>
        <w:t>2.2提供近期任意连续3个月依法纳税和缴纳社保的证明材料；</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color w:val="FF0000"/>
          <w:sz w:val="28"/>
          <w:szCs w:val="40"/>
          <w:lang w:val="en-US" w:eastAsia="zh-CN"/>
        </w:rPr>
      </w:pPr>
      <w:r>
        <w:rPr>
          <w:rFonts w:hint="eastAsia" w:ascii="方正仿宋简体" w:hAnsi="方正仿宋简体" w:eastAsia="方正仿宋简体" w:cs="方正仿宋简体"/>
          <w:color w:val="FF0000"/>
          <w:sz w:val="28"/>
          <w:szCs w:val="40"/>
          <w:lang w:val="en-US" w:eastAsia="zh-CN"/>
        </w:rPr>
        <w:t>2.3提供项目负责人职称证明和近期任意连续3个月社保证明材料；</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sz w:val="28"/>
          <w:szCs w:val="40"/>
          <w:lang w:val="en-US" w:eastAsia="zh-CN"/>
        </w:rPr>
      </w:pPr>
      <w:r>
        <w:rPr>
          <w:rFonts w:hint="eastAsia" w:ascii="方正仿宋简体" w:hAnsi="方正仿宋简体" w:eastAsia="方正仿宋简体" w:cs="方正仿宋简体"/>
          <w:sz w:val="28"/>
          <w:szCs w:val="40"/>
          <w:lang w:val="en-US" w:eastAsia="zh-CN"/>
        </w:rPr>
        <w:t>2.4提供信用查询记录（信用中国查询）；</w:t>
      </w:r>
    </w:p>
    <w:p>
      <w:pPr>
        <w:keepNext w:val="0"/>
        <w:keepLines w:val="0"/>
        <w:pageBreakBefore w:val="0"/>
        <w:kinsoku/>
        <w:wordWrap/>
        <w:overflowPunct/>
        <w:topLinePunct w:val="0"/>
        <w:autoSpaceDE/>
        <w:autoSpaceDN/>
        <w:bidi w:val="0"/>
        <w:spacing w:line="560" w:lineRule="exact"/>
        <w:textAlignment w:val="auto"/>
        <w:rPr>
          <w:rFonts w:hint="eastAsia" w:ascii="方正仿宋简体" w:hAnsi="方正仿宋简体" w:eastAsia="方正仿宋简体" w:cs="方正仿宋简体"/>
          <w:sz w:val="28"/>
          <w:szCs w:val="40"/>
          <w:lang w:val="en-US" w:eastAsia="zh-CN"/>
        </w:rPr>
      </w:pPr>
      <w:r>
        <w:rPr>
          <w:rFonts w:hint="eastAsia" w:ascii="方正仿宋简体" w:hAnsi="方正仿宋简体" w:eastAsia="方正仿宋简体" w:cs="方正仿宋简体"/>
          <w:sz w:val="28"/>
          <w:szCs w:val="40"/>
          <w:lang w:val="en-US" w:eastAsia="zh-CN"/>
        </w:rPr>
        <w:t>2.6报价表。</w:t>
      </w:r>
    </w:p>
    <w:p>
      <w:pPr>
        <w:pStyle w:val="7"/>
        <w:rPr>
          <w:rFonts w:hint="eastAsia"/>
          <w:sz w:val="21"/>
          <w:szCs w:val="21"/>
        </w:rPr>
      </w:pPr>
      <w:bookmarkStart w:id="2" w:name="_GoBack"/>
    </w:p>
    <w:bookmarkEnd w:id="2"/>
    <w:p>
      <w:pPr>
        <w:pStyle w:val="7"/>
        <w:rPr>
          <w:rFonts w:hint="eastAsia"/>
          <w:sz w:val="21"/>
          <w:szCs w:val="21"/>
        </w:rPr>
      </w:pPr>
    </w:p>
    <w:p>
      <w:pPr>
        <w:pStyle w:val="7"/>
        <w:rPr>
          <w:rFonts w:hint="eastAsia"/>
          <w:sz w:val="21"/>
          <w:szCs w:val="21"/>
        </w:rPr>
      </w:pPr>
    </w:p>
    <w:p>
      <w:pPr>
        <w:pStyle w:val="6"/>
        <w:widowControl/>
        <w:numPr>
          <w:ilvl w:val="0"/>
          <w:numId w:val="0"/>
        </w:numPr>
        <w:jc w:val="left"/>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7"/>
        <w:rPr>
          <w:rFonts w:hint="eastAsia"/>
          <w:sz w:val="21"/>
          <w:szCs w:val="21"/>
        </w:rPr>
      </w:pPr>
    </w:p>
    <w:p>
      <w:pPr>
        <w:pStyle w:val="6"/>
        <w:widowControl/>
        <w:numPr>
          <w:ilvl w:val="0"/>
          <w:numId w:val="0"/>
        </w:numPr>
        <w:jc w:val="left"/>
        <w:rPr>
          <w:rFonts w:hint="eastAsia"/>
          <w:sz w:val="21"/>
          <w:szCs w:val="21"/>
        </w:rPr>
      </w:pPr>
    </w:p>
    <w:p>
      <w:pPr>
        <w:pStyle w:val="6"/>
        <w:widowControl/>
        <w:numPr>
          <w:ilvl w:val="0"/>
          <w:numId w:val="0"/>
        </w:numPr>
        <w:jc w:val="left"/>
        <w:rPr>
          <w:rFonts w:hint="eastAsia"/>
          <w:sz w:val="21"/>
          <w:szCs w:val="21"/>
        </w:rPr>
      </w:pPr>
    </w:p>
    <w:p>
      <w:pPr>
        <w:pStyle w:val="6"/>
        <w:rPr>
          <w:rFonts w:hint="eastAsia" w:ascii="宋体" w:hAnsi="宋体" w:cs="宋体"/>
          <w:color w:val="000000"/>
          <w:kern w:val="0"/>
          <w:sz w:val="28"/>
          <w:szCs w:val="28"/>
          <w:lang w:val="en-US" w:eastAsia="zh-CN" w:bidi="ar"/>
        </w:rPr>
      </w:pPr>
      <w:r>
        <w:rPr>
          <w:rFonts w:hint="eastAsia" w:ascii="宋体" w:hAnsi="宋体" w:cs="宋体"/>
          <w:color w:val="000000"/>
          <w:kern w:val="0"/>
          <w:sz w:val="28"/>
          <w:szCs w:val="28"/>
          <w:lang w:val="en-US" w:eastAsia="zh-CN" w:bidi="ar"/>
        </w:rPr>
        <w:t>附件一</w:t>
      </w:r>
    </w:p>
    <w:p>
      <w:pPr>
        <w:adjustRightInd w:val="0"/>
        <w:snapToGrid w:val="0"/>
        <w:spacing w:line="420" w:lineRule="exact"/>
        <w:jc w:val="center"/>
        <w:rPr>
          <w:rFonts w:ascii="宋体" w:hAnsi="宋体" w:cs="宋体"/>
          <w:b/>
          <w:sz w:val="36"/>
          <w:szCs w:val="36"/>
        </w:rPr>
      </w:pPr>
      <w:r>
        <w:rPr>
          <w:rFonts w:hint="eastAsia" w:ascii="宋体" w:hAnsi="宋体" w:cs="宋体"/>
          <w:b/>
          <w:sz w:val="36"/>
          <w:szCs w:val="36"/>
        </w:rPr>
        <w:t>报 价 表</w:t>
      </w:r>
    </w:p>
    <w:p>
      <w:pPr>
        <w:pStyle w:val="13"/>
        <w:tabs>
          <w:tab w:val="left" w:pos="720"/>
        </w:tabs>
      </w:pPr>
    </w:p>
    <w:p>
      <w:pPr>
        <w:pStyle w:val="6"/>
      </w:pPr>
    </w:p>
    <w:p>
      <w:pPr>
        <w:adjustRightInd w:val="0"/>
        <w:snapToGrid w:val="0"/>
        <w:spacing w:line="420" w:lineRule="exact"/>
        <w:rPr>
          <w:rFonts w:ascii="宋体" w:hAnsi="宋体" w:cs="宋体"/>
          <w:szCs w:val="21"/>
          <w:u w:val="single"/>
        </w:rPr>
      </w:pPr>
      <w:r>
        <w:rPr>
          <w:rFonts w:hint="eastAsia" w:ascii="宋体" w:hAnsi="宋体" w:cs="宋体"/>
          <w:szCs w:val="21"/>
        </w:rPr>
        <w:t>项目名称：</w:t>
      </w:r>
      <w:r>
        <w:rPr>
          <w:rFonts w:hint="eastAsia" w:ascii="宋体" w:hAnsi="宋体" w:cs="宋体"/>
          <w:kern w:val="0"/>
          <w:szCs w:val="21"/>
          <w:u w:val="single"/>
        </w:rPr>
        <w:t>衡阳市南岳区202</w:t>
      </w:r>
      <w:r>
        <w:rPr>
          <w:rFonts w:hint="eastAsia" w:ascii="宋体" w:hAnsi="宋体" w:cs="宋体"/>
          <w:kern w:val="0"/>
          <w:szCs w:val="21"/>
          <w:u w:val="single"/>
          <w:lang w:val="en-US" w:eastAsia="zh-CN"/>
        </w:rPr>
        <w:t>3</w:t>
      </w:r>
      <w:r>
        <w:rPr>
          <w:rFonts w:hint="eastAsia" w:ascii="宋体" w:hAnsi="宋体" w:cs="宋体"/>
          <w:kern w:val="0"/>
          <w:szCs w:val="21"/>
          <w:u w:val="single"/>
        </w:rPr>
        <w:t>年高标准农田建设项目耕地质量评定项目</w:t>
      </w:r>
    </w:p>
    <w:p>
      <w:pPr>
        <w:pStyle w:val="13"/>
        <w:tabs>
          <w:tab w:val="left" w:pos="720"/>
        </w:tabs>
      </w:pPr>
    </w:p>
    <w:tbl>
      <w:tblPr>
        <w:tblStyle w:val="1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5000" w:type="pct"/>
            <w:noWrap w:val="0"/>
            <w:vAlign w:val="center"/>
          </w:tcPr>
          <w:p>
            <w:pPr>
              <w:adjustRightInd w:val="0"/>
              <w:snapToGrid w:val="0"/>
              <w:spacing w:before="156" w:beforeLines="50" w:line="360" w:lineRule="auto"/>
              <w:jc w:val="center"/>
              <w:rPr>
                <w:rFonts w:ascii="宋体" w:hAnsi="宋体" w:cs="宋体"/>
                <w:b/>
                <w:szCs w:val="21"/>
              </w:rPr>
            </w:pPr>
            <w:r>
              <w:rPr>
                <w:rFonts w:hint="eastAsia" w:ascii="宋体" w:hAnsi="宋体" w:cs="宋体"/>
                <w:b/>
                <w:szCs w:val="21"/>
              </w:rPr>
              <w:t>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5000" w:type="pct"/>
            <w:noWrap w:val="0"/>
            <w:vAlign w:val="center"/>
          </w:tcPr>
          <w:p>
            <w:pPr>
              <w:adjustRightInd w:val="0"/>
              <w:snapToGrid w:val="0"/>
              <w:spacing w:line="360" w:lineRule="auto"/>
              <w:ind w:firstLine="420" w:firstLineChars="200"/>
              <w:rPr>
                <w:rFonts w:ascii="宋体" w:hAnsi="宋体" w:cs="宋体"/>
                <w:szCs w:val="21"/>
              </w:rPr>
            </w:pPr>
            <w:r>
              <w:rPr>
                <w:rFonts w:hint="eastAsia" w:ascii="宋体" w:hAnsi="宋体" w:cs="宋体"/>
                <w:szCs w:val="21"/>
              </w:rPr>
              <w:t>小写金额：</w:t>
            </w:r>
            <w:r>
              <w:rPr>
                <w:rFonts w:hint="eastAsia" w:ascii="宋体" w:hAnsi="宋体" w:cs="宋体"/>
                <w:szCs w:val="21"/>
                <w:u w:val="single"/>
              </w:rPr>
              <w:t xml:space="preserve">            </w:t>
            </w:r>
            <w:r>
              <w:rPr>
                <w:rFonts w:hint="eastAsia" w:ascii="宋体" w:hAnsi="宋体" w:cs="宋体"/>
                <w:szCs w:val="21"/>
              </w:rPr>
              <w:t>（人民币元）</w:t>
            </w:r>
          </w:p>
          <w:p>
            <w:pPr>
              <w:pStyle w:val="13"/>
              <w:tabs>
                <w:tab w:val="left" w:pos="720"/>
              </w:tabs>
              <w:spacing w:line="360" w:lineRule="auto"/>
              <w:ind w:left="0" w:leftChars="0" w:firstLineChars="200"/>
            </w:pPr>
            <w:r>
              <w:rPr>
                <w:rFonts w:hint="eastAsia"/>
              </w:rPr>
              <w:t>大写金额：</w:t>
            </w:r>
            <w:r>
              <w:rPr>
                <w:rFonts w:hint="eastAsia"/>
                <w:u w:val="single"/>
              </w:rPr>
              <w:t xml:space="preserve">                  </w:t>
            </w:r>
            <w:r>
              <w:rPr>
                <w:rFonts w:hint="eastAsia"/>
              </w:rPr>
              <w:t>（人民币元）</w:t>
            </w:r>
          </w:p>
          <w:p>
            <w:pPr>
              <w:pStyle w:val="6"/>
              <w:spacing w:line="360" w:lineRule="auto"/>
              <w:ind w:firstLineChars="200"/>
            </w:pPr>
            <w:r>
              <w:rPr>
                <w:rFonts w:hint="eastAsia"/>
              </w:rPr>
              <w:t>（大写金额与小写金额不一致时，以大写金额为准）</w:t>
            </w:r>
          </w:p>
        </w:tc>
      </w:tr>
    </w:tbl>
    <w:p>
      <w:pPr>
        <w:adjustRightInd w:val="0"/>
        <w:snapToGrid w:val="0"/>
        <w:spacing w:line="420" w:lineRule="exact"/>
        <w:ind w:firstLine="420" w:firstLineChars="200"/>
        <w:rPr>
          <w:rFonts w:ascii="宋体" w:hAnsi="宋体" w:cs="宋体"/>
          <w:szCs w:val="21"/>
        </w:rPr>
      </w:pPr>
    </w:p>
    <w:p>
      <w:pPr>
        <w:adjustRightInd w:val="0"/>
        <w:snapToGrid w:val="0"/>
        <w:spacing w:line="420" w:lineRule="exact"/>
        <w:ind w:firstLine="420" w:firstLineChars="200"/>
      </w:pPr>
    </w:p>
    <w:p>
      <w:pPr>
        <w:adjustRightInd w:val="0"/>
        <w:snapToGrid w:val="0"/>
        <w:spacing w:line="420" w:lineRule="exact"/>
        <w:ind w:firstLine="420" w:firstLineChars="200"/>
        <w:rPr>
          <w:rFonts w:ascii="宋体" w:hAnsi="宋体" w:cs="宋体"/>
          <w:szCs w:val="21"/>
        </w:rPr>
      </w:pPr>
      <w:r>
        <w:rPr>
          <w:rFonts w:ascii="宋体" w:hAnsi="宋体" w:cs="宋体"/>
          <w:szCs w:val="21"/>
        </w:rPr>
        <w:t xml:space="preserve"> </w:t>
      </w:r>
      <w:r>
        <w:rPr>
          <w:rFonts w:hint="eastAsia" w:ascii="宋体" w:hAnsi="宋体" w:cs="宋体"/>
          <w:szCs w:val="21"/>
        </w:rPr>
        <w:t xml:space="preserve"> </w:t>
      </w:r>
    </w:p>
    <w:p>
      <w:pPr>
        <w:adjustRightInd w:val="0"/>
        <w:snapToGrid w:val="0"/>
        <w:spacing w:line="600" w:lineRule="exact"/>
        <w:rPr>
          <w:rFonts w:ascii="宋体" w:hAnsi="宋体" w:cs="宋体"/>
          <w:szCs w:val="21"/>
          <w:u w:val="single"/>
        </w:rPr>
      </w:pPr>
      <w:r>
        <w:rPr>
          <w:rFonts w:hint="eastAsia" w:ascii="宋体" w:hAnsi="宋体" w:cs="宋体"/>
          <w:szCs w:val="21"/>
        </w:rPr>
        <w:t>供应商名称（盖章）：</w:t>
      </w:r>
      <w:r>
        <w:rPr>
          <w:rFonts w:hint="eastAsia" w:ascii="宋体" w:hAnsi="宋体" w:cs="宋体"/>
          <w:szCs w:val="21"/>
          <w:u w:val="single"/>
        </w:rPr>
        <w:t xml:space="preserve">                                    </w:t>
      </w:r>
    </w:p>
    <w:p>
      <w:pPr>
        <w:adjustRightInd w:val="0"/>
        <w:snapToGrid w:val="0"/>
        <w:spacing w:line="600" w:lineRule="exact"/>
      </w:pPr>
      <w:r>
        <w:rPr>
          <w:rFonts w:hint="eastAsia"/>
        </w:rPr>
        <w:t>法定代表人签字：</w:t>
      </w:r>
      <w:r>
        <w:rPr>
          <w:rFonts w:hint="eastAsia"/>
          <w:u w:val="single"/>
        </w:rPr>
        <w:t xml:space="preserve">                                        </w:t>
      </w:r>
    </w:p>
    <w:p>
      <w:pPr>
        <w:adjustRightInd w:val="0"/>
        <w:snapToGrid w:val="0"/>
        <w:spacing w:line="600" w:lineRule="exact"/>
        <w:rPr>
          <w:rFonts w:hint="eastAsia" w:ascii="宋体" w:hAnsi="宋体" w:cs="宋体"/>
          <w:szCs w:val="21"/>
        </w:rPr>
      </w:pPr>
      <w:r>
        <w:rPr>
          <w:rFonts w:hint="eastAsia" w:ascii="宋体" w:hAnsi="宋体" w:cs="宋体"/>
          <w:szCs w:val="21"/>
        </w:rPr>
        <w:t>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pPr>
        <w:pStyle w:val="22"/>
        <w:rPr>
          <w:rFonts w:hint="eastAsia" w:ascii="宋体" w:hAnsi="宋体" w:cs="宋体"/>
          <w:szCs w:val="21"/>
        </w:rPr>
      </w:pPr>
    </w:p>
    <w:p>
      <w:pPr>
        <w:pStyle w:val="5"/>
        <w:numPr>
          <w:ilvl w:val="0"/>
          <w:numId w:val="0"/>
        </w:numPr>
        <w:ind w:leftChars="0"/>
      </w:pPr>
    </w:p>
    <w:p/>
    <w:p>
      <w:pPr>
        <w:pStyle w:val="22"/>
      </w:pPr>
    </w:p>
    <w:p>
      <w:pPr>
        <w:pStyle w:val="5"/>
        <w:numPr>
          <w:ilvl w:val="0"/>
          <w:numId w:val="0"/>
        </w:numPr>
        <w:ind w:leftChars="0"/>
      </w:pPr>
    </w:p>
    <w:p/>
    <w:p>
      <w:pPr>
        <w:pStyle w:val="22"/>
      </w:pPr>
    </w:p>
    <w:p>
      <w:pPr>
        <w:pStyle w:val="5"/>
        <w:numPr>
          <w:ilvl w:val="0"/>
          <w:numId w:val="0"/>
        </w:numPr>
        <w:ind w:leftChars="0"/>
      </w:pPr>
    </w:p>
    <w:p/>
    <w:p>
      <w:pPr>
        <w:pStyle w:val="22"/>
      </w:pPr>
    </w:p>
    <w:p>
      <w:pPr>
        <w:pStyle w:val="5"/>
        <w:numPr>
          <w:ilvl w:val="0"/>
          <w:numId w:val="0"/>
        </w:numPr>
        <w:ind w:leftChars="0"/>
      </w:pPr>
    </w:p>
    <w:p/>
    <w:p>
      <w:pPr>
        <w:pStyle w:val="22"/>
      </w:pPr>
    </w:p>
    <w:p>
      <w:pPr>
        <w:pStyle w:val="13"/>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简体">
    <w:panose1 w:val="02010601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663D69"/>
    <w:multiLevelType w:val="multilevel"/>
    <w:tmpl w:val="5E663D69"/>
    <w:lvl w:ilvl="0" w:tentative="0">
      <w:start w:val="1"/>
      <w:numFmt w:val="decimal"/>
      <w:suff w:val="space"/>
      <w:lvlText w:val="%1"/>
      <w:lvlJc w:val="center"/>
      <w:pPr>
        <w:ind w:left="0" w:firstLine="0"/>
      </w:pPr>
      <w:rPr>
        <w:rFonts w:hint="eastAsia" w:ascii="黑体" w:eastAsia="黑体"/>
        <w:b w:val="0"/>
        <w:i w:val="0"/>
        <w:caps w:val="0"/>
        <w:strike w:val="0"/>
        <w:dstrike w:val="0"/>
        <w:vanish w:val="0"/>
        <w:color w:val="auto"/>
        <w:sz w:val="32"/>
        <w:szCs w:val="32"/>
        <w:vertAlign w:val="baseline"/>
      </w:rPr>
    </w:lvl>
    <w:lvl w:ilvl="1" w:tentative="0">
      <w:start w:val="1"/>
      <w:numFmt w:val="decimal"/>
      <w:suff w:val="space"/>
      <w:lvlText w:val="%1.%2"/>
      <w:lvlJc w:val="center"/>
      <w:pPr>
        <w:ind w:left="0" w:firstLine="0"/>
      </w:pPr>
      <w:rPr>
        <w:rFonts w:hint="eastAsia" w:ascii="黑体" w:eastAsia="黑体"/>
        <w:b w:val="0"/>
        <w:i w:val="0"/>
        <w:caps w:val="0"/>
        <w:strike w:val="0"/>
        <w:dstrike w:val="0"/>
        <w:vanish w:val="0"/>
        <w:sz w:val="30"/>
        <w:szCs w:val="30"/>
        <w:vertAlign w:val="baseline"/>
      </w:rPr>
    </w:lvl>
    <w:lvl w:ilvl="2" w:tentative="0">
      <w:start w:val="1"/>
      <w:numFmt w:val="decimal"/>
      <w:suff w:val="space"/>
      <w:lvlText w:val="%1.%2.%3"/>
      <w:lvlJc w:val="left"/>
      <w:pPr>
        <w:ind w:left="0" w:firstLine="0"/>
      </w:pPr>
      <w:rPr>
        <w:rFonts w:hint="eastAsia" w:ascii="黑体" w:eastAsia="黑体"/>
        <w:b w:val="0"/>
        <w:i w:val="0"/>
        <w:caps w:val="0"/>
        <w:strike w:val="0"/>
        <w:dstrike w:val="0"/>
        <w:vanish w:val="0"/>
        <w:color w:val="auto"/>
        <w:sz w:val="28"/>
        <w:szCs w:val="28"/>
        <w:vertAlign w:val="baseline"/>
      </w:rPr>
    </w:lvl>
    <w:lvl w:ilvl="3" w:tentative="0">
      <w:start w:val="1"/>
      <w:numFmt w:val="decimal"/>
      <w:pStyle w:val="5"/>
      <w:suff w:val="space"/>
      <w:lvlText w:val="%1.%2.%3.%4"/>
      <w:lvlJc w:val="left"/>
      <w:pPr>
        <w:ind w:left="0" w:firstLine="0"/>
      </w:pPr>
      <w:rPr>
        <w:rFonts w:hint="eastAsia" w:ascii="黑体" w:eastAsia="黑体"/>
        <w:b w:val="0"/>
        <w:i w:val="0"/>
        <w:caps w:val="0"/>
        <w:strike w:val="0"/>
        <w:dstrike w:val="0"/>
        <w:vanish w:val="0"/>
        <w:sz w:val="24"/>
        <w:szCs w:val="24"/>
        <w:vertAlign w:val="baseline"/>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jE2OTkxZTZmMWQzMjk0M2FhY2FmNjFhYTNhOGU0YzYifQ=="/>
  </w:docVars>
  <w:rsids>
    <w:rsidRoot w:val="00E318B1"/>
    <w:rsid w:val="00073613"/>
    <w:rsid w:val="001038AC"/>
    <w:rsid w:val="001562D2"/>
    <w:rsid w:val="00187CA4"/>
    <w:rsid w:val="001D03B8"/>
    <w:rsid w:val="001F60B7"/>
    <w:rsid w:val="0023332D"/>
    <w:rsid w:val="0028246A"/>
    <w:rsid w:val="002C219D"/>
    <w:rsid w:val="002D49A8"/>
    <w:rsid w:val="00301461"/>
    <w:rsid w:val="003215D8"/>
    <w:rsid w:val="00391BA8"/>
    <w:rsid w:val="0039354D"/>
    <w:rsid w:val="00462230"/>
    <w:rsid w:val="00526698"/>
    <w:rsid w:val="005608E1"/>
    <w:rsid w:val="0058452C"/>
    <w:rsid w:val="005B3BC7"/>
    <w:rsid w:val="005D4073"/>
    <w:rsid w:val="00642D70"/>
    <w:rsid w:val="0065615A"/>
    <w:rsid w:val="0069358F"/>
    <w:rsid w:val="006C6DFB"/>
    <w:rsid w:val="006C79BB"/>
    <w:rsid w:val="006E2066"/>
    <w:rsid w:val="007B392A"/>
    <w:rsid w:val="007D764E"/>
    <w:rsid w:val="00864F12"/>
    <w:rsid w:val="00875F20"/>
    <w:rsid w:val="008B2B7B"/>
    <w:rsid w:val="00A7719A"/>
    <w:rsid w:val="00A90738"/>
    <w:rsid w:val="00AC65ED"/>
    <w:rsid w:val="00AF2289"/>
    <w:rsid w:val="00B20BC1"/>
    <w:rsid w:val="00BD613A"/>
    <w:rsid w:val="00C62FBA"/>
    <w:rsid w:val="00D609CC"/>
    <w:rsid w:val="00D7427E"/>
    <w:rsid w:val="00D75621"/>
    <w:rsid w:val="00DE6C45"/>
    <w:rsid w:val="00DF717D"/>
    <w:rsid w:val="00E318B1"/>
    <w:rsid w:val="00E55FB7"/>
    <w:rsid w:val="00EB5DE3"/>
    <w:rsid w:val="00FA5125"/>
    <w:rsid w:val="00FB1535"/>
    <w:rsid w:val="00FF6EFB"/>
    <w:rsid w:val="02F91488"/>
    <w:rsid w:val="05FB55EF"/>
    <w:rsid w:val="07D91F10"/>
    <w:rsid w:val="089A3AB6"/>
    <w:rsid w:val="0AA960EE"/>
    <w:rsid w:val="0E9D2CE8"/>
    <w:rsid w:val="10317656"/>
    <w:rsid w:val="12B008E8"/>
    <w:rsid w:val="1E3531A3"/>
    <w:rsid w:val="22D8094A"/>
    <w:rsid w:val="23694659"/>
    <w:rsid w:val="264F6B28"/>
    <w:rsid w:val="2920093E"/>
    <w:rsid w:val="2D4670C1"/>
    <w:rsid w:val="2FED0CE0"/>
    <w:rsid w:val="343279DC"/>
    <w:rsid w:val="34AF3569"/>
    <w:rsid w:val="3D417033"/>
    <w:rsid w:val="3E7E58C4"/>
    <w:rsid w:val="405436DD"/>
    <w:rsid w:val="41A00676"/>
    <w:rsid w:val="42612CC9"/>
    <w:rsid w:val="44A75C0E"/>
    <w:rsid w:val="47700591"/>
    <w:rsid w:val="4E792340"/>
    <w:rsid w:val="4FBC1D2D"/>
    <w:rsid w:val="5CE24796"/>
    <w:rsid w:val="6227079D"/>
    <w:rsid w:val="62283C60"/>
    <w:rsid w:val="6DC55D85"/>
    <w:rsid w:val="6DDE365A"/>
    <w:rsid w:val="70C150F2"/>
    <w:rsid w:val="722E45CA"/>
    <w:rsid w:val="724424D8"/>
    <w:rsid w:val="760A3B63"/>
    <w:rsid w:val="77766BD9"/>
    <w:rsid w:val="7F0F7501"/>
    <w:rsid w:val="7FE56F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link w:val="17"/>
    <w:qFormat/>
    <w:uiPriority w:val="0"/>
    <w:pPr>
      <w:keepNext/>
      <w:keepLines/>
      <w:spacing w:line="360" w:lineRule="auto"/>
      <w:outlineLvl w:val="1"/>
    </w:pPr>
    <w:rPr>
      <w:rFonts w:ascii="Arial" w:hAnsi="Arial"/>
      <w:b/>
      <w:bCs/>
      <w:sz w:val="24"/>
      <w:szCs w:val="32"/>
    </w:rPr>
  </w:style>
  <w:style w:type="paragraph" w:styleId="5">
    <w:name w:val="heading 4"/>
    <w:basedOn w:val="1"/>
    <w:next w:val="1"/>
    <w:qFormat/>
    <w:uiPriority w:val="0"/>
    <w:pPr>
      <w:keepNext/>
      <w:keepLines/>
      <w:numPr>
        <w:ilvl w:val="3"/>
        <w:numId w:val="1"/>
      </w:numPr>
      <w:tabs>
        <w:tab w:val="left" w:pos="7587"/>
      </w:tabs>
      <w:spacing w:line="360" w:lineRule="auto"/>
      <w:outlineLvl w:val="3"/>
    </w:pPr>
    <w:rPr>
      <w:rFonts w:ascii="黑体" w:hAnsi="Arial" w:eastAsia="黑体"/>
      <w:bCs/>
      <w:kern w:val="2"/>
      <w:sz w:val="24"/>
      <w:szCs w:val="28"/>
      <w:lang w:val="en-US" w:eastAsia="zh-CN" w:bidi="ar-SA"/>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0" w:lineRule="atLeast"/>
    </w:pPr>
    <w:rPr>
      <w:sz w:val="30"/>
    </w:rPr>
  </w:style>
  <w:style w:type="paragraph" w:styleId="6">
    <w:name w:val="Normal Indent"/>
    <w:basedOn w:val="1"/>
    <w:next w:val="7"/>
    <w:qFormat/>
    <w:uiPriority w:val="0"/>
    <w:pPr>
      <w:widowControl/>
      <w:ind w:firstLine="420"/>
      <w:jc w:val="left"/>
    </w:pPr>
    <w:rPr>
      <w:kern w:val="0"/>
      <w:sz w:val="20"/>
      <w:szCs w:val="20"/>
    </w:rPr>
  </w:style>
  <w:style w:type="paragraph" w:customStyle="1" w:styleId="7">
    <w:name w:val="Default"/>
    <w:autoRedefine/>
    <w:qFormat/>
    <w:uiPriority w:val="0"/>
    <w:pPr>
      <w:widowControl w:val="0"/>
      <w:autoSpaceDE w:val="0"/>
      <w:autoSpaceDN w:val="0"/>
      <w:adjustRightInd w:val="0"/>
    </w:pPr>
    <w:rPr>
      <w:rFonts w:ascii="黑体" w:hAnsi="Calibri" w:eastAsia="黑体" w:cs="Times New Roman"/>
      <w:lang w:val="en-US" w:eastAsia="zh-CN" w:bidi="ar-SA"/>
    </w:rPr>
  </w:style>
  <w:style w:type="paragraph" w:styleId="8">
    <w:name w:val="Body Text Indent"/>
    <w:basedOn w:val="1"/>
    <w:next w:val="1"/>
    <w:unhideWhenUsed/>
    <w:qFormat/>
    <w:uiPriority w:val="99"/>
    <w:pPr>
      <w:spacing w:after="120"/>
      <w:ind w:left="420" w:leftChars="200"/>
    </w:pPr>
  </w:style>
  <w:style w:type="paragraph" w:styleId="9">
    <w:name w:val="Plain Text"/>
    <w:basedOn w:val="1"/>
    <w:link w:val="18"/>
    <w:qFormat/>
    <w:uiPriority w:val="0"/>
    <w:rPr>
      <w:rFonts w:ascii="宋体" w:hAnsi="Courier New" w:cs="Courier New"/>
      <w:szCs w:val="21"/>
    </w:rPr>
  </w:style>
  <w:style w:type="paragraph" w:styleId="10">
    <w:name w:val="Body Text Indent 2"/>
    <w:basedOn w:val="1"/>
    <w:next w:val="11"/>
    <w:uiPriority w:val="0"/>
    <w:pPr>
      <w:widowControl/>
      <w:overflowPunct w:val="0"/>
      <w:autoSpaceDE w:val="0"/>
      <w:autoSpaceDN w:val="0"/>
      <w:adjustRightInd w:val="0"/>
      <w:spacing w:line="360" w:lineRule="auto"/>
      <w:ind w:firstLine="555"/>
      <w:textAlignment w:val="baseline"/>
    </w:pPr>
    <w:rPr>
      <w:rFonts w:ascii="宋体"/>
      <w:spacing w:val="12"/>
      <w:kern w:val="0"/>
      <w:sz w:val="24"/>
    </w:rPr>
  </w:style>
  <w:style w:type="paragraph" w:styleId="11">
    <w:name w:val="header"/>
    <w:basedOn w:val="1"/>
    <w:link w:val="20"/>
    <w:qFormat/>
    <w:uiPriority w:val="0"/>
    <w:pPr>
      <w:pBdr>
        <w:bottom w:val="single" w:color="auto" w:sz="6" w:space="1"/>
      </w:pBdr>
      <w:tabs>
        <w:tab w:val="center" w:pos="4153"/>
        <w:tab w:val="right" w:pos="8306"/>
      </w:tabs>
      <w:snapToGrid w:val="0"/>
      <w:jc w:val="center"/>
    </w:pPr>
    <w:rPr>
      <w:sz w:val="18"/>
      <w:szCs w:val="18"/>
    </w:rPr>
  </w:style>
  <w:style w:type="paragraph" w:styleId="12">
    <w:name w:val="footer"/>
    <w:basedOn w:val="1"/>
    <w:link w:val="21"/>
    <w:qFormat/>
    <w:uiPriority w:val="0"/>
    <w:pPr>
      <w:tabs>
        <w:tab w:val="center" w:pos="4153"/>
        <w:tab w:val="right" w:pos="8306"/>
      </w:tabs>
      <w:snapToGrid w:val="0"/>
      <w:jc w:val="left"/>
    </w:pPr>
    <w:rPr>
      <w:sz w:val="18"/>
      <w:szCs w:val="18"/>
    </w:rPr>
  </w:style>
  <w:style w:type="paragraph" w:styleId="13">
    <w:name w:val="Body Text First Indent 2"/>
    <w:basedOn w:val="8"/>
    <w:next w:val="6"/>
    <w:qFormat/>
    <w:uiPriority w:val="0"/>
    <w:pPr>
      <w:ind w:firstLine="420" w:firstLineChars="200"/>
    </w:pPr>
  </w:style>
  <w:style w:type="table" w:styleId="15">
    <w:name w:val="Table Grid"/>
    <w:basedOn w:val="1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7">
    <w:name w:val="标题 2 Char"/>
    <w:link w:val="4"/>
    <w:qFormat/>
    <w:locked/>
    <w:uiPriority w:val="0"/>
    <w:rPr>
      <w:rFonts w:ascii="Arial" w:hAnsi="Arial" w:eastAsia="宋体"/>
      <w:b/>
      <w:bCs/>
      <w:kern w:val="2"/>
      <w:sz w:val="24"/>
      <w:szCs w:val="32"/>
      <w:lang w:val="en-US" w:eastAsia="zh-CN" w:bidi="ar-SA"/>
    </w:rPr>
  </w:style>
  <w:style w:type="character" w:customStyle="1" w:styleId="18">
    <w:name w:val="纯文本 Char"/>
    <w:link w:val="9"/>
    <w:qFormat/>
    <w:locked/>
    <w:uiPriority w:val="0"/>
    <w:rPr>
      <w:rFonts w:ascii="宋体" w:hAnsi="Courier New" w:eastAsia="宋体" w:cs="Courier New"/>
      <w:kern w:val="2"/>
      <w:sz w:val="21"/>
      <w:szCs w:val="21"/>
      <w:lang w:val="en-US" w:eastAsia="zh-CN" w:bidi="ar-SA"/>
    </w:rPr>
  </w:style>
  <w:style w:type="paragraph" w:customStyle="1" w:styleId="19">
    <w:name w:val="正文 A"/>
    <w:autoRedefine/>
    <w:qFormat/>
    <w:uiPriority w:val="99"/>
    <w:pPr>
      <w:widowControl w:val="0"/>
      <w:pBdr>
        <w:top w:val="none" w:color="FFFFFF" w:sz="0" w:space="31"/>
        <w:left w:val="none" w:color="FFFFFF" w:sz="0" w:space="31"/>
        <w:bottom w:val="none" w:color="FFFFFF" w:sz="0" w:space="31"/>
        <w:right w:val="none" w:color="FFFFFF" w:sz="0" w:space="31"/>
      </w:pBdr>
      <w:jc w:val="both"/>
    </w:pPr>
    <w:rPr>
      <w:rFonts w:ascii="Calibri" w:hAnsi="Calibri" w:eastAsia="宋体" w:cs="Calibri"/>
      <w:color w:val="000000"/>
      <w:kern w:val="2"/>
      <w:sz w:val="21"/>
      <w:szCs w:val="21"/>
      <w:lang w:val="en-US" w:eastAsia="zh-CN" w:bidi="ar-SA"/>
    </w:rPr>
  </w:style>
  <w:style w:type="character" w:customStyle="1" w:styleId="20">
    <w:name w:val="页眉 Char"/>
    <w:basedOn w:val="16"/>
    <w:link w:val="11"/>
    <w:autoRedefine/>
    <w:qFormat/>
    <w:uiPriority w:val="0"/>
    <w:rPr>
      <w:kern w:val="2"/>
      <w:sz w:val="18"/>
      <w:szCs w:val="18"/>
    </w:rPr>
  </w:style>
  <w:style w:type="character" w:customStyle="1" w:styleId="21">
    <w:name w:val="页脚 Char"/>
    <w:basedOn w:val="16"/>
    <w:link w:val="12"/>
    <w:autoRedefine/>
    <w:qFormat/>
    <w:uiPriority w:val="0"/>
    <w:rPr>
      <w:kern w:val="2"/>
      <w:sz w:val="18"/>
      <w:szCs w:val="18"/>
    </w:rPr>
  </w:style>
  <w:style w:type="paragraph" w:customStyle="1" w:styleId="22">
    <w:name w:val="样式2"/>
    <w:basedOn w:val="6"/>
    <w:next w:val="5"/>
    <w:autoRedefine/>
    <w:qFormat/>
    <w:uiPriority w:val="0"/>
    <w:pPr>
      <w:tabs>
        <w:tab w:val="left" w:pos="7587"/>
      </w:tabs>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255</Words>
  <Characters>1455</Characters>
  <Lines>12</Lines>
  <Paragraphs>3</Paragraphs>
  <TotalTime>7</TotalTime>
  <ScaleCrop>false</ScaleCrop>
  <LinksUpToDate>false</LinksUpToDate>
  <CharactersWithSpaces>1707</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2022-10-12T14:10:00Z</dcterms:created>
  <dc:creator>Administrator</dc:creator>
  <cp:lastModifiedBy>得了</cp:lastModifiedBy>
  <dcterms:modified xsi:type="dcterms:W3CDTF">2024-01-29T07:48:54Z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9606DB2B0CE74C1293B57BF48B064C07</vt:lpwstr>
  </property>
</Properties>
</file>