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CA0EC5">
      <w:pPr>
        <w:jc w:val="center"/>
        <w:rPr>
          <w:rFonts w:hint="eastAsia" w:ascii="方正公文小标宋" w:hAnsi="方正公文小标宋" w:eastAsia="方正公文小标宋" w:cs="方正公文小标宋"/>
          <w:sz w:val="44"/>
          <w:szCs w:val="44"/>
          <w:lang w:val="en-US" w:eastAsia="zh-CN"/>
        </w:rPr>
      </w:pPr>
      <w:r>
        <w:rPr>
          <w:rFonts w:hint="eastAsia" w:ascii="方正公文小标宋" w:hAnsi="方正公文小标宋" w:eastAsia="方正公文小标宋" w:cs="方正公文小标宋"/>
          <w:sz w:val="44"/>
          <w:szCs w:val="44"/>
          <w:lang w:val="en-US" w:eastAsia="zh-CN"/>
        </w:rPr>
        <w:t>湖南师范大学竹埠港实验中学食堂设备设施采购竞价文件</w:t>
      </w:r>
    </w:p>
    <w:p w14:paraId="7D4075A8">
      <w:pPr>
        <w:keepNext w:val="0"/>
        <w:keepLines w:val="0"/>
        <w:pageBreakBefore w:val="0"/>
        <w:widowControl w:val="0"/>
        <w:kinsoku/>
        <w:wordWrap/>
        <w:overflowPunct/>
        <w:topLinePunct w:val="0"/>
        <w:autoSpaceDE/>
        <w:autoSpaceDN/>
        <w:bidi w:val="0"/>
        <w:adjustRightInd w:val="0"/>
        <w:snapToGrid w:val="0"/>
        <w:spacing w:beforeAutospacing="0" w:line="240" w:lineRule="atLeast"/>
        <w:ind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湖南师范大学竹埠港实验中学食堂设备设施采购相关要求及内容：</w:t>
      </w:r>
    </w:p>
    <w:p w14:paraId="724D6B66">
      <w:pPr>
        <w:keepNext w:val="0"/>
        <w:keepLines w:val="0"/>
        <w:pageBreakBefore w:val="0"/>
        <w:widowControl w:val="0"/>
        <w:numPr>
          <w:ilvl w:val="0"/>
          <w:numId w:val="1"/>
        </w:numPr>
        <w:kinsoku/>
        <w:wordWrap/>
        <w:overflowPunct/>
        <w:topLinePunct w:val="0"/>
        <w:autoSpaceDE/>
        <w:autoSpaceDN/>
        <w:bidi w:val="0"/>
        <w:adjustRightInd w:val="0"/>
        <w:snapToGrid w:val="0"/>
        <w:spacing w:beforeAutospacing="0" w:line="240" w:lineRule="atLeast"/>
        <w:ind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基本情况：</w:t>
      </w:r>
    </w:p>
    <w:p w14:paraId="091A8ACB">
      <w:pPr>
        <w:pageBreakBefore w:val="0"/>
        <w:kinsoku/>
        <w:wordWrap/>
        <w:overflowPunct/>
        <w:topLinePunct w:val="0"/>
        <w:autoSpaceDE/>
        <w:autoSpaceDN/>
        <w:bidi w:val="0"/>
        <w:spacing w:line="240" w:lineRule="atLeast"/>
        <w:ind w:firstLine="560" w:firstLineChars="200"/>
        <w:jc w:val="left"/>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湖南师范大学竹埠港实验中学2025年秋季扩班新增约500人，需要添置食堂设备设施一批。具体参数，型号，规格见附件1。</w:t>
      </w:r>
    </w:p>
    <w:p w14:paraId="45F234BA">
      <w:pPr>
        <w:pageBreakBefore w:val="0"/>
        <w:numPr>
          <w:ilvl w:val="0"/>
          <w:numId w:val="1"/>
        </w:numPr>
        <w:kinsoku/>
        <w:wordWrap/>
        <w:overflowPunct/>
        <w:topLinePunct w:val="0"/>
        <w:autoSpaceDE/>
        <w:autoSpaceDN/>
        <w:bidi w:val="0"/>
        <w:spacing w:line="240" w:lineRule="atLeast"/>
        <w:ind w:left="-140" w:leftChars="0" w:firstLine="560" w:firstLineChars="0"/>
        <w:jc w:val="left"/>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具体要求</w:t>
      </w:r>
    </w:p>
    <w:p w14:paraId="70DBBEB8">
      <w:pPr>
        <w:pageBreakBefore w:val="0"/>
        <w:kinsoku/>
        <w:wordWrap/>
        <w:overflowPunct/>
        <w:topLinePunct w:val="0"/>
        <w:autoSpaceDE/>
        <w:autoSpaceDN/>
        <w:bidi w:val="0"/>
        <w:adjustRightInd w:val="0"/>
        <w:snapToGrid w:val="0"/>
        <w:spacing w:before="50" w:line="240" w:lineRule="atLeas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投标人</w:t>
      </w:r>
      <w:r>
        <w:rPr>
          <w:rFonts w:hint="eastAsia" w:ascii="仿宋" w:hAnsi="仿宋" w:eastAsia="仿宋" w:cs="仿宋"/>
          <w:sz w:val="28"/>
          <w:szCs w:val="28"/>
        </w:rPr>
        <w:t>的基本资格条件：</w:t>
      </w:r>
      <w:r>
        <w:rPr>
          <w:rFonts w:hint="eastAsia" w:ascii="仿宋" w:hAnsi="仿宋" w:eastAsia="仿宋" w:cs="仿宋"/>
          <w:sz w:val="28"/>
          <w:szCs w:val="28"/>
          <w:lang w:eastAsia="zh-CN"/>
        </w:rPr>
        <w:t>投标人</w:t>
      </w:r>
      <w:r>
        <w:rPr>
          <w:rFonts w:hint="eastAsia" w:ascii="仿宋" w:hAnsi="仿宋" w:eastAsia="仿宋" w:cs="仿宋"/>
          <w:sz w:val="28"/>
          <w:szCs w:val="28"/>
        </w:rPr>
        <w:t xml:space="preserve">必须是在中华人民共和国境内注册登记的法人、其他组织或者自然人，且应当符合《政府采购法》第二十二条第一款的规定，即： </w:t>
      </w:r>
    </w:p>
    <w:p w14:paraId="47206287">
      <w:pPr>
        <w:pageBreakBefore w:val="0"/>
        <w:kinsoku/>
        <w:wordWrap/>
        <w:overflowPunct/>
        <w:topLinePunct w:val="0"/>
        <w:autoSpaceDE/>
        <w:autoSpaceDN/>
        <w:bidi w:val="0"/>
        <w:adjustRightInd w:val="0"/>
        <w:snapToGrid w:val="0"/>
        <w:spacing w:before="50" w:line="240" w:lineRule="atLeas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（1）具有独立承担民事责任的能力；</w:t>
      </w:r>
    </w:p>
    <w:p w14:paraId="22E6C653">
      <w:pPr>
        <w:pageBreakBefore w:val="0"/>
        <w:kinsoku/>
        <w:wordWrap/>
        <w:overflowPunct/>
        <w:topLinePunct w:val="0"/>
        <w:autoSpaceDE/>
        <w:autoSpaceDN/>
        <w:bidi w:val="0"/>
        <w:adjustRightInd w:val="0"/>
        <w:snapToGrid w:val="0"/>
        <w:spacing w:before="50" w:line="240" w:lineRule="atLeas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（2）具有良好的商业信誉和健全的财务会计制度；</w:t>
      </w:r>
    </w:p>
    <w:p w14:paraId="63F43FAA">
      <w:pPr>
        <w:pageBreakBefore w:val="0"/>
        <w:kinsoku/>
        <w:wordWrap/>
        <w:overflowPunct/>
        <w:topLinePunct w:val="0"/>
        <w:autoSpaceDE/>
        <w:autoSpaceDN/>
        <w:bidi w:val="0"/>
        <w:adjustRightInd w:val="0"/>
        <w:snapToGrid w:val="0"/>
        <w:spacing w:before="50" w:line="240" w:lineRule="atLeas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（3）具有履行合同所必需的设备和专业技术能力；</w:t>
      </w:r>
    </w:p>
    <w:p w14:paraId="3E95F42D">
      <w:pPr>
        <w:pageBreakBefore w:val="0"/>
        <w:kinsoku/>
        <w:wordWrap/>
        <w:overflowPunct/>
        <w:topLinePunct w:val="0"/>
        <w:autoSpaceDE/>
        <w:autoSpaceDN/>
        <w:bidi w:val="0"/>
        <w:adjustRightInd w:val="0"/>
        <w:snapToGrid w:val="0"/>
        <w:spacing w:before="50" w:line="240" w:lineRule="atLeas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（4）有依法缴纳税收和社会保障资金的良好记录；</w:t>
      </w:r>
    </w:p>
    <w:p w14:paraId="627D22BF">
      <w:pPr>
        <w:pageBreakBefore w:val="0"/>
        <w:kinsoku/>
        <w:wordWrap/>
        <w:overflowPunct/>
        <w:topLinePunct w:val="0"/>
        <w:autoSpaceDE/>
        <w:autoSpaceDN/>
        <w:bidi w:val="0"/>
        <w:adjustRightInd w:val="0"/>
        <w:snapToGrid w:val="0"/>
        <w:spacing w:before="50" w:line="240" w:lineRule="atLeas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（5）参加政府采购活动前三年内，在经营活动中没有重大违法记录；</w:t>
      </w:r>
    </w:p>
    <w:p w14:paraId="7C3C0E17">
      <w:pPr>
        <w:pStyle w:val="6"/>
        <w:pageBreakBefore w:val="0"/>
        <w:kinsoku/>
        <w:wordWrap/>
        <w:overflowPunct/>
        <w:topLinePunct w:val="0"/>
        <w:autoSpaceDE/>
        <w:autoSpaceDN/>
        <w:bidi w:val="0"/>
        <w:spacing w:line="240" w:lineRule="atLeast"/>
        <w:textAlignment w:val="auto"/>
        <w:rPr>
          <w:rFonts w:hint="eastAsia" w:ascii="仿宋" w:hAnsi="仿宋" w:eastAsia="仿宋" w:cs="仿宋"/>
          <w:sz w:val="28"/>
          <w:szCs w:val="28"/>
        </w:rPr>
      </w:pPr>
      <w:r>
        <w:rPr>
          <w:rFonts w:hint="eastAsia" w:ascii="仿宋" w:hAnsi="仿宋" w:eastAsia="仿宋" w:cs="仿宋"/>
          <w:sz w:val="28"/>
          <w:szCs w:val="28"/>
        </w:rPr>
        <w:t>（6）法律、行政法规规定的其他条件。</w:t>
      </w:r>
    </w:p>
    <w:p w14:paraId="3490B701">
      <w:pPr>
        <w:pStyle w:val="6"/>
        <w:pageBreakBefore w:val="0"/>
        <w:kinsoku/>
        <w:wordWrap/>
        <w:overflowPunct/>
        <w:topLinePunct w:val="0"/>
        <w:autoSpaceDE/>
        <w:autoSpaceDN/>
        <w:bidi w:val="0"/>
        <w:spacing w:line="240" w:lineRule="atLeast"/>
        <w:textAlignment w:val="auto"/>
        <w:rPr>
          <w:rFonts w:hint="eastAsia" w:ascii="仿宋" w:hAnsi="仿宋" w:eastAsia="仿宋" w:cs="仿宋"/>
          <w:color w:val="auto"/>
          <w:sz w:val="28"/>
          <w:szCs w:val="28"/>
          <w:highlight w:val="none"/>
        </w:rPr>
      </w:pPr>
      <w:r>
        <w:rPr>
          <w:rFonts w:hint="eastAsia" w:ascii="仿宋" w:hAnsi="仿宋" w:eastAsia="仿宋" w:cs="仿宋"/>
          <w:sz w:val="28"/>
          <w:szCs w:val="28"/>
          <w:lang w:val="en-US" w:eastAsia="zh-CN"/>
        </w:rPr>
        <w:t>2</w:t>
      </w:r>
      <w:r>
        <w:rPr>
          <w:rFonts w:hint="eastAsia" w:ascii="仿宋" w:hAnsi="仿宋" w:eastAsia="仿宋" w:cs="仿宋"/>
          <w:sz w:val="28"/>
          <w:szCs w:val="28"/>
        </w:rPr>
        <w:t>、</w:t>
      </w:r>
      <w:r>
        <w:rPr>
          <w:rFonts w:hint="eastAsia" w:ascii="仿宋" w:hAnsi="仿宋" w:eastAsia="仿宋" w:cs="仿宋"/>
          <w:sz w:val="28"/>
          <w:szCs w:val="28"/>
          <w:lang w:val="en-US" w:eastAsia="zh-CN"/>
        </w:rPr>
        <w:t>上传加盖单位公章的</w:t>
      </w:r>
      <w:r>
        <w:rPr>
          <w:rFonts w:hint="eastAsia" w:ascii="仿宋" w:hAnsi="仿宋" w:eastAsia="仿宋" w:cs="仿宋"/>
          <w:color w:val="auto"/>
          <w:sz w:val="28"/>
          <w:szCs w:val="28"/>
        </w:rPr>
        <w:t>企业法人营业执照副本(或者法人登记证书）、组织机构代码证副本、</w:t>
      </w:r>
      <w:r>
        <w:rPr>
          <w:rFonts w:hint="eastAsia" w:ascii="仿宋" w:hAnsi="仿宋" w:eastAsia="仿宋" w:cs="仿宋"/>
          <w:color w:val="auto"/>
          <w:sz w:val="28"/>
          <w:szCs w:val="28"/>
          <w:highlight w:val="none"/>
        </w:rPr>
        <w:t>基本户开户证明复印件；</w:t>
      </w:r>
    </w:p>
    <w:p w14:paraId="2B4BA3CF">
      <w:pPr>
        <w:pageBreakBefore w:val="0"/>
        <w:kinsoku/>
        <w:wordWrap/>
        <w:overflowPunct/>
        <w:topLinePunct w:val="0"/>
        <w:autoSpaceDE/>
        <w:autoSpaceDN/>
        <w:bidi w:val="0"/>
        <w:adjustRightInd w:val="0"/>
        <w:snapToGrid w:val="0"/>
        <w:spacing w:before="156" w:beforeLines="50" w:line="240" w:lineRule="atLeas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依法缴纳税收和社会保险费的证明材料：《税务登记证》和《社会保险登记证》的复印件加盖单位公章，或者近三个月依法缴纳税收和社会保险费的证明（纳税及缴费凭证复印件加盖单位公章），或者委托他人缴纳的委托代办协议和近三个月的缴纳证明（收据复印件加盖单位公章），或者法定征收机关出具的依法免缴税费的证明，或者依法缴纳税收和社会保险费的承诺书。</w:t>
      </w:r>
    </w:p>
    <w:p w14:paraId="34133DDE">
      <w:pPr>
        <w:pageBreakBefore w:val="0"/>
        <w:kinsoku/>
        <w:wordWrap/>
        <w:overflowPunct/>
        <w:topLinePunct w:val="0"/>
        <w:autoSpaceDE/>
        <w:autoSpaceDN/>
        <w:bidi w:val="0"/>
        <w:adjustRightInd w:val="0"/>
        <w:snapToGrid w:val="0"/>
        <w:spacing w:before="156" w:beforeLines="50" w:line="240" w:lineRule="atLeas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单位负责人为同一人或者存在直接控股、管理关系的不同</w:t>
      </w:r>
      <w:r>
        <w:rPr>
          <w:rFonts w:hint="eastAsia" w:ascii="仿宋" w:hAnsi="仿宋" w:eastAsia="仿宋" w:cs="仿宋"/>
          <w:sz w:val="28"/>
          <w:szCs w:val="28"/>
          <w:lang w:eastAsia="zh-CN"/>
        </w:rPr>
        <w:t>投标人</w:t>
      </w:r>
      <w:r>
        <w:rPr>
          <w:rFonts w:hint="eastAsia" w:ascii="仿宋" w:hAnsi="仿宋" w:eastAsia="仿宋" w:cs="仿宋"/>
          <w:sz w:val="28"/>
          <w:szCs w:val="28"/>
        </w:rPr>
        <w:t>，不得参加同一合同项下的政府采购活动。</w:t>
      </w:r>
    </w:p>
    <w:p w14:paraId="2076A402">
      <w:pPr>
        <w:pageBreakBefore w:val="0"/>
        <w:kinsoku/>
        <w:wordWrap/>
        <w:overflowPunct/>
        <w:topLinePunct w:val="0"/>
        <w:autoSpaceDE/>
        <w:autoSpaceDN/>
        <w:bidi w:val="0"/>
        <w:adjustRightInd w:val="0"/>
        <w:snapToGrid w:val="0"/>
        <w:spacing w:before="156" w:beforeLines="50" w:line="240" w:lineRule="atLeas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、为本采购项目提供整体设计、规范编制或者项目管理、监理、检测等服务的，不得再参加此项目的其他采购活动。</w:t>
      </w:r>
    </w:p>
    <w:p w14:paraId="3BC97ABF">
      <w:pPr>
        <w:pageBreakBefore w:val="0"/>
        <w:kinsoku/>
        <w:wordWrap/>
        <w:overflowPunct/>
        <w:topLinePunct w:val="0"/>
        <w:autoSpaceDE/>
        <w:autoSpaceDN/>
        <w:bidi w:val="0"/>
        <w:adjustRightInd w:val="0"/>
        <w:snapToGrid w:val="0"/>
        <w:spacing w:before="156" w:beforeLines="50" w:line="240" w:lineRule="atLeas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w:t>
      </w:r>
      <w:r>
        <w:rPr>
          <w:rFonts w:hint="eastAsia" w:ascii="仿宋" w:hAnsi="仿宋" w:eastAsia="仿宋" w:cs="仿宋"/>
          <w:sz w:val="28"/>
          <w:szCs w:val="28"/>
          <w:lang w:eastAsia="zh-CN"/>
        </w:rPr>
        <w:t>投标人</w:t>
      </w:r>
      <w:r>
        <w:rPr>
          <w:rFonts w:hint="eastAsia" w:ascii="仿宋" w:hAnsi="仿宋" w:eastAsia="仿宋" w:cs="仿宋"/>
          <w:sz w:val="28"/>
          <w:szCs w:val="28"/>
        </w:rPr>
        <w:t>未被列入失信被执行人、重大税收违法案件当事人名单、政府采购严重违法失信行为记录名单</w:t>
      </w:r>
      <w:r>
        <w:rPr>
          <w:rFonts w:hint="eastAsia" w:ascii="仿宋" w:hAnsi="仿宋" w:eastAsia="仿宋" w:cs="仿宋"/>
          <w:sz w:val="28"/>
          <w:szCs w:val="28"/>
          <w:lang w:eastAsia="zh-CN"/>
        </w:rPr>
        <w:t>，提供</w:t>
      </w:r>
      <w:r>
        <w:rPr>
          <w:rFonts w:hint="eastAsia" w:ascii="仿宋" w:hAnsi="仿宋" w:eastAsia="仿宋" w:cs="仿宋"/>
          <w:sz w:val="28"/>
          <w:szCs w:val="28"/>
        </w:rPr>
        <w:t xml:space="preserve"> “信用中国”网站（www.creditchina.gov.cn）、中国政府采购网（www.ccgp.gov.cn）</w:t>
      </w:r>
      <w:r>
        <w:rPr>
          <w:rFonts w:hint="eastAsia" w:ascii="仿宋" w:hAnsi="仿宋" w:eastAsia="仿宋" w:cs="仿宋"/>
          <w:sz w:val="28"/>
          <w:szCs w:val="28"/>
          <w:lang w:eastAsia="zh-CN"/>
        </w:rPr>
        <w:t>的截图、信用报告并提供</w:t>
      </w:r>
      <w:r>
        <w:rPr>
          <w:rFonts w:hint="eastAsia" w:ascii="仿宋" w:hAnsi="仿宋" w:eastAsia="仿宋" w:cs="仿宋"/>
          <w:sz w:val="28"/>
          <w:szCs w:val="28"/>
        </w:rPr>
        <w:t>书面承诺（格式自拟），否则拒绝参与政府采购活动；</w:t>
      </w:r>
    </w:p>
    <w:p w14:paraId="1E4E901F">
      <w:pPr>
        <w:pageBreakBefore w:val="0"/>
        <w:kinsoku/>
        <w:wordWrap/>
        <w:overflowPunct/>
        <w:topLinePunct w:val="0"/>
        <w:autoSpaceDE/>
        <w:autoSpaceDN/>
        <w:bidi w:val="0"/>
        <w:adjustRightInd w:val="0"/>
        <w:snapToGrid w:val="0"/>
        <w:spacing w:before="156" w:beforeLines="50" w:line="240" w:lineRule="atLeas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本次采购</w:t>
      </w:r>
      <w:r>
        <w:rPr>
          <w:rFonts w:hint="eastAsia" w:ascii="仿宋" w:hAnsi="仿宋" w:eastAsia="仿宋" w:cs="仿宋"/>
          <w:sz w:val="28"/>
          <w:szCs w:val="28"/>
          <w:u w:val="none"/>
        </w:rPr>
        <w:t>不接受</w:t>
      </w:r>
      <w:r>
        <w:rPr>
          <w:rFonts w:hint="eastAsia" w:ascii="仿宋" w:hAnsi="仿宋" w:eastAsia="仿宋" w:cs="仿宋"/>
          <w:sz w:val="28"/>
          <w:szCs w:val="28"/>
          <w:lang w:eastAsia="zh-CN"/>
        </w:rPr>
        <w:t>投标人</w:t>
      </w:r>
      <w:r>
        <w:rPr>
          <w:rFonts w:hint="eastAsia" w:ascii="仿宋" w:hAnsi="仿宋" w:eastAsia="仿宋" w:cs="仿宋"/>
          <w:sz w:val="28"/>
          <w:szCs w:val="28"/>
        </w:rPr>
        <w:t>为联合体形式。</w:t>
      </w:r>
    </w:p>
    <w:p w14:paraId="0D986047">
      <w:pPr>
        <w:pageBreakBefore w:val="0"/>
        <w:kinsoku/>
        <w:wordWrap/>
        <w:overflowPunct/>
        <w:topLinePunct w:val="0"/>
        <w:autoSpaceDE/>
        <w:autoSpaceDN/>
        <w:bidi w:val="0"/>
        <w:adjustRightInd w:val="0"/>
        <w:snapToGrid w:val="0"/>
        <w:spacing w:before="156" w:beforeLines="50" w:line="24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w:t>
      </w:r>
      <w:r>
        <w:rPr>
          <w:rFonts w:hint="eastAsia" w:ascii="仿宋" w:hAnsi="仿宋" w:eastAsia="仿宋" w:cs="仿宋"/>
          <w:sz w:val="28"/>
          <w:szCs w:val="28"/>
        </w:rPr>
        <w:t>成交供应商不允许转包，否则采购人</w:t>
      </w:r>
      <w:r>
        <w:rPr>
          <w:rFonts w:hint="eastAsia" w:ascii="仿宋" w:hAnsi="仿宋" w:eastAsia="仿宋" w:cs="仿宋"/>
          <w:snapToGrid w:val="0"/>
          <w:sz w:val="28"/>
          <w:szCs w:val="28"/>
        </w:rPr>
        <w:t>有权将取消其成交供应商资格</w:t>
      </w:r>
      <w:r>
        <w:rPr>
          <w:rFonts w:hint="eastAsia" w:ascii="仿宋" w:hAnsi="仿宋" w:eastAsia="仿宋" w:cs="仿宋"/>
          <w:snapToGrid w:val="0"/>
          <w:sz w:val="28"/>
          <w:szCs w:val="28"/>
          <w:lang w:eastAsia="zh-CN"/>
        </w:rPr>
        <w:t>。</w:t>
      </w:r>
    </w:p>
    <w:p w14:paraId="605CDA25">
      <w:pPr>
        <w:pageBreakBefore w:val="0"/>
        <w:kinsoku/>
        <w:wordWrap/>
        <w:overflowPunct/>
        <w:topLinePunct w:val="0"/>
        <w:autoSpaceDE/>
        <w:autoSpaceDN/>
        <w:bidi w:val="0"/>
        <w:adjustRightInd w:val="0"/>
        <w:snapToGrid w:val="0"/>
        <w:spacing w:before="156" w:beforeLines="50" w:line="240" w:lineRule="atLeas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三、其他要求：</w:t>
      </w:r>
    </w:p>
    <w:p w14:paraId="3B93712E">
      <w:pPr>
        <w:spacing w:line="440" w:lineRule="exact"/>
        <w:ind w:firstLine="560" w:firstLineChars="200"/>
        <w:rPr>
          <w:rFonts w:hint="eastAsia" w:ascii="仿宋" w:hAnsi="仿宋" w:eastAsia="仿宋" w:cs="仿宋"/>
          <w:b w:val="0"/>
          <w:bCs w:val="0"/>
          <w:color w:val="auto"/>
          <w:kern w:val="0"/>
          <w:sz w:val="28"/>
          <w:szCs w:val="28"/>
        </w:rPr>
      </w:pPr>
      <w:r>
        <w:rPr>
          <w:rFonts w:hint="eastAsia" w:ascii="仿宋" w:hAnsi="仿宋" w:eastAsia="仿宋" w:cs="仿宋"/>
          <w:b w:val="0"/>
          <w:bCs w:val="0"/>
          <w:color w:val="auto"/>
          <w:kern w:val="0"/>
          <w:sz w:val="28"/>
          <w:szCs w:val="28"/>
        </w:rPr>
        <w:t>1、中标人应保证货物是已定型上市销售的全新、原产地、原包装、手续合法完整、渠道正规的产品，完全符合合同规定质量、规格和性能的要求。</w:t>
      </w:r>
    </w:p>
    <w:p w14:paraId="06970328">
      <w:pPr>
        <w:spacing w:line="440" w:lineRule="exact"/>
        <w:ind w:firstLine="560" w:firstLineChars="200"/>
        <w:rPr>
          <w:rFonts w:hint="eastAsia" w:ascii="仿宋" w:hAnsi="仿宋" w:eastAsia="仿宋" w:cs="仿宋"/>
          <w:b w:val="0"/>
          <w:bCs w:val="0"/>
          <w:color w:val="auto"/>
          <w:kern w:val="0"/>
          <w:sz w:val="28"/>
          <w:szCs w:val="28"/>
        </w:rPr>
      </w:pPr>
      <w:r>
        <w:rPr>
          <w:rFonts w:hint="eastAsia" w:ascii="仿宋" w:hAnsi="仿宋" w:eastAsia="仿宋" w:cs="仿宋"/>
          <w:b w:val="0"/>
          <w:bCs w:val="0"/>
          <w:color w:val="auto"/>
          <w:kern w:val="0"/>
          <w:sz w:val="28"/>
          <w:szCs w:val="28"/>
        </w:rPr>
        <w:t>2、中标人必须严格遵守《产品质量法》，在投标书中对产品质量保证体系做出说明，并完整地履行质保期内的免费现场维修服务承诺。</w:t>
      </w:r>
    </w:p>
    <w:p w14:paraId="0C8B3230">
      <w:pPr>
        <w:spacing w:line="440" w:lineRule="exact"/>
        <w:ind w:firstLine="560" w:firstLineChars="200"/>
        <w:rPr>
          <w:rFonts w:hint="eastAsia" w:ascii="仿宋" w:hAnsi="仿宋" w:eastAsia="仿宋" w:cs="仿宋"/>
          <w:b w:val="0"/>
          <w:bCs w:val="0"/>
          <w:color w:val="auto"/>
          <w:kern w:val="0"/>
          <w:sz w:val="28"/>
          <w:szCs w:val="28"/>
        </w:rPr>
      </w:pPr>
      <w:r>
        <w:rPr>
          <w:rFonts w:hint="eastAsia" w:ascii="仿宋" w:hAnsi="仿宋" w:eastAsia="仿宋" w:cs="仿宋"/>
          <w:b w:val="0"/>
          <w:bCs w:val="0"/>
          <w:color w:val="auto"/>
          <w:kern w:val="0"/>
          <w:sz w:val="28"/>
          <w:szCs w:val="28"/>
        </w:rPr>
        <w:t>3、在质保期内，中标人必须及时免费维修、更换有缺陷的货物或部件。如果中标人收到采购人通知后，未在规定的响应时间内赶到现场弥补缺陷，采购人可采取必要的补救措施，但风险和费用全部由中标人承担，并从质量保证金中抵扣。</w:t>
      </w:r>
    </w:p>
    <w:p w14:paraId="5061ACAD">
      <w:pPr>
        <w:spacing w:line="440" w:lineRule="exact"/>
        <w:ind w:firstLine="560" w:firstLineChars="200"/>
        <w:rPr>
          <w:rFonts w:hint="eastAsia" w:ascii="仿宋" w:hAnsi="仿宋" w:eastAsia="仿宋" w:cs="仿宋"/>
          <w:b w:val="0"/>
          <w:bCs w:val="0"/>
          <w:color w:val="auto"/>
          <w:kern w:val="0"/>
          <w:sz w:val="28"/>
          <w:szCs w:val="28"/>
        </w:rPr>
      </w:pPr>
      <w:r>
        <w:rPr>
          <w:rFonts w:hint="eastAsia" w:ascii="仿宋" w:hAnsi="仿宋" w:eastAsia="仿宋" w:cs="仿宋"/>
          <w:b w:val="0"/>
          <w:bCs w:val="0"/>
          <w:color w:val="auto"/>
          <w:kern w:val="0"/>
          <w:sz w:val="28"/>
          <w:szCs w:val="28"/>
        </w:rPr>
        <w:t>4、投标时须提供针对本项目的详细售后服务方案（须注明质保期），此方案的合理及完善程度将作为评标的重要依据。</w:t>
      </w:r>
    </w:p>
    <w:p w14:paraId="158F2E1D">
      <w:pPr>
        <w:spacing w:line="440" w:lineRule="exact"/>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lang w:val="en-US" w:eastAsia="zh-CN"/>
        </w:rPr>
        <w:t>四</w:t>
      </w:r>
      <w:r>
        <w:rPr>
          <w:rFonts w:hint="eastAsia" w:ascii="仿宋" w:hAnsi="仿宋" w:eastAsia="仿宋" w:cs="仿宋"/>
          <w:b w:val="0"/>
          <w:bCs w:val="0"/>
          <w:color w:val="auto"/>
          <w:sz w:val="28"/>
          <w:szCs w:val="28"/>
        </w:rPr>
        <w:t>、包装、运输、保管及保险</w:t>
      </w:r>
    </w:p>
    <w:p w14:paraId="63395642">
      <w:pPr>
        <w:pStyle w:val="7"/>
        <w:spacing w:line="440" w:lineRule="exact"/>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1、中标人所供货物必须为制造商原厂包装，包装质量符合国家或行业相关标准，货物的包装均应有良好的防湿、防锈、防潮、防雨、防腐及防碰撞的措施，货物要求有包装材料保护运至现场。凡由于包装不良导致货物损坏、锈蚀等的损失和由此产生的费用均由中标人承担。</w:t>
      </w:r>
    </w:p>
    <w:p w14:paraId="62F1F5D0">
      <w:pPr>
        <w:pStyle w:val="7"/>
        <w:spacing w:line="440" w:lineRule="exact"/>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2、中标人负责根据本项目内容各个不同的安装地点,将货物材料送到现场过程中的全部运输，包括装卸车、货物现场的搬运。</w:t>
      </w:r>
    </w:p>
    <w:p w14:paraId="2DDB0C27">
      <w:pPr>
        <w:pStyle w:val="7"/>
        <w:spacing w:line="440" w:lineRule="exact"/>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3、各种货物，必须提供装箱清单，按装箱清单验收货物。</w:t>
      </w:r>
    </w:p>
    <w:p w14:paraId="6B5C2086">
      <w:pPr>
        <w:pStyle w:val="7"/>
        <w:spacing w:line="440" w:lineRule="exact"/>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4、货物在现场的保管由中标人负责，直至项目安装、验收完毕。</w:t>
      </w:r>
    </w:p>
    <w:p w14:paraId="3A91167D">
      <w:pPr>
        <w:pStyle w:val="7"/>
        <w:spacing w:line="440" w:lineRule="exact"/>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5、货物在安装调试验收合格前的保险由中标人负责，中标人负责其派出的现场服务人员人身意外保险。</w:t>
      </w:r>
    </w:p>
    <w:p w14:paraId="3CAD3822">
      <w:pPr>
        <w:spacing w:line="440" w:lineRule="exact"/>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lang w:val="en-US" w:eastAsia="zh-CN"/>
        </w:rPr>
        <w:t>五</w:t>
      </w:r>
      <w:r>
        <w:rPr>
          <w:rFonts w:hint="eastAsia" w:ascii="仿宋" w:hAnsi="仿宋" w:eastAsia="仿宋" w:cs="仿宋"/>
          <w:b w:val="0"/>
          <w:bCs w:val="0"/>
          <w:color w:val="auto"/>
          <w:sz w:val="28"/>
          <w:szCs w:val="28"/>
        </w:rPr>
        <w:t>、安装调试</w:t>
      </w:r>
    </w:p>
    <w:p w14:paraId="19BF4924">
      <w:pPr>
        <w:pStyle w:val="7"/>
        <w:spacing w:line="440" w:lineRule="exact"/>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1、投标人应派有经验的技术人员到现场进行安装、调试，直到正常使用，其费用由投标人负担，包含在投标总价中并负责技术人员及安装过程的保险。</w:t>
      </w:r>
    </w:p>
    <w:p w14:paraId="17A90BAC">
      <w:pPr>
        <w:pStyle w:val="7"/>
        <w:spacing w:line="440" w:lineRule="exact"/>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2、严格遵守安装现场安全保卫制度和防火制度。</w:t>
      </w:r>
    </w:p>
    <w:p w14:paraId="75359097">
      <w:pPr>
        <w:pStyle w:val="7"/>
        <w:spacing w:line="440" w:lineRule="exact"/>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3、货物安装调试由中标人负责, 并提出货物调试的内容、项目、指标和方法, 并提供相应的仪器和工具, 中标人有责任对用户单位的技术人员提出的问题作出解答。</w:t>
      </w:r>
    </w:p>
    <w:p w14:paraId="725EE4D4">
      <w:pPr>
        <w:pStyle w:val="7"/>
        <w:spacing w:line="440" w:lineRule="exact"/>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4、用户单位技术人员应参与测试全过程。测试过程应进行详细记录，测试结果经双方确认后，由双方代表签字，交给用户单位验收。</w:t>
      </w:r>
    </w:p>
    <w:p w14:paraId="1B828243">
      <w:pPr>
        <w:pStyle w:val="7"/>
        <w:spacing w:line="440" w:lineRule="exact"/>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5、中标人应结合设备的安装、调试及运行过程，有计划对采购人派出的管理、维护人员进行设备的基本知识、使用、维护保养技术等现场技术培训，直至采购人的技术人员能独立工作，并承担因此发生的费用。</w:t>
      </w:r>
    </w:p>
    <w:p w14:paraId="781643C3">
      <w:pPr>
        <w:spacing w:line="440" w:lineRule="exact"/>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lang w:val="en-US" w:eastAsia="zh-CN"/>
        </w:rPr>
        <w:t>六</w:t>
      </w:r>
      <w:r>
        <w:rPr>
          <w:rFonts w:hint="eastAsia" w:ascii="仿宋" w:hAnsi="仿宋" w:eastAsia="仿宋" w:cs="仿宋"/>
          <w:b w:val="0"/>
          <w:bCs w:val="0"/>
          <w:color w:val="auto"/>
          <w:sz w:val="28"/>
          <w:szCs w:val="28"/>
        </w:rPr>
        <w:t>、安全文明施工</w:t>
      </w:r>
    </w:p>
    <w:p w14:paraId="29B7664B">
      <w:pPr>
        <w:pStyle w:val="7"/>
        <w:spacing w:line="440" w:lineRule="exact"/>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1、</w:t>
      </w:r>
      <w:r>
        <w:rPr>
          <w:rFonts w:hint="eastAsia" w:ascii="仿宋" w:hAnsi="仿宋" w:eastAsia="仿宋" w:cs="仿宋"/>
          <w:b w:val="0"/>
          <w:bCs w:val="0"/>
          <w:color w:val="auto"/>
          <w:sz w:val="28"/>
          <w:szCs w:val="28"/>
          <w:lang w:eastAsia="zh-CN"/>
        </w:rPr>
        <w:t>中标人</w:t>
      </w:r>
      <w:r>
        <w:rPr>
          <w:rFonts w:hint="eastAsia" w:ascii="仿宋" w:hAnsi="仿宋" w:eastAsia="仿宋" w:cs="仿宋"/>
          <w:b w:val="0"/>
          <w:bCs w:val="0"/>
          <w:color w:val="auto"/>
          <w:sz w:val="28"/>
          <w:szCs w:val="28"/>
        </w:rPr>
        <w:t>在货物安装施工过程中要服从采购方的监督意见、文明施工、不得影响周边居民的正常工作及生活。</w:t>
      </w:r>
    </w:p>
    <w:p w14:paraId="63382426">
      <w:pPr>
        <w:pStyle w:val="7"/>
        <w:spacing w:line="440" w:lineRule="exact"/>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2、</w:t>
      </w:r>
      <w:r>
        <w:rPr>
          <w:rFonts w:hint="eastAsia" w:ascii="仿宋" w:hAnsi="仿宋" w:eastAsia="仿宋" w:cs="仿宋"/>
          <w:b w:val="0"/>
          <w:bCs w:val="0"/>
          <w:color w:val="auto"/>
          <w:sz w:val="28"/>
          <w:szCs w:val="28"/>
          <w:lang w:eastAsia="zh-CN"/>
        </w:rPr>
        <w:t>中标人</w:t>
      </w:r>
      <w:r>
        <w:rPr>
          <w:rFonts w:hint="eastAsia" w:ascii="仿宋" w:hAnsi="仿宋" w:eastAsia="仿宋" w:cs="仿宋"/>
          <w:b w:val="0"/>
          <w:bCs w:val="0"/>
          <w:color w:val="auto"/>
          <w:sz w:val="28"/>
          <w:szCs w:val="28"/>
        </w:rPr>
        <w:t>在安全标识制作过程中应严格按照要求制作，安装规范、合理、线路统一的安全标记确保安全。安装地点充分征求采购方要求，并充分考虑各项安全因素。</w:t>
      </w:r>
    </w:p>
    <w:p w14:paraId="06009135">
      <w:pPr>
        <w:pStyle w:val="7"/>
        <w:spacing w:line="440" w:lineRule="exact"/>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3、安全措施</w:t>
      </w:r>
    </w:p>
    <w:p w14:paraId="146C5F1F">
      <w:pPr>
        <w:pStyle w:val="7"/>
        <w:spacing w:line="440" w:lineRule="exact"/>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（1）坚持“安全第一，预防为主”的方针，杜绝安全事故的发生。</w:t>
      </w:r>
    </w:p>
    <w:p w14:paraId="6D9CBC7D">
      <w:pPr>
        <w:pStyle w:val="7"/>
        <w:spacing w:line="440" w:lineRule="exact"/>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（2）本项目施工安装过程中要求配备1名安全员，确保整个施工安装工程的安全。</w:t>
      </w:r>
    </w:p>
    <w:p w14:paraId="33B863DD">
      <w:pPr>
        <w:spacing w:line="440" w:lineRule="exact"/>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lang w:val="en-US" w:eastAsia="zh-CN"/>
        </w:rPr>
        <w:t>七</w:t>
      </w:r>
      <w:r>
        <w:rPr>
          <w:rFonts w:hint="eastAsia" w:ascii="仿宋" w:hAnsi="仿宋" w:eastAsia="仿宋" w:cs="仿宋"/>
          <w:b w:val="0"/>
          <w:bCs w:val="0"/>
          <w:color w:val="auto"/>
          <w:sz w:val="28"/>
          <w:szCs w:val="28"/>
        </w:rPr>
        <w:t>、质量保证</w:t>
      </w:r>
    </w:p>
    <w:p w14:paraId="6C5EF7E0">
      <w:pPr>
        <w:pStyle w:val="7"/>
        <w:spacing w:line="440" w:lineRule="exact"/>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1、投标人应提供产品生产过程中的质量保证措施，包括质量控制目标、手段、在产品生产过程的质量保证体系、使用的材质、配件、后期设备检测等</w:t>
      </w:r>
    </w:p>
    <w:p w14:paraId="0999D542">
      <w:pPr>
        <w:pStyle w:val="7"/>
        <w:spacing w:line="440" w:lineRule="exact"/>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2、中标人提供的产品应符合国家质量检测标准，具有出厂合格证或国家鉴定合格证，并在交货验收时提供给采购人。</w:t>
      </w:r>
    </w:p>
    <w:p w14:paraId="13BEC5F3">
      <w:pPr>
        <w:pStyle w:val="7"/>
        <w:spacing w:line="440" w:lineRule="exact"/>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3、</w:t>
      </w:r>
      <w:r>
        <w:rPr>
          <w:rFonts w:hint="eastAsia" w:ascii="仿宋" w:hAnsi="仿宋" w:eastAsia="仿宋" w:cs="仿宋"/>
          <w:b w:val="0"/>
          <w:bCs w:val="0"/>
          <w:color w:val="auto"/>
          <w:sz w:val="28"/>
          <w:szCs w:val="28"/>
          <w:highlight w:val="none"/>
        </w:rPr>
        <w:t>货物免费质保期三年</w:t>
      </w:r>
      <w:r>
        <w:rPr>
          <w:rFonts w:hint="eastAsia" w:ascii="仿宋" w:hAnsi="仿宋" w:eastAsia="仿宋" w:cs="仿宋"/>
          <w:b w:val="0"/>
          <w:bCs w:val="0"/>
          <w:color w:val="auto"/>
          <w:sz w:val="28"/>
          <w:szCs w:val="28"/>
        </w:rPr>
        <w:t>，投标人承诺质保期限内，应对所供货产品的质量负责，不能按照合同约定履行质保和售后服务的，采购人有权将中标人报送上级财政主管部门处按政府采购相关法律法规进行处理。</w:t>
      </w:r>
    </w:p>
    <w:p w14:paraId="03E42762">
      <w:pPr>
        <w:pStyle w:val="7"/>
        <w:spacing w:line="440" w:lineRule="exact"/>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4、在质保期内中标人对产品质量实行三包，因设备配置、设备或零部件制造质量问题而引起的故障，由中标人负责免费维修或更换，保证设备及时恢复正常，由此引起的一切费用由中标人承担。</w:t>
      </w:r>
    </w:p>
    <w:p w14:paraId="46C36F37">
      <w:pPr>
        <w:pStyle w:val="7"/>
        <w:spacing w:line="440" w:lineRule="exact"/>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 xml:space="preserve">5、中标人应保证货物是全新产品、 原产地、原包装、手续合法完整、渠道正规的产品，完全符合合同规定的质量、规格和性能的要求。 </w:t>
      </w:r>
    </w:p>
    <w:p w14:paraId="087845E9">
      <w:pPr>
        <w:pStyle w:val="7"/>
        <w:spacing w:line="440" w:lineRule="exact"/>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6、中标人必须严格遵守《产品质量法》， 在投标文件中对产品质量保证体系做出说明，并完整地履行质保期内的免费现场维修服务承诺。</w:t>
      </w:r>
    </w:p>
    <w:p w14:paraId="6177EE72">
      <w:pPr>
        <w:spacing w:line="440" w:lineRule="exact"/>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lang w:val="en-US" w:eastAsia="zh-CN"/>
        </w:rPr>
        <w:t>八</w:t>
      </w:r>
      <w:r>
        <w:rPr>
          <w:rFonts w:hint="eastAsia" w:ascii="仿宋" w:hAnsi="仿宋" w:eastAsia="仿宋" w:cs="仿宋"/>
          <w:b w:val="0"/>
          <w:bCs w:val="0"/>
          <w:color w:val="auto"/>
          <w:sz w:val="28"/>
          <w:szCs w:val="28"/>
        </w:rPr>
        <w:t>、验收标准和方法</w:t>
      </w:r>
    </w:p>
    <w:p w14:paraId="31A18D20">
      <w:pPr>
        <w:spacing w:line="440" w:lineRule="exact"/>
        <w:ind w:firstLine="560" w:firstLineChars="200"/>
        <w:rPr>
          <w:rFonts w:hint="eastAsia" w:ascii="仿宋" w:hAnsi="仿宋" w:eastAsia="仿宋" w:cs="仿宋"/>
          <w:b w:val="0"/>
          <w:bCs w:val="0"/>
          <w:color w:val="auto"/>
          <w:kern w:val="0"/>
          <w:sz w:val="28"/>
          <w:szCs w:val="28"/>
        </w:rPr>
      </w:pPr>
      <w:r>
        <w:rPr>
          <w:rFonts w:hint="eastAsia" w:ascii="仿宋" w:hAnsi="仿宋" w:eastAsia="仿宋" w:cs="仿宋"/>
          <w:b w:val="0"/>
          <w:bCs w:val="0"/>
          <w:color w:val="auto"/>
          <w:kern w:val="0"/>
          <w:sz w:val="28"/>
          <w:szCs w:val="28"/>
        </w:rPr>
        <w:t>1、验收标准：货物验收须按国家标准和规范及合同要求进行，货物及其材料的各项技术性能必须达到合同和相关技术文件规定的要求，必须符合国家和行业的有关规定和标准。</w:t>
      </w:r>
    </w:p>
    <w:p w14:paraId="3742DBA9">
      <w:pPr>
        <w:spacing w:line="440" w:lineRule="exact"/>
        <w:ind w:firstLine="560" w:firstLineChars="200"/>
        <w:rPr>
          <w:rFonts w:hint="eastAsia" w:ascii="仿宋" w:hAnsi="仿宋" w:eastAsia="仿宋" w:cs="仿宋"/>
          <w:b w:val="0"/>
          <w:bCs w:val="0"/>
          <w:color w:val="auto"/>
          <w:kern w:val="0"/>
          <w:sz w:val="28"/>
          <w:szCs w:val="28"/>
        </w:rPr>
      </w:pPr>
      <w:r>
        <w:rPr>
          <w:rFonts w:hint="eastAsia" w:ascii="仿宋" w:hAnsi="仿宋" w:eastAsia="仿宋" w:cs="仿宋"/>
          <w:b w:val="0"/>
          <w:bCs w:val="0"/>
          <w:color w:val="auto"/>
          <w:kern w:val="0"/>
          <w:sz w:val="28"/>
          <w:szCs w:val="28"/>
        </w:rPr>
        <w:t>2、验收方法</w:t>
      </w:r>
    </w:p>
    <w:p w14:paraId="697DC733">
      <w:pPr>
        <w:spacing w:line="440" w:lineRule="exact"/>
        <w:ind w:firstLine="560" w:firstLineChars="200"/>
        <w:rPr>
          <w:rFonts w:hint="eastAsia" w:ascii="仿宋" w:hAnsi="仿宋" w:eastAsia="仿宋" w:cs="仿宋"/>
          <w:b w:val="0"/>
          <w:bCs w:val="0"/>
          <w:color w:val="auto"/>
          <w:kern w:val="0"/>
          <w:sz w:val="28"/>
          <w:szCs w:val="28"/>
        </w:rPr>
      </w:pPr>
      <w:r>
        <w:rPr>
          <w:rFonts w:hint="eastAsia" w:ascii="仿宋" w:hAnsi="仿宋" w:eastAsia="仿宋" w:cs="仿宋"/>
          <w:b w:val="0"/>
          <w:bCs w:val="0"/>
          <w:color w:val="auto"/>
          <w:kern w:val="0"/>
          <w:sz w:val="28"/>
          <w:szCs w:val="28"/>
        </w:rPr>
        <w:t>（1）采购人有关部门有权参与与本项目有关的全部试验、验收，并对其按照国家标准进行抽检，投标人应向采购人有关部门验收代表提交验收报告、主要零部件、原材料、原始资料和检查记录等资料，以便采购人有关部门及时审查、验收。</w:t>
      </w:r>
    </w:p>
    <w:p w14:paraId="31670A44">
      <w:pPr>
        <w:spacing w:line="440" w:lineRule="exact"/>
        <w:ind w:firstLine="560" w:firstLineChars="200"/>
        <w:rPr>
          <w:rFonts w:hint="eastAsia" w:ascii="仿宋" w:hAnsi="仿宋" w:eastAsia="仿宋" w:cs="仿宋"/>
          <w:b w:val="0"/>
          <w:bCs w:val="0"/>
          <w:color w:val="auto"/>
          <w:kern w:val="0"/>
          <w:sz w:val="28"/>
          <w:szCs w:val="28"/>
        </w:rPr>
      </w:pPr>
      <w:r>
        <w:rPr>
          <w:rFonts w:hint="eastAsia" w:ascii="仿宋" w:hAnsi="仿宋" w:eastAsia="仿宋" w:cs="仿宋"/>
          <w:b w:val="0"/>
          <w:bCs w:val="0"/>
          <w:color w:val="auto"/>
          <w:kern w:val="0"/>
          <w:sz w:val="28"/>
          <w:szCs w:val="28"/>
        </w:rPr>
        <w:t>（2）货物由投标人负责运到采购人指定的安装地点，并负责货物的装卸、保管等工作。</w:t>
      </w:r>
    </w:p>
    <w:p w14:paraId="3EA89303">
      <w:pPr>
        <w:spacing w:line="440" w:lineRule="exact"/>
        <w:ind w:firstLine="560" w:firstLineChars="200"/>
        <w:rPr>
          <w:rFonts w:hint="eastAsia" w:ascii="仿宋" w:hAnsi="仿宋" w:eastAsia="仿宋" w:cs="仿宋"/>
          <w:b w:val="0"/>
          <w:bCs w:val="0"/>
          <w:color w:val="auto"/>
          <w:kern w:val="0"/>
          <w:sz w:val="28"/>
          <w:szCs w:val="28"/>
        </w:rPr>
      </w:pPr>
      <w:r>
        <w:rPr>
          <w:rFonts w:hint="eastAsia" w:ascii="仿宋" w:hAnsi="仿宋" w:eastAsia="仿宋" w:cs="仿宋"/>
          <w:b w:val="0"/>
          <w:bCs w:val="0"/>
          <w:color w:val="auto"/>
          <w:kern w:val="0"/>
          <w:sz w:val="28"/>
          <w:szCs w:val="28"/>
        </w:rPr>
        <w:t>（3）货物应按采购人确定的时间在项目现场进行开箱、安装、调试，技术指标合格后，出具验收报告。</w:t>
      </w:r>
    </w:p>
    <w:p w14:paraId="343F442C">
      <w:pPr>
        <w:spacing w:line="440" w:lineRule="exact"/>
        <w:ind w:firstLine="560" w:firstLineChars="200"/>
        <w:rPr>
          <w:rFonts w:hint="eastAsia" w:ascii="仿宋" w:hAnsi="仿宋" w:eastAsia="仿宋" w:cs="仿宋"/>
          <w:b w:val="0"/>
          <w:bCs w:val="0"/>
          <w:color w:val="auto"/>
          <w:kern w:val="0"/>
          <w:sz w:val="28"/>
          <w:szCs w:val="28"/>
        </w:rPr>
      </w:pPr>
      <w:r>
        <w:rPr>
          <w:rFonts w:hint="eastAsia" w:ascii="仿宋" w:hAnsi="仿宋" w:eastAsia="仿宋" w:cs="仿宋"/>
          <w:b w:val="0"/>
          <w:bCs w:val="0"/>
          <w:color w:val="auto"/>
          <w:kern w:val="0"/>
          <w:sz w:val="28"/>
          <w:szCs w:val="28"/>
        </w:rPr>
        <w:t>（4）本项目分批次验收。中标人交付中标货物，完成合同中约定的工作，且满足采购人对项目建设要求的，可以申请项目验收。经采购人组织相关技术专家和采购人代表组成验收小组进行验收，验收合格的，项目进入质保期。质保期以通过项目验收的验收报告签字日开始计算。</w:t>
      </w:r>
    </w:p>
    <w:p w14:paraId="406C1FDE">
      <w:pPr>
        <w:spacing w:line="440" w:lineRule="exact"/>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九、售后服务的要求</w:t>
      </w:r>
    </w:p>
    <w:p w14:paraId="612D7ACD">
      <w:pPr>
        <w:spacing w:line="440" w:lineRule="exact"/>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kern w:val="0"/>
          <w:sz w:val="28"/>
          <w:szCs w:val="28"/>
        </w:rPr>
        <w:t>1、免费质保期：</w:t>
      </w:r>
      <w:r>
        <w:rPr>
          <w:rFonts w:hint="eastAsia" w:ascii="仿宋" w:hAnsi="仿宋" w:eastAsia="仿宋" w:cs="仿宋"/>
          <w:b w:val="0"/>
          <w:bCs w:val="0"/>
          <w:color w:val="auto"/>
          <w:sz w:val="28"/>
          <w:szCs w:val="28"/>
          <w:highlight w:val="none"/>
        </w:rPr>
        <w:t>整体项目质保期叁年</w:t>
      </w:r>
      <w:r>
        <w:rPr>
          <w:rFonts w:hint="eastAsia" w:ascii="仿宋" w:hAnsi="仿宋" w:eastAsia="仿宋" w:cs="仿宋"/>
          <w:b w:val="0"/>
          <w:bCs w:val="0"/>
          <w:color w:val="auto"/>
          <w:sz w:val="28"/>
          <w:szCs w:val="28"/>
        </w:rPr>
        <w:t>，自验收合格之日起计算，质保期内出现任何质量问题（人为破坏或自然灾害等不可抗力除外），由中标人负责全免费（免全部工时费、材料费、管理费、财务费等等）更换或维修，保修期间产品的一切质量问题，更换部件及产品本身质量原因造成的直接经济损失应全部由中标人自行负责。质保期外维修只收取零配件成本价，不收取人工费。厂家质保期高于招标要求的，按厂家质保期进行质保。</w:t>
      </w:r>
    </w:p>
    <w:p w14:paraId="5FF27757">
      <w:pPr>
        <w:spacing w:line="440" w:lineRule="exact"/>
        <w:ind w:firstLine="560" w:firstLineChars="200"/>
        <w:rPr>
          <w:rFonts w:hint="eastAsia" w:ascii="仿宋" w:hAnsi="仿宋" w:eastAsia="仿宋" w:cs="仿宋"/>
          <w:b w:val="0"/>
          <w:bCs w:val="0"/>
          <w:color w:val="auto"/>
          <w:kern w:val="0"/>
          <w:sz w:val="28"/>
          <w:szCs w:val="28"/>
        </w:rPr>
      </w:pPr>
      <w:r>
        <w:rPr>
          <w:rFonts w:hint="eastAsia" w:ascii="仿宋" w:hAnsi="仿宋" w:eastAsia="仿宋" w:cs="仿宋"/>
          <w:b w:val="0"/>
          <w:bCs w:val="0"/>
          <w:color w:val="auto"/>
          <w:kern w:val="0"/>
          <w:sz w:val="28"/>
          <w:szCs w:val="28"/>
        </w:rPr>
        <w:t>2、质保期内免费维修、免费更换零部件，服务内容包含：</w:t>
      </w:r>
    </w:p>
    <w:p w14:paraId="5682CFBA">
      <w:pPr>
        <w:spacing w:line="440" w:lineRule="exact"/>
        <w:ind w:firstLine="560" w:firstLineChars="200"/>
        <w:rPr>
          <w:rFonts w:hint="eastAsia" w:ascii="仿宋" w:hAnsi="仿宋" w:eastAsia="仿宋" w:cs="仿宋"/>
          <w:b w:val="0"/>
          <w:bCs w:val="0"/>
          <w:color w:val="auto"/>
          <w:kern w:val="0"/>
          <w:sz w:val="28"/>
          <w:szCs w:val="28"/>
        </w:rPr>
      </w:pPr>
      <w:r>
        <w:rPr>
          <w:rFonts w:hint="eastAsia" w:ascii="仿宋" w:hAnsi="仿宋" w:eastAsia="仿宋" w:cs="仿宋"/>
          <w:b w:val="0"/>
          <w:bCs w:val="0"/>
          <w:color w:val="auto"/>
          <w:kern w:val="0"/>
          <w:sz w:val="28"/>
          <w:szCs w:val="28"/>
        </w:rPr>
        <w:t>2.1免费送货上门，免费安装调试，免费技术培训（包括操作人员培训），直至采购人技术人员能熟练操作及排除一般故障。</w:t>
      </w:r>
    </w:p>
    <w:p w14:paraId="4366AEE5">
      <w:pPr>
        <w:spacing w:line="440" w:lineRule="exact"/>
        <w:ind w:firstLine="560" w:firstLineChars="200"/>
        <w:rPr>
          <w:rFonts w:hint="eastAsia" w:ascii="仿宋" w:hAnsi="仿宋" w:eastAsia="仿宋" w:cs="仿宋"/>
          <w:b w:val="0"/>
          <w:bCs w:val="0"/>
          <w:color w:val="auto"/>
          <w:kern w:val="0"/>
          <w:sz w:val="28"/>
          <w:szCs w:val="28"/>
        </w:rPr>
      </w:pPr>
      <w:r>
        <w:rPr>
          <w:rFonts w:hint="eastAsia" w:ascii="仿宋" w:hAnsi="仿宋" w:eastAsia="仿宋" w:cs="仿宋"/>
          <w:b w:val="0"/>
          <w:bCs w:val="0"/>
          <w:color w:val="auto"/>
          <w:kern w:val="0"/>
          <w:sz w:val="28"/>
          <w:szCs w:val="28"/>
        </w:rPr>
        <w:t>2.2服务响应时间：</w:t>
      </w:r>
    </w:p>
    <w:p w14:paraId="6B1104C5">
      <w:pPr>
        <w:spacing w:line="440" w:lineRule="exact"/>
        <w:ind w:firstLine="560" w:firstLineChars="200"/>
        <w:rPr>
          <w:rFonts w:hint="eastAsia" w:ascii="仿宋" w:hAnsi="仿宋" w:eastAsia="仿宋" w:cs="仿宋"/>
          <w:b w:val="0"/>
          <w:bCs w:val="0"/>
          <w:color w:val="auto"/>
          <w:kern w:val="0"/>
          <w:sz w:val="28"/>
          <w:szCs w:val="28"/>
        </w:rPr>
      </w:pPr>
      <w:r>
        <w:rPr>
          <w:rFonts w:hint="eastAsia" w:ascii="仿宋" w:hAnsi="仿宋" w:eastAsia="仿宋" w:cs="仿宋"/>
          <w:b w:val="0"/>
          <w:bCs w:val="0"/>
          <w:color w:val="auto"/>
          <w:kern w:val="0"/>
          <w:sz w:val="28"/>
          <w:szCs w:val="28"/>
        </w:rPr>
        <w:t>（1）对重大故障提供7×24小时的现场支援，一般故障提供5×8小时的现场支援。</w:t>
      </w:r>
    </w:p>
    <w:p w14:paraId="2E564D05">
      <w:pPr>
        <w:spacing w:line="440" w:lineRule="exact"/>
        <w:ind w:firstLine="560" w:firstLineChars="200"/>
        <w:rPr>
          <w:rFonts w:hint="eastAsia" w:ascii="仿宋" w:hAnsi="仿宋" w:eastAsia="仿宋" w:cs="仿宋"/>
          <w:b w:val="0"/>
          <w:bCs w:val="0"/>
          <w:color w:val="auto"/>
          <w:kern w:val="0"/>
          <w:sz w:val="28"/>
          <w:szCs w:val="28"/>
        </w:rPr>
      </w:pPr>
      <w:r>
        <w:rPr>
          <w:rFonts w:hint="eastAsia" w:ascii="仿宋" w:hAnsi="仿宋" w:eastAsia="仿宋" w:cs="仿宋"/>
          <w:b w:val="0"/>
          <w:bCs w:val="0"/>
          <w:color w:val="auto"/>
          <w:kern w:val="0"/>
          <w:sz w:val="28"/>
          <w:szCs w:val="28"/>
        </w:rPr>
        <w:t>（2）1小时响应，2小时到现场，一般故障4小时内解决问题，重大问题8小时内提出解决方案。</w:t>
      </w:r>
    </w:p>
    <w:p w14:paraId="332E883C">
      <w:pPr>
        <w:spacing w:line="440" w:lineRule="exact"/>
        <w:ind w:firstLine="560" w:firstLineChars="200"/>
        <w:rPr>
          <w:rFonts w:hint="eastAsia" w:ascii="仿宋" w:hAnsi="仿宋" w:eastAsia="仿宋" w:cs="仿宋"/>
          <w:b w:val="0"/>
          <w:bCs w:val="0"/>
          <w:color w:val="auto"/>
          <w:kern w:val="0"/>
          <w:sz w:val="28"/>
          <w:szCs w:val="28"/>
        </w:rPr>
      </w:pPr>
      <w:r>
        <w:rPr>
          <w:rFonts w:hint="eastAsia" w:ascii="仿宋" w:hAnsi="仿宋" w:eastAsia="仿宋" w:cs="仿宋"/>
          <w:b w:val="0"/>
          <w:bCs w:val="0"/>
          <w:color w:val="auto"/>
          <w:kern w:val="0"/>
          <w:sz w:val="28"/>
          <w:szCs w:val="28"/>
        </w:rPr>
        <w:t>3、保修期满后，在非人为因素情况下，供应方只收取换件材料成本费；免收人工维修费。</w:t>
      </w:r>
    </w:p>
    <w:p w14:paraId="125BC252">
      <w:pPr>
        <w:spacing w:line="440" w:lineRule="exact"/>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lang w:val="en-US" w:eastAsia="zh-CN"/>
        </w:rPr>
        <w:t>十</w:t>
      </w:r>
      <w:r>
        <w:rPr>
          <w:rFonts w:hint="eastAsia" w:ascii="仿宋" w:hAnsi="仿宋" w:eastAsia="仿宋" w:cs="仿宋"/>
          <w:b w:val="0"/>
          <w:bCs w:val="0"/>
          <w:color w:val="auto"/>
          <w:sz w:val="28"/>
          <w:szCs w:val="28"/>
        </w:rPr>
        <w:t>、报价范围</w:t>
      </w:r>
    </w:p>
    <w:p w14:paraId="25FF0C30">
      <w:pPr>
        <w:adjustRightInd w:val="0"/>
        <w:snapToGrid w:val="0"/>
        <w:spacing w:line="440" w:lineRule="exact"/>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本项目为交钥匙价，投标报价为采购人指定地点的现场交货价，包括：</w:t>
      </w:r>
    </w:p>
    <w:p w14:paraId="3BFEECF1">
      <w:pPr>
        <w:adjustRightInd w:val="0"/>
        <w:snapToGrid w:val="0"/>
        <w:spacing w:line="440" w:lineRule="exact"/>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（1）货物的价格：包括货款、杂配件、安装调试费、验收费等完成本项过程所需的全部费用。</w:t>
      </w:r>
    </w:p>
    <w:p w14:paraId="756F1591">
      <w:pPr>
        <w:adjustRightInd w:val="0"/>
        <w:snapToGrid w:val="0"/>
        <w:spacing w:line="440" w:lineRule="exact"/>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（2）货物的标准附件、备品备件、专用工具的价格。</w:t>
      </w:r>
    </w:p>
    <w:p w14:paraId="3EB4844E">
      <w:pPr>
        <w:adjustRightInd w:val="0"/>
        <w:snapToGrid w:val="0"/>
        <w:spacing w:line="440" w:lineRule="exact"/>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（3）运输、装卸、保管、调试、培训、技术支持、售后服务费。</w:t>
      </w:r>
    </w:p>
    <w:p w14:paraId="12844AF9">
      <w:pPr>
        <w:adjustRightInd w:val="0"/>
        <w:snapToGrid w:val="0"/>
        <w:spacing w:line="440" w:lineRule="exact"/>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（4）设备调试及相关接口建设及对相应设备的适配费用。</w:t>
      </w:r>
    </w:p>
    <w:p w14:paraId="77F3E438">
      <w:pPr>
        <w:adjustRightInd w:val="0"/>
        <w:snapToGrid w:val="0"/>
        <w:spacing w:line="440" w:lineRule="exact"/>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（5）保险费和各项税金。</w:t>
      </w:r>
    </w:p>
    <w:p w14:paraId="7A0B043D">
      <w:pPr>
        <w:adjustRightInd w:val="0"/>
        <w:snapToGrid w:val="0"/>
        <w:spacing w:line="440" w:lineRule="exact"/>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注：投标人自行考虑完成项目所需的辅材、杂配件等数量及投标报价中应包含的全部内容，中标后采购人不再支付额外费用。</w:t>
      </w:r>
    </w:p>
    <w:p w14:paraId="1611A09A">
      <w:pPr>
        <w:spacing w:line="440" w:lineRule="exact"/>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lang w:val="en-US" w:eastAsia="zh-CN"/>
        </w:rPr>
        <w:t>十一</w:t>
      </w:r>
      <w:r>
        <w:rPr>
          <w:rFonts w:hint="eastAsia" w:ascii="仿宋" w:hAnsi="仿宋" w:eastAsia="仿宋" w:cs="仿宋"/>
          <w:b w:val="0"/>
          <w:bCs w:val="0"/>
          <w:color w:val="auto"/>
          <w:sz w:val="28"/>
          <w:szCs w:val="28"/>
        </w:rPr>
        <w:t>、供货及付款方式</w:t>
      </w:r>
    </w:p>
    <w:p w14:paraId="55596AB0">
      <w:pPr>
        <w:adjustRightInd w:val="0"/>
        <w:snapToGrid w:val="0"/>
        <w:spacing w:line="440" w:lineRule="exact"/>
        <w:ind w:firstLine="560" w:firstLineChars="200"/>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1、交货时间：合同签订后</w:t>
      </w:r>
      <w:r>
        <w:rPr>
          <w:rFonts w:hint="eastAsia" w:ascii="仿宋" w:hAnsi="仿宋" w:eastAsia="仿宋" w:cs="仿宋"/>
          <w:b w:val="0"/>
          <w:bCs w:val="0"/>
          <w:color w:val="auto"/>
          <w:sz w:val="28"/>
          <w:szCs w:val="28"/>
          <w:highlight w:val="none"/>
          <w:lang w:eastAsia="zh-CN"/>
        </w:rPr>
        <w:t>于</w:t>
      </w:r>
      <w:r>
        <w:rPr>
          <w:rFonts w:hint="eastAsia" w:ascii="仿宋" w:hAnsi="仿宋" w:eastAsia="仿宋" w:cs="仿宋"/>
          <w:b w:val="0"/>
          <w:bCs w:val="0"/>
          <w:color w:val="auto"/>
          <w:sz w:val="28"/>
          <w:szCs w:val="28"/>
          <w:highlight w:val="none"/>
          <w:lang w:val="en-US" w:eastAsia="zh-CN"/>
        </w:rPr>
        <w:t>7日内</w:t>
      </w:r>
      <w:r>
        <w:rPr>
          <w:rFonts w:hint="eastAsia" w:ascii="仿宋" w:hAnsi="仿宋" w:eastAsia="仿宋" w:cs="仿宋"/>
          <w:b w:val="0"/>
          <w:bCs w:val="0"/>
          <w:color w:val="auto"/>
          <w:sz w:val="28"/>
          <w:szCs w:val="28"/>
          <w:highlight w:val="none"/>
        </w:rPr>
        <w:t>交货安装调试完毕交采购人使用。</w:t>
      </w:r>
    </w:p>
    <w:p w14:paraId="3C6520A2">
      <w:pPr>
        <w:adjustRightInd w:val="0"/>
        <w:snapToGrid w:val="0"/>
        <w:spacing w:line="440" w:lineRule="exact"/>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2、交货地点：按采购人要求配送至指定地点。</w:t>
      </w:r>
    </w:p>
    <w:p w14:paraId="184A5F4F">
      <w:pPr>
        <w:adjustRightInd w:val="0"/>
        <w:snapToGrid w:val="0"/>
        <w:spacing w:line="440" w:lineRule="exact"/>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3、交货方式：中标单位应当在采购人确定的时间、指定的地点送货交货，并验收合格。</w:t>
      </w:r>
    </w:p>
    <w:p w14:paraId="4F59F087">
      <w:pPr>
        <w:adjustRightInd w:val="0"/>
        <w:snapToGrid w:val="0"/>
        <w:spacing w:line="440" w:lineRule="exact"/>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4、中标人应根据时间要求供货并对不可预见因素的进行预测，组织相关人员配送到指定项目现场，及时协调各方，保证按进度安排及时供货。</w:t>
      </w:r>
    </w:p>
    <w:p w14:paraId="7CA0644F">
      <w:pPr>
        <w:adjustRightInd w:val="0"/>
        <w:snapToGrid w:val="0"/>
        <w:spacing w:line="440" w:lineRule="exact"/>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5、除包括采购的产品外，还应包括配套的辅助设备、技术资料、产品使用说明书、产品使用所必需的备品备件品，负责运输、安装并提供相应的技术服务与质量保证。</w:t>
      </w:r>
    </w:p>
    <w:p w14:paraId="70952366">
      <w:pPr>
        <w:adjustRightInd w:val="0"/>
        <w:snapToGrid w:val="0"/>
        <w:spacing w:line="440" w:lineRule="exact"/>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6、投标报价应包括货物本身价格外，还包含要向中华人民共和国政府缴纳的各项税费和运至合同指定地点的运输费、装卸费、安装费、服务费等一切费用。本项目采用费用包干方式建设，投标人应根据项目要求和现场情况，详细列明项目所需的设备、材料、配件、辅材，以及运输、安装、调试、验收等人工、管理等所有费用，如一旦中标，在项目实施中出现任何遗漏，均由中标人免费提供，采购人不再支付任何费用。</w:t>
      </w:r>
    </w:p>
    <w:p w14:paraId="560FC367">
      <w:pPr>
        <w:adjustRightInd w:val="0"/>
        <w:snapToGrid w:val="0"/>
        <w:spacing w:line="440" w:lineRule="exact"/>
        <w:ind w:firstLine="560" w:firstLineChars="200"/>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rPr>
        <w:t>7、</w:t>
      </w:r>
      <w:r>
        <w:rPr>
          <w:rFonts w:hint="eastAsia" w:ascii="仿宋" w:hAnsi="仿宋" w:eastAsia="仿宋" w:cs="仿宋"/>
          <w:b w:val="0"/>
          <w:bCs w:val="0"/>
          <w:color w:val="auto"/>
          <w:sz w:val="28"/>
          <w:szCs w:val="28"/>
          <w:highlight w:val="none"/>
        </w:rPr>
        <w:t>付款方式：合同签订后，</w:t>
      </w:r>
      <w:r>
        <w:rPr>
          <w:rFonts w:hint="eastAsia" w:ascii="仿宋" w:hAnsi="仿宋" w:eastAsia="仿宋" w:cs="仿宋"/>
          <w:b w:val="0"/>
          <w:bCs w:val="0"/>
          <w:color w:val="auto"/>
          <w:sz w:val="28"/>
          <w:szCs w:val="28"/>
          <w:highlight w:val="none"/>
          <w:lang w:eastAsia="zh-CN"/>
        </w:rPr>
        <w:t>中标人</w:t>
      </w:r>
      <w:r>
        <w:rPr>
          <w:rFonts w:hint="eastAsia" w:ascii="仿宋" w:hAnsi="仿宋" w:eastAsia="仿宋" w:cs="仿宋"/>
          <w:b w:val="0"/>
          <w:bCs w:val="0"/>
          <w:color w:val="auto"/>
          <w:sz w:val="28"/>
          <w:szCs w:val="28"/>
          <w:highlight w:val="none"/>
        </w:rPr>
        <w:t>按要求</w:t>
      </w:r>
      <w:r>
        <w:rPr>
          <w:rFonts w:hint="eastAsia" w:ascii="仿宋" w:hAnsi="仿宋" w:eastAsia="仿宋" w:cs="仿宋"/>
          <w:b w:val="0"/>
          <w:bCs w:val="0"/>
          <w:color w:val="auto"/>
          <w:sz w:val="28"/>
          <w:szCs w:val="28"/>
          <w:highlight w:val="none"/>
          <w:lang w:val="en-US" w:eastAsia="zh-CN"/>
        </w:rPr>
        <w:t>于7日内</w:t>
      </w:r>
      <w:r>
        <w:rPr>
          <w:rFonts w:hint="eastAsia" w:ascii="仿宋" w:hAnsi="仿宋" w:eastAsia="仿宋" w:cs="仿宋"/>
          <w:b w:val="0"/>
          <w:bCs w:val="0"/>
          <w:color w:val="auto"/>
          <w:sz w:val="28"/>
          <w:szCs w:val="28"/>
          <w:highlight w:val="none"/>
        </w:rPr>
        <w:t>交货安装</w:t>
      </w:r>
      <w:r>
        <w:rPr>
          <w:rFonts w:hint="eastAsia" w:ascii="仿宋" w:hAnsi="仿宋" w:eastAsia="仿宋" w:cs="仿宋"/>
          <w:b w:val="0"/>
          <w:bCs w:val="0"/>
          <w:color w:val="auto"/>
          <w:sz w:val="28"/>
          <w:szCs w:val="28"/>
          <w:highlight w:val="none"/>
          <w:lang w:val="en-US" w:eastAsia="zh-CN"/>
        </w:rPr>
        <w:t>完成</w:t>
      </w:r>
      <w:r>
        <w:rPr>
          <w:rFonts w:hint="eastAsia" w:ascii="仿宋" w:hAnsi="仿宋" w:eastAsia="仿宋" w:cs="仿宋"/>
          <w:b w:val="0"/>
          <w:bCs w:val="0"/>
          <w:color w:val="auto"/>
          <w:sz w:val="28"/>
          <w:szCs w:val="28"/>
          <w:highlight w:val="none"/>
        </w:rPr>
        <w:t>并经采购方验收合格后支付合同总金额的</w:t>
      </w:r>
      <w:r>
        <w:rPr>
          <w:rFonts w:hint="eastAsia" w:ascii="仿宋" w:hAnsi="仿宋" w:eastAsia="仿宋" w:cs="仿宋"/>
          <w:b w:val="0"/>
          <w:bCs w:val="0"/>
          <w:color w:val="auto"/>
          <w:sz w:val="28"/>
          <w:szCs w:val="28"/>
          <w:highlight w:val="none"/>
          <w:lang w:val="en-US" w:eastAsia="zh-CN"/>
        </w:rPr>
        <w:t>60</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设备正常使用3个月后，余款在第三方评审公司进行结算审核后于两年内付至结审金额的100%</w:t>
      </w:r>
      <w:r>
        <w:rPr>
          <w:rFonts w:hint="eastAsia" w:ascii="仿宋" w:hAnsi="仿宋" w:eastAsia="仿宋" w:cs="仿宋"/>
          <w:b w:val="0"/>
          <w:bCs w:val="0"/>
          <w:color w:val="auto"/>
          <w:sz w:val="28"/>
          <w:szCs w:val="28"/>
          <w:highlight w:val="none"/>
        </w:rPr>
        <w:t>。</w:t>
      </w:r>
    </w:p>
    <w:p w14:paraId="4FE19EA6">
      <w:pPr>
        <w:pageBreakBefore w:val="0"/>
        <w:widowControl/>
        <w:kinsoku/>
        <w:wordWrap/>
        <w:overflowPunct/>
        <w:topLinePunct w:val="0"/>
        <w:autoSpaceDE/>
        <w:autoSpaceDN/>
        <w:bidi w:val="0"/>
        <w:spacing w:line="240" w:lineRule="atLeast"/>
        <w:jc w:val="left"/>
        <w:textAlignment w:val="auto"/>
        <w:rPr>
          <w:rFonts w:hint="eastAsia" w:ascii="仿宋" w:hAnsi="仿宋" w:eastAsia="仿宋" w:cs="仿宋"/>
          <w:b w:val="0"/>
          <w:bCs/>
          <w:kern w:val="0"/>
          <w:sz w:val="28"/>
          <w:szCs w:val="28"/>
        </w:rPr>
      </w:pPr>
      <w:r>
        <w:rPr>
          <w:rFonts w:hint="eastAsia" w:ascii="仿宋" w:hAnsi="仿宋" w:eastAsia="仿宋" w:cs="仿宋"/>
          <w:b w:val="0"/>
          <w:bCs/>
          <w:sz w:val="28"/>
          <w:szCs w:val="28"/>
          <w:lang w:val="en-US" w:eastAsia="zh-CN"/>
        </w:rPr>
        <w:t>十二</w:t>
      </w:r>
      <w:r>
        <w:rPr>
          <w:rFonts w:hint="eastAsia" w:ascii="仿宋" w:hAnsi="仿宋" w:eastAsia="仿宋" w:cs="仿宋"/>
          <w:b w:val="0"/>
          <w:bCs/>
          <w:sz w:val="28"/>
          <w:szCs w:val="28"/>
        </w:rPr>
        <w:t>、重要说明</w:t>
      </w:r>
      <w:r>
        <w:rPr>
          <w:rFonts w:hint="eastAsia" w:ascii="仿宋" w:hAnsi="仿宋" w:eastAsia="仿宋" w:cs="仿宋"/>
          <w:b w:val="0"/>
          <w:bCs/>
          <w:kern w:val="0"/>
          <w:sz w:val="28"/>
          <w:szCs w:val="28"/>
        </w:rPr>
        <w:t>：</w:t>
      </w:r>
    </w:p>
    <w:p w14:paraId="584F471B">
      <w:pPr>
        <w:pageBreakBefore w:val="0"/>
        <w:widowControl/>
        <w:kinsoku/>
        <w:wordWrap/>
        <w:overflowPunct/>
        <w:topLinePunct w:val="0"/>
        <w:autoSpaceDE/>
        <w:autoSpaceDN/>
        <w:bidi w:val="0"/>
        <w:spacing w:line="240" w:lineRule="atLeast"/>
        <w:ind w:firstLine="560" w:firstLineChars="200"/>
        <w:jc w:val="left"/>
        <w:textAlignment w:val="auto"/>
        <w:rPr>
          <w:rFonts w:hint="eastAsia" w:ascii="仿宋" w:hAnsi="仿宋" w:eastAsia="仿宋" w:cs="仿宋"/>
          <w:sz w:val="28"/>
          <w:szCs w:val="28"/>
        </w:rPr>
      </w:pPr>
      <w:r>
        <w:rPr>
          <w:rFonts w:hint="eastAsia" w:ascii="仿宋" w:hAnsi="仿宋" w:eastAsia="仿宋" w:cs="仿宋"/>
          <w:kern w:val="0"/>
          <w:sz w:val="28"/>
          <w:szCs w:val="28"/>
        </w:rPr>
        <w:t>1、竞价响应文件</w:t>
      </w:r>
      <w:r>
        <w:rPr>
          <w:rFonts w:hint="eastAsia" w:ascii="仿宋" w:hAnsi="仿宋" w:eastAsia="仿宋" w:cs="仿宋"/>
          <w:sz w:val="28"/>
          <w:szCs w:val="28"/>
        </w:rPr>
        <w:t>需加盖竞价单位公章，其他相应响应内容须按要求盖章签署完整。报价人必须对本竞价通知规定的条件予以全部响应，如果报价人不作出书面响应，将视为未实质性响应竞价文件而被否定报价资格。超过采购预算的报价视为无效报价。</w:t>
      </w:r>
    </w:p>
    <w:p w14:paraId="1CD91F8A">
      <w:pPr>
        <w:pageBreakBefore w:val="0"/>
        <w:tabs>
          <w:tab w:val="left" w:pos="360"/>
        </w:tabs>
        <w:kinsoku/>
        <w:wordWrap/>
        <w:overflowPunct/>
        <w:topLinePunct w:val="0"/>
        <w:autoSpaceDE/>
        <w:autoSpaceDN/>
        <w:bidi w:val="0"/>
        <w:spacing w:line="240" w:lineRule="atLeas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2、本项目所有参与供应商需按照竞价要求报价，超过项目预算</w:t>
      </w:r>
      <w:r>
        <w:rPr>
          <w:rFonts w:hint="eastAsia" w:ascii="仿宋" w:hAnsi="仿宋" w:eastAsia="仿宋" w:cs="仿宋"/>
          <w:sz w:val="28"/>
          <w:szCs w:val="28"/>
          <w:lang w:val="en-US" w:eastAsia="zh-CN"/>
        </w:rPr>
        <w:t>单价和总价</w:t>
      </w:r>
      <w:r>
        <w:rPr>
          <w:rFonts w:hint="eastAsia" w:ascii="仿宋" w:hAnsi="仿宋" w:eastAsia="仿宋" w:cs="仿宋"/>
          <w:sz w:val="28"/>
          <w:szCs w:val="28"/>
        </w:rPr>
        <w:t>的将视为无效报价，本次招标为一次性不得更改的报价。</w:t>
      </w:r>
    </w:p>
    <w:p w14:paraId="487B1BCF">
      <w:pPr>
        <w:pageBreakBefore w:val="0"/>
        <w:kinsoku/>
        <w:wordWrap/>
        <w:overflowPunct/>
        <w:topLinePunct w:val="0"/>
        <w:autoSpaceDE/>
        <w:autoSpaceDN/>
        <w:bidi w:val="0"/>
        <w:spacing w:line="240" w:lineRule="atLeast"/>
        <w:textAlignment w:val="auto"/>
        <w:rPr>
          <w:rFonts w:hint="eastAsia" w:ascii="仿宋" w:hAnsi="仿宋" w:eastAsia="仿宋" w:cs="仿宋"/>
          <w:sz w:val="28"/>
          <w:szCs w:val="28"/>
          <w:lang w:val="en-US" w:eastAsia="zh-CN"/>
        </w:rPr>
      </w:pPr>
    </w:p>
    <w:p w14:paraId="04E294E0">
      <w:pPr>
        <w:pageBreakBefore w:val="0"/>
        <w:kinsoku/>
        <w:wordWrap/>
        <w:overflowPunct/>
        <w:topLinePunct w:val="0"/>
        <w:autoSpaceDE/>
        <w:autoSpaceDN/>
        <w:bidi w:val="0"/>
        <w:spacing w:line="240" w:lineRule="atLeas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湖南师范大学竹埠港实验中学</w:t>
      </w:r>
    </w:p>
    <w:p w14:paraId="4423034E">
      <w:pPr>
        <w:pageBreakBefore w:val="0"/>
        <w:kinsoku/>
        <w:wordWrap/>
        <w:overflowPunct/>
        <w:topLinePunct w:val="0"/>
        <w:autoSpaceDE/>
        <w:autoSpaceDN/>
        <w:bidi w:val="0"/>
        <w:spacing w:line="240" w:lineRule="atLeast"/>
        <w:ind w:firstLine="4480" w:firstLineChars="16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2025年7月16日</w:t>
      </w:r>
    </w:p>
    <w:p w14:paraId="60504665">
      <w:pPr>
        <w:pStyle w:val="2"/>
        <w:pageBreakBefore w:val="0"/>
        <w:kinsoku/>
        <w:wordWrap/>
        <w:overflowPunct/>
        <w:topLinePunct w:val="0"/>
        <w:autoSpaceDE/>
        <w:autoSpaceDN/>
        <w:bidi w:val="0"/>
        <w:spacing w:line="240" w:lineRule="atLeast"/>
        <w:textAlignment w:val="auto"/>
        <w:rPr>
          <w:rFonts w:hint="eastAsia" w:ascii="仿宋" w:hAnsi="仿宋" w:eastAsia="仿宋" w:cs="仿宋"/>
          <w:sz w:val="28"/>
          <w:szCs w:val="28"/>
          <w:lang w:val="en-US" w:eastAsia="zh-CN"/>
        </w:rPr>
      </w:pPr>
    </w:p>
    <w:p w14:paraId="5EC7AA29">
      <w:pPr>
        <w:rPr>
          <w:rFonts w:hint="eastAsia" w:ascii="仿宋" w:hAnsi="仿宋" w:eastAsia="仿宋" w:cs="仿宋"/>
          <w:sz w:val="28"/>
          <w:szCs w:val="28"/>
          <w:lang w:val="en-US" w:eastAsia="zh-CN"/>
        </w:rPr>
      </w:pPr>
    </w:p>
    <w:p w14:paraId="0BF96204">
      <w:pPr>
        <w:pStyle w:val="2"/>
        <w:rPr>
          <w:rFonts w:hint="eastAsia" w:ascii="仿宋" w:hAnsi="仿宋" w:eastAsia="仿宋" w:cs="仿宋"/>
          <w:sz w:val="28"/>
          <w:szCs w:val="28"/>
          <w:lang w:val="en-US" w:eastAsia="zh-CN"/>
        </w:rPr>
      </w:pPr>
    </w:p>
    <w:p w14:paraId="05FE5475">
      <w:pPr>
        <w:rPr>
          <w:rFonts w:hint="eastAsia" w:ascii="仿宋" w:hAnsi="仿宋" w:eastAsia="仿宋" w:cs="仿宋"/>
          <w:sz w:val="28"/>
          <w:szCs w:val="28"/>
          <w:lang w:val="en-US" w:eastAsia="zh-CN"/>
        </w:rPr>
      </w:pPr>
    </w:p>
    <w:p w14:paraId="13E048C0">
      <w:pPr>
        <w:pStyle w:val="2"/>
        <w:rPr>
          <w:rFonts w:hint="eastAsia" w:ascii="仿宋" w:hAnsi="仿宋" w:eastAsia="仿宋" w:cs="仿宋"/>
          <w:sz w:val="28"/>
          <w:szCs w:val="28"/>
          <w:lang w:val="en-US" w:eastAsia="zh-CN"/>
        </w:rPr>
      </w:pPr>
    </w:p>
    <w:p w14:paraId="75D83F42">
      <w:pPr>
        <w:rPr>
          <w:rFonts w:hint="eastAsia" w:ascii="仿宋" w:hAnsi="仿宋" w:eastAsia="仿宋" w:cs="仿宋"/>
          <w:sz w:val="28"/>
          <w:szCs w:val="28"/>
          <w:lang w:val="en-US" w:eastAsia="zh-CN"/>
        </w:rPr>
      </w:pPr>
    </w:p>
    <w:p w14:paraId="0FFFE3EB">
      <w:pPr>
        <w:pStyle w:val="2"/>
        <w:rPr>
          <w:rFonts w:hint="eastAsia" w:ascii="仿宋" w:hAnsi="仿宋" w:eastAsia="仿宋" w:cs="仿宋"/>
          <w:sz w:val="28"/>
          <w:szCs w:val="28"/>
          <w:lang w:val="en-US" w:eastAsia="zh-CN"/>
        </w:rPr>
      </w:pPr>
    </w:p>
    <w:p w14:paraId="4E85C74A">
      <w:pPr>
        <w:rPr>
          <w:rFonts w:hint="eastAsia" w:ascii="仿宋" w:hAnsi="仿宋" w:eastAsia="仿宋" w:cs="仿宋"/>
          <w:sz w:val="28"/>
          <w:szCs w:val="28"/>
          <w:lang w:val="en-US" w:eastAsia="zh-CN"/>
        </w:rPr>
      </w:pPr>
    </w:p>
    <w:p w14:paraId="436C265A">
      <w:pPr>
        <w:pStyle w:val="2"/>
        <w:rPr>
          <w:rFonts w:hint="eastAsia" w:ascii="仿宋" w:hAnsi="仿宋" w:eastAsia="仿宋" w:cs="仿宋"/>
          <w:sz w:val="28"/>
          <w:szCs w:val="28"/>
          <w:lang w:val="en-US" w:eastAsia="zh-CN"/>
        </w:rPr>
      </w:pPr>
    </w:p>
    <w:p w14:paraId="4FD0429B">
      <w:pPr>
        <w:rPr>
          <w:rFonts w:hint="eastAsia" w:ascii="仿宋" w:hAnsi="仿宋" w:eastAsia="仿宋" w:cs="仿宋"/>
          <w:sz w:val="28"/>
          <w:szCs w:val="28"/>
          <w:lang w:val="en-US" w:eastAsia="zh-CN"/>
        </w:rPr>
      </w:pPr>
    </w:p>
    <w:p w14:paraId="144F4AA6">
      <w:pPr>
        <w:pStyle w:val="2"/>
        <w:rPr>
          <w:rFonts w:hint="eastAsia" w:ascii="仿宋" w:hAnsi="仿宋" w:eastAsia="仿宋" w:cs="仿宋"/>
          <w:sz w:val="28"/>
          <w:szCs w:val="28"/>
          <w:lang w:val="en-US" w:eastAsia="zh-CN"/>
        </w:rPr>
      </w:pPr>
    </w:p>
    <w:p w14:paraId="17651EEC">
      <w:pPr>
        <w:rPr>
          <w:rFonts w:hint="eastAsia" w:ascii="仿宋" w:hAnsi="仿宋" w:eastAsia="仿宋" w:cs="仿宋"/>
          <w:sz w:val="28"/>
          <w:szCs w:val="28"/>
          <w:lang w:val="en-US" w:eastAsia="zh-CN"/>
        </w:rPr>
      </w:pPr>
    </w:p>
    <w:p w14:paraId="1FE7F04C">
      <w:pPr>
        <w:pStyle w:val="2"/>
        <w:rPr>
          <w:rFonts w:hint="eastAsia" w:ascii="仿宋" w:hAnsi="仿宋" w:eastAsia="仿宋" w:cs="仿宋"/>
          <w:sz w:val="28"/>
          <w:szCs w:val="28"/>
          <w:lang w:val="en-US" w:eastAsia="zh-CN"/>
        </w:rPr>
      </w:pPr>
    </w:p>
    <w:p w14:paraId="5B3A814B">
      <w:pPr>
        <w:rPr>
          <w:rFonts w:hint="eastAsia"/>
          <w:lang w:val="en-US" w:eastAsia="zh-CN"/>
        </w:rPr>
      </w:pPr>
    </w:p>
    <w:p w14:paraId="300E69B8">
      <w:pPr>
        <w:pStyle w:val="2"/>
        <w:rPr>
          <w:rFonts w:hint="eastAsia" w:ascii="仿宋" w:hAnsi="仿宋" w:eastAsia="仿宋" w:cs="仿宋"/>
          <w:sz w:val="28"/>
          <w:szCs w:val="28"/>
          <w:lang w:val="en-US" w:eastAsia="zh-CN"/>
        </w:rPr>
      </w:pPr>
    </w:p>
    <w:p w14:paraId="117E61F2">
      <w:pPr>
        <w:pStyle w:val="2"/>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附件1.</w:t>
      </w:r>
    </w:p>
    <w:p w14:paraId="759F99E0">
      <w:pPr>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1.预算总价：79508元</w:t>
      </w:r>
    </w:p>
    <w:p w14:paraId="4400863E">
      <w:pPr>
        <w:rPr>
          <w:rFonts w:hint="default" w:ascii="仿宋" w:hAnsi="仿宋" w:eastAsia="仿宋" w:cs="仿宋"/>
          <w:sz w:val="28"/>
          <w:szCs w:val="28"/>
          <w:lang w:val="en-US" w:eastAsia="zh-CN"/>
        </w:rPr>
      </w:pPr>
      <w:r>
        <w:rPr>
          <w:rFonts w:hint="eastAsia" w:ascii="仿宋" w:hAnsi="仿宋" w:eastAsia="仿宋" w:cs="仿宋"/>
          <w:b w:val="0"/>
          <w:bCs w:val="0"/>
          <w:kern w:val="0"/>
          <w:sz w:val="28"/>
          <w:szCs w:val="28"/>
          <w:lang w:val="en-US" w:eastAsia="zh-CN" w:bidi="ar"/>
        </w:rPr>
        <w:t>2.采购清单及技术参数要求:</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73"/>
        <w:gridCol w:w="1208"/>
        <w:gridCol w:w="2160"/>
        <w:gridCol w:w="855"/>
        <w:gridCol w:w="874"/>
        <w:gridCol w:w="2945"/>
        <w:gridCol w:w="874"/>
      </w:tblGrid>
      <w:tr w14:paraId="593BF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0" w:hRule="atLeast"/>
          <w:jc w:val="center"/>
        </w:trPr>
        <w:tc>
          <w:tcPr>
            <w:tcW w:w="6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89CCF8">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EBB183">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物品</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CFD79D">
            <w:pPr>
              <w:keepNext w:val="0"/>
              <w:keepLines w:val="0"/>
              <w:widowControl/>
              <w:suppressLineNumbers w:val="0"/>
              <w:jc w:val="left"/>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规格</w:t>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63830C">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数量</w:t>
            </w:r>
          </w:p>
        </w:tc>
        <w:tc>
          <w:tcPr>
            <w:tcW w:w="8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53B826">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单价（元）</w:t>
            </w:r>
          </w:p>
        </w:tc>
        <w:tc>
          <w:tcPr>
            <w:tcW w:w="29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4AC8C3">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参数</w:t>
            </w:r>
          </w:p>
        </w:tc>
        <w:tc>
          <w:tcPr>
            <w:tcW w:w="8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71ADA">
            <w:pPr>
              <w:keepNext w:val="0"/>
              <w:keepLines w:val="0"/>
              <w:widowControl/>
              <w:suppressLineNumbers w:val="0"/>
              <w:jc w:val="center"/>
              <w:textAlignment w:val="center"/>
              <w:rPr>
                <w:rFonts w:hint="default" w:ascii="宋体" w:hAnsi="宋体" w:eastAsia="宋体" w:cs="宋体"/>
                <w:b/>
                <w:i w:val="0"/>
                <w:color w:val="000000"/>
                <w:sz w:val="21"/>
                <w:szCs w:val="21"/>
                <w:u w:val="none"/>
                <w:lang w:val="en-US"/>
              </w:rPr>
            </w:pPr>
            <w:r>
              <w:rPr>
                <w:rFonts w:hint="eastAsia" w:ascii="宋体" w:hAnsi="宋体" w:cs="宋体"/>
                <w:b/>
                <w:i w:val="0"/>
                <w:color w:val="000000"/>
                <w:kern w:val="0"/>
                <w:sz w:val="21"/>
                <w:szCs w:val="21"/>
                <w:u w:val="none"/>
                <w:lang w:val="en-US" w:eastAsia="zh-CN" w:bidi="ar"/>
              </w:rPr>
              <w:t>单价控制价（上限价）</w:t>
            </w:r>
          </w:p>
        </w:tc>
      </w:tr>
      <w:tr w14:paraId="5167C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35"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80D32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C8C39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斩骨机 鸡 鸭</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40CF80">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191770</wp:posOffset>
                  </wp:positionH>
                  <wp:positionV relativeFrom="paragraph">
                    <wp:posOffset>99060</wp:posOffset>
                  </wp:positionV>
                  <wp:extent cx="991870" cy="1414145"/>
                  <wp:effectExtent l="0" t="0" r="17780" b="14605"/>
                  <wp:wrapNone/>
                  <wp:docPr id="19" name="图片_2"/>
                  <wp:cNvGraphicFramePr/>
                  <a:graphic xmlns:a="http://schemas.openxmlformats.org/drawingml/2006/main">
                    <a:graphicData uri="http://schemas.openxmlformats.org/drawingml/2006/picture">
                      <pic:pic xmlns:pic="http://schemas.openxmlformats.org/drawingml/2006/picture">
                        <pic:nvPicPr>
                          <pic:cNvPr id="19" name="图片_2"/>
                          <pic:cNvPicPr/>
                        </pic:nvPicPr>
                        <pic:blipFill>
                          <a:blip r:embed="rId4"/>
                          <a:stretch>
                            <a:fillRect/>
                          </a:stretch>
                        </pic:blipFill>
                        <pic:spPr>
                          <a:xfrm>
                            <a:off x="0" y="0"/>
                            <a:ext cx="991870" cy="1414145"/>
                          </a:xfrm>
                          <a:prstGeom prst="rect">
                            <a:avLst/>
                          </a:prstGeom>
                          <a:noFill/>
                          <a:ln>
                            <a:noFill/>
                          </a:ln>
                        </pic:spPr>
                      </pic:pic>
                    </a:graphicData>
                  </a:graphic>
                </wp:anchor>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83B9A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7AB2F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5700</w:t>
            </w:r>
          </w:p>
        </w:tc>
        <w:tc>
          <w:tcPr>
            <w:tcW w:w="294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105CDD1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品牌； 沃丰鲜鸡鸭鱼肉自动切块机，功率；3KW/5KW,电源；380V/220V,尺寸；1600*680*1100，产量；300-800KG/h，进料高度；600mm,进料宽度；300mm,整机重量；300KG，加工尺寸；10-50m</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F7707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5700</w:t>
            </w:r>
          </w:p>
        </w:tc>
      </w:tr>
      <w:tr w14:paraId="425A7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65"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AE1EC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29BBE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双门蒸汽柜燃气大师</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49842D">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67945</wp:posOffset>
                  </wp:positionH>
                  <wp:positionV relativeFrom="paragraph">
                    <wp:posOffset>332740</wp:posOffset>
                  </wp:positionV>
                  <wp:extent cx="1160780" cy="1162685"/>
                  <wp:effectExtent l="0" t="0" r="1270" b="18415"/>
                  <wp:wrapNone/>
                  <wp:docPr id="14" name="图片_31"/>
                  <wp:cNvGraphicFramePr/>
                  <a:graphic xmlns:a="http://schemas.openxmlformats.org/drawingml/2006/main">
                    <a:graphicData uri="http://schemas.openxmlformats.org/drawingml/2006/picture">
                      <pic:pic xmlns:pic="http://schemas.openxmlformats.org/drawingml/2006/picture">
                        <pic:nvPicPr>
                          <pic:cNvPr id="14" name="图片_31"/>
                          <pic:cNvPicPr/>
                        </pic:nvPicPr>
                        <pic:blipFill>
                          <a:blip r:embed="rId5"/>
                          <a:stretch>
                            <a:fillRect/>
                          </a:stretch>
                        </pic:blipFill>
                        <pic:spPr>
                          <a:xfrm>
                            <a:off x="0" y="0"/>
                            <a:ext cx="1160780" cy="1162685"/>
                          </a:xfrm>
                          <a:prstGeom prst="rect">
                            <a:avLst/>
                          </a:prstGeom>
                          <a:noFill/>
                          <a:ln>
                            <a:noFill/>
                          </a:ln>
                        </pic:spPr>
                      </pic:pic>
                    </a:graphicData>
                  </a:graphic>
                </wp:anchor>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F22A3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206A3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3600</w:t>
            </w:r>
          </w:p>
        </w:tc>
        <w:tc>
          <w:tcPr>
            <w:tcW w:w="294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7D882016">
            <w:pPr>
              <w:keepNext w:val="0"/>
              <w:keepLines w:val="0"/>
              <w:widowControl/>
              <w:suppressLineNumbers w:val="0"/>
              <w:spacing w:after="220" w:afterAutospacing="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品牌；大师工程款24盘燃气蒸饭柜，外观采用201加厚</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板材，内里双层卡槽，配无磁加厚调盘，功能；自带电子点火，</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熄火保护装置，缺水保护，溢水阀，双层密封保温，一边16孔火排，分开隔断，节能省气，尺寸；1400*700*1600</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73453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3600</w:t>
            </w:r>
          </w:p>
        </w:tc>
      </w:tr>
      <w:tr w14:paraId="4E387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82"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4B30E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12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73E27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绞肉机（大）全钢全铜2.2KW</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29A386">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151130</wp:posOffset>
                  </wp:positionH>
                  <wp:positionV relativeFrom="paragraph">
                    <wp:posOffset>75565</wp:posOffset>
                  </wp:positionV>
                  <wp:extent cx="1134745" cy="1010285"/>
                  <wp:effectExtent l="0" t="0" r="8255" b="18415"/>
                  <wp:wrapNone/>
                  <wp:docPr id="13" name="图片_30"/>
                  <wp:cNvGraphicFramePr/>
                  <a:graphic xmlns:a="http://schemas.openxmlformats.org/drawingml/2006/main">
                    <a:graphicData uri="http://schemas.openxmlformats.org/drawingml/2006/picture">
                      <pic:pic xmlns:pic="http://schemas.openxmlformats.org/drawingml/2006/picture">
                        <pic:nvPicPr>
                          <pic:cNvPr id="13" name="图片_30"/>
                          <pic:cNvPicPr/>
                        </pic:nvPicPr>
                        <pic:blipFill>
                          <a:blip r:embed="rId6"/>
                          <a:stretch>
                            <a:fillRect/>
                          </a:stretch>
                        </pic:blipFill>
                        <pic:spPr>
                          <a:xfrm>
                            <a:off x="0" y="0"/>
                            <a:ext cx="1134745" cy="1010285"/>
                          </a:xfrm>
                          <a:prstGeom prst="rect">
                            <a:avLst/>
                          </a:prstGeom>
                          <a:noFill/>
                          <a:ln>
                            <a:noFill/>
                          </a:ln>
                        </pic:spPr>
                      </pic:pic>
                    </a:graphicData>
                  </a:graphic>
                </wp:anchor>
              </w:drawing>
            </w:r>
          </w:p>
        </w:tc>
        <w:tc>
          <w:tcPr>
            <w:tcW w:w="855"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7195C42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975C6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2900</w:t>
            </w:r>
          </w:p>
        </w:tc>
        <w:tc>
          <w:tcPr>
            <w:tcW w:w="294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027DC587">
            <w:pPr>
              <w:keepNext w:val="0"/>
              <w:keepLines w:val="0"/>
              <w:pageBreakBefore w:val="0"/>
              <w:widowControl/>
              <w:suppressLineNumbers w:val="0"/>
              <w:kinsoku/>
              <w:wordWrap/>
              <w:overflowPunct/>
              <w:topLinePunct w:val="0"/>
              <w:autoSpaceDE/>
              <w:autoSpaceDN/>
              <w:bidi w:val="0"/>
              <w:adjustRightInd/>
              <w:snapToGrid/>
              <w:spacing w:afterAutospacing="0" w:line="140" w:lineRule="atLeas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品牌；锋佰利绞切两用机，</w:t>
            </w:r>
          </w:p>
          <w:p w14:paraId="00A3EBE6">
            <w:pPr>
              <w:keepNext w:val="0"/>
              <w:keepLines w:val="0"/>
              <w:pageBreakBefore w:val="0"/>
              <w:widowControl/>
              <w:suppressLineNumbers w:val="0"/>
              <w:kinsoku/>
              <w:wordWrap/>
              <w:overflowPunct/>
              <w:topLinePunct w:val="0"/>
              <w:autoSpaceDE/>
              <w:autoSpaceDN/>
              <w:bidi w:val="0"/>
              <w:adjustRightInd/>
              <w:snapToGrid/>
              <w:spacing w:afterAutospacing="0" w:line="140" w:lineRule="atLeas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功率；220V2.2KW，</w:t>
            </w:r>
          </w:p>
          <w:p w14:paraId="64DFCB4D">
            <w:pPr>
              <w:keepNext w:val="0"/>
              <w:keepLines w:val="0"/>
              <w:pageBreakBefore w:val="0"/>
              <w:widowControl/>
              <w:suppressLineNumbers w:val="0"/>
              <w:kinsoku/>
              <w:wordWrap/>
              <w:overflowPunct/>
              <w:topLinePunct w:val="0"/>
              <w:autoSpaceDE/>
              <w:autoSpaceDN/>
              <w:bidi w:val="0"/>
              <w:adjustRightInd/>
              <w:snapToGrid/>
              <w:spacing w:afterAutospacing="0" w:line="140" w:lineRule="atLeas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整机全钢全铜，外观采用201无磁加厚板材，功能；可切丝切片绞肉多功能一体机。</w:t>
            </w:r>
          </w:p>
          <w:p w14:paraId="51E86FD9">
            <w:pPr>
              <w:keepNext w:val="0"/>
              <w:keepLines w:val="0"/>
              <w:pageBreakBefore w:val="0"/>
              <w:widowControl/>
              <w:suppressLineNumbers w:val="0"/>
              <w:kinsoku/>
              <w:wordWrap/>
              <w:overflowPunct/>
              <w:topLinePunct w:val="0"/>
              <w:autoSpaceDE/>
              <w:autoSpaceDN/>
              <w:bidi w:val="0"/>
              <w:adjustRightInd/>
              <w:snapToGrid/>
              <w:spacing w:afterAutospacing="0" w:line="140" w:lineRule="atLeas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绞肉泥产量：不少于150kg/h；</w:t>
            </w:r>
          </w:p>
          <w:p w14:paraId="464D5001">
            <w:pPr>
              <w:keepNext w:val="0"/>
              <w:keepLines w:val="0"/>
              <w:pageBreakBefore w:val="0"/>
              <w:widowControl/>
              <w:suppressLineNumbers w:val="0"/>
              <w:kinsoku/>
              <w:wordWrap/>
              <w:overflowPunct/>
              <w:topLinePunct w:val="0"/>
              <w:autoSpaceDE/>
              <w:autoSpaceDN/>
              <w:bidi w:val="0"/>
              <w:adjustRightInd/>
              <w:snapToGrid/>
              <w:spacing w:afterAutospacing="0" w:line="140" w:lineRule="atLeas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切丝切片产量：200-400kg/h；</w:t>
            </w:r>
          </w:p>
          <w:p w14:paraId="3F0C165A">
            <w:pPr>
              <w:keepNext w:val="0"/>
              <w:keepLines w:val="0"/>
              <w:pageBreakBefore w:val="0"/>
              <w:widowControl/>
              <w:suppressLineNumbers w:val="0"/>
              <w:kinsoku/>
              <w:wordWrap/>
              <w:overflowPunct/>
              <w:topLinePunct w:val="0"/>
              <w:autoSpaceDE/>
              <w:autoSpaceDN/>
              <w:bidi w:val="0"/>
              <w:adjustRightInd/>
              <w:snapToGrid/>
              <w:spacing w:afterAutospacing="0" w:line="140" w:lineRule="atLeas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配置：不锈钢刀片+不锈钢绞肉套。</w:t>
            </w:r>
          </w:p>
          <w:p w14:paraId="291FC0F6">
            <w:pPr>
              <w:keepNext w:val="0"/>
              <w:keepLines w:val="0"/>
              <w:pageBreakBefore w:val="0"/>
              <w:widowControl/>
              <w:suppressLineNumbers w:val="0"/>
              <w:kinsoku/>
              <w:wordWrap/>
              <w:overflowPunct/>
              <w:topLinePunct w:val="0"/>
              <w:autoSpaceDE/>
              <w:autoSpaceDN/>
              <w:bidi w:val="0"/>
              <w:adjustRightInd/>
              <w:snapToGrid/>
              <w:spacing w:afterAutospacing="0" w:line="140" w:lineRule="atLeast"/>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18"/>
                <w:szCs w:val="18"/>
                <w:u w:val="none"/>
                <w:lang w:val="en-US" w:eastAsia="zh-CN" w:bidi="ar"/>
              </w:rPr>
              <w:t>尺寸；570*420*840</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741C4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2900</w:t>
            </w:r>
          </w:p>
        </w:tc>
      </w:tr>
      <w:tr w14:paraId="49548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2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47D94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2C5E6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切菜机 （大）</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9901A7">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69215</wp:posOffset>
                  </wp:positionH>
                  <wp:positionV relativeFrom="paragraph">
                    <wp:posOffset>56515</wp:posOffset>
                  </wp:positionV>
                  <wp:extent cx="1229360" cy="1369060"/>
                  <wp:effectExtent l="0" t="0" r="8890" b="2540"/>
                  <wp:wrapNone/>
                  <wp:docPr id="8" name="图片_7"/>
                  <wp:cNvGraphicFramePr/>
                  <a:graphic xmlns:a="http://schemas.openxmlformats.org/drawingml/2006/main">
                    <a:graphicData uri="http://schemas.openxmlformats.org/drawingml/2006/picture">
                      <pic:pic xmlns:pic="http://schemas.openxmlformats.org/drawingml/2006/picture">
                        <pic:nvPicPr>
                          <pic:cNvPr id="8" name="图片_7"/>
                          <pic:cNvPicPr/>
                        </pic:nvPicPr>
                        <pic:blipFill>
                          <a:blip r:embed="rId7"/>
                          <a:stretch>
                            <a:fillRect/>
                          </a:stretch>
                        </pic:blipFill>
                        <pic:spPr>
                          <a:xfrm>
                            <a:off x="0" y="0"/>
                            <a:ext cx="1229360" cy="1369060"/>
                          </a:xfrm>
                          <a:prstGeom prst="rect">
                            <a:avLst/>
                          </a:prstGeom>
                          <a:noFill/>
                          <a:ln>
                            <a:noFill/>
                          </a:ln>
                        </pic:spPr>
                      </pic:pic>
                    </a:graphicData>
                  </a:graphic>
                </wp:anchor>
              </w:drawing>
            </w:r>
          </w:p>
        </w:tc>
        <w:tc>
          <w:tcPr>
            <w:tcW w:w="855"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037074B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C723D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6300</w:t>
            </w:r>
          </w:p>
        </w:tc>
        <w:tc>
          <w:tcPr>
            <w:tcW w:w="294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263C59E5">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品牌；钰泉多功能切菜机，型号YQC803,功率；220V1.8KW，生产效率；300-1000KG/小时，机身材质；不锈钢，功能；一次成型各种球茎类叶，菜类轻松切，刀具规格；切片刀，切丝刀，叶菜切刀。制品规格：切片*2.5mm切丝*3mm切丁*15mm；切段厚度：可调，可切厚片、薄片、切四角丝、切圆丝、切条、切角块、切斜片、切段均可调节。叶菜类一可切长条状葱、大蒜、韭黄、芹菜、高丽菜、大白菜等切段，输送带与刀的转速采用变频器控制可以调切所切割的蔬菜长短。球根类-可切萝卜、马铃薯、芋类、番薯、竹笋、洋葱、瓜类、茄子类。</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DC305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6300</w:t>
            </w:r>
          </w:p>
        </w:tc>
      </w:tr>
      <w:tr w14:paraId="4DA1C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4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D81A6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12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D6E1A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双门消毒柜  热风循环 高温</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2D5B08">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132080</wp:posOffset>
                  </wp:positionH>
                  <wp:positionV relativeFrom="paragraph">
                    <wp:posOffset>229235</wp:posOffset>
                  </wp:positionV>
                  <wp:extent cx="1162685" cy="2266315"/>
                  <wp:effectExtent l="0" t="0" r="18415" b="635"/>
                  <wp:wrapNone/>
                  <wp:docPr id="15" name="图片_22"/>
                  <wp:cNvGraphicFramePr/>
                  <a:graphic xmlns:a="http://schemas.openxmlformats.org/drawingml/2006/main">
                    <a:graphicData uri="http://schemas.openxmlformats.org/drawingml/2006/picture">
                      <pic:pic xmlns:pic="http://schemas.openxmlformats.org/drawingml/2006/picture">
                        <pic:nvPicPr>
                          <pic:cNvPr id="15" name="图片_22"/>
                          <pic:cNvPicPr/>
                        </pic:nvPicPr>
                        <pic:blipFill>
                          <a:blip r:embed="rId8"/>
                          <a:stretch>
                            <a:fillRect/>
                          </a:stretch>
                        </pic:blipFill>
                        <pic:spPr>
                          <a:xfrm>
                            <a:off x="0" y="0"/>
                            <a:ext cx="1162685" cy="2266315"/>
                          </a:xfrm>
                          <a:prstGeom prst="rect">
                            <a:avLst/>
                          </a:prstGeom>
                          <a:noFill/>
                          <a:ln>
                            <a:noFill/>
                          </a:ln>
                        </pic:spPr>
                      </pic:pic>
                    </a:graphicData>
                  </a:graphic>
                </wp:anchor>
              </w:drawing>
            </w:r>
          </w:p>
        </w:tc>
        <w:tc>
          <w:tcPr>
            <w:tcW w:w="855"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487CE19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CA38E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3000</w:t>
            </w:r>
          </w:p>
        </w:tc>
        <w:tc>
          <w:tcPr>
            <w:tcW w:w="294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506297D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品牌；澳柯莱澌高温热风循环消毒柜；型号；RTP1000L-F10，功率；220V</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900W/1800W,尺寸；1160*510*1780，容量；1000L</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高温热风循环125度，二星级消毒，消毒时间；20-90min,采用进口巴斯夫阻燃发泡料，加厚不锈钢一体成形发泡箱体，一体成形发泡门4CM加厚发泡层，温度调节40-125度随心调节，双温控温更精准更安全</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9A8AD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3000</w:t>
            </w:r>
          </w:p>
        </w:tc>
      </w:tr>
      <w:tr w14:paraId="3CE89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4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B4ECE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C45D4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电子称（大）150公斤</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A96067">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114300</wp:posOffset>
                  </wp:positionH>
                  <wp:positionV relativeFrom="paragraph">
                    <wp:posOffset>36830</wp:posOffset>
                  </wp:positionV>
                  <wp:extent cx="962660" cy="1017905"/>
                  <wp:effectExtent l="0" t="0" r="8890" b="10795"/>
                  <wp:wrapNone/>
                  <wp:docPr id="6" name="图片_23"/>
                  <wp:cNvGraphicFramePr/>
                  <a:graphic xmlns:a="http://schemas.openxmlformats.org/drawingml/2006/main">
                    <a:graphicData uri="http://schemas.openxmlformats.org/drawingml/2006/picture">
                      <pic:pic xmlns:pic="http://schemas.openxmlformats.org/drawingml/2006/picture">
                        <pic:nvPicPr>
                          <pic:cNvPr id="6" name="图片_23"/>
                          <pic:cNvPicPr/>
                        </pic:nvPicPr>
                        <pic:blipFill>
                          <a:blip r:embed="rId9"/>
                          <a:stretch>
                            <a:fillRect/>
                          </a:stretch>
                        </pic:blipFill>
                        <pic:spPr>
                          <a:xfrm>
                            <a:off x="0" y="0"/>
                            <a:ext cx="962660" cy="1017905"/>
                          </a:xfrm>
                          <a:prstGeom prst="rect">
                            <a:avLst/>
                          </a:prstGeom>
                          <a:noFill/>
                          <a:ln>
                            <a:noFill/>
                          </a:ln>
                        </pic:spPr>
                      </pic:pic>
                    </a:graphicData>
                  </a:graphic>
                </wp:anchor>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18EA5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060B8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250</w:t>
            </w:r>
          </w:p>
        </w:tc>
        <w:tc>
          <w:tcPr>
            <w:tcW w:w="294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4A143665">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color w:val="000000"/>
                <w:kern w:val="0"/>
                <w:sz w:val="18"/>
                <w:szCs w:val="18"/>
                <w:u w:val="none"/>
                <w:lang w:val="en-US" w:eastAsia="zh-CN" w:bidi="ar"/>
              </w:rPr>
            </w:pPr>
            <w:r>
              <w:rPr>
                <w:rFonts w:hint="eastAsia" w:ascii="仿宋" w:hAnsi="仿宋" w:eastAsia="仿宋" w:cs="仿宋"/>
                <w:i w:val="0"/>
                <w:color w:val="000000"/>
                <w:kern w:val="0"/>
                <w:sz w:val="18"/>
                <w:szCs w:val="18"/>
                <w:u w:val="none"/>
                <w:lang w:val="en-US" w:eastAsia="zh-CN" w:bidi="ar"/>
              </w:rPr>
              <w:t>品牌，鑫利达电子秤；</w:t>
            </w:r>
            <w:r>
              <w:rPr>
                <w:rFonts w:hint="eastAsia" w:ascii="仿宋" w:hAnsi="仿宋" w:eastAsia="仿宋" w:cs="仿宋"/>
                <w:i w:val="0"/>
                <w:color w:val="000000"/>
                <w:kern w:val="0"/>
                <w:sz w:val="18"/>
                <w:szCs w:val="18"/>
                <w:u w:val="none"/>
                <w:lang w:val="en-US" w:eastAsia="zh-CN" w:bidi="ar"/>
              </w:rPr>
              <w:br w:type="textWrapping"/>
            </w:r>
            <w:r>
              <w:rPr>
                <w:rFonts w:hint="eastAsia" w:ascii="仿宋" w:hAnsi="仿宋" w:eastAsia="仿宋" w:cs="仿宋"/>
                <w:i w:val="0"/>
                <w:color w:val="000000"/>
                <w:kern w:val="0"/>
                <w:sz w:val="18"/>
                <w:szCs w:val="18"/>
                <w:u w:val="none"/>
                <w:lang w:val="en-US" w:eastAsia="zh-CN" w:bidi="ar"/>
              </w:rPr>
              <w:t>尺寸；450*600，150KG</w:t>
            </w:r>
          </w:p>
          <w:p w14:paraId="6E5D44DF">
            <w:pPr>
              <w:pStyle w:val="2"/>
              <w:pageBreakBefore w:val="0"/>
              <w:kinsoku/>
              <w:wordWrap/>
              <w:overflowPunct/>
              <w:topLinePunct w:val="0"/>
              <w:autoSpaceDE/>
              <w:autoSpaceDN/>
              <w:bidi w:val="0"/>
              <w:adjustRightInd/>
              <w:snapToGrid/>
              <w:spacing w:line="120" w:lineRule="atLeast"/>
              <w:jc w:val="left"/>
              <w:rPr>
                <w:rFonts w:hint="eastAsia" w:ascii="仿宋" w:hAnsi="仿宋" w:eastAsia="仿宋" w:cs="仿宋"/>
                <w:b w:val="0"/>
                <w:bCs w:val="0"/>
                <w:sz w:val="18"/>
                <w:szCs w:val="18"/>
              </w:rPr>
            </w:pPr>
            <w:r>
              <w:rPr>
                <w:rFonts w:hint="eastAsia" w:ascii="仿宋" w:hAnsi="仿宋" w:eastAsia="仿宋" w:cs="仿宋"/>
                <w:b w:val="0"/>
                <w:bCs w:val="0"/>
                <w:sz w:val="18"/>
                <w:szCs w:val="18"/>
              </w:rPr>
              <w:t>1.电源电压：交流220V±10％，50/60Hz；</w:t>
            </w:r>
          </w:p>
          <w:p w14:paraId="798BF60F">
            <w:pPr>
              <w:pStyle w:val="2"/>
              <w:pageBreakBefore w:val="0"/>
              <w:kinsoku/>
              <w:wordWrap/>
              <w:overflowPunct/>
              <w:topLinePunct w:val="0"/>
              <w:autoSpaceDE/>
              <w:autoSpaceDN/>
              <w:bidi w:val="0"/>
              <w:adjustRightInd/>
              <w:snapToGrid/>
              <w:spacing w:line="120" w:lineRule="atLeast"/>
              <w:jc w:val="left"/>
              <w:rPr>
                <w:rFonts w:hint="eastAsia" w:ascii="仿宋" w:hAnsi="仿宋" w:eastAsia="仿宋" w:cs="仿宋"/>
                <w:b w:val="0"/>
                <w:bCs w:val="0"/>
                <w:sz w:val="18"/>
                <w:szCs w:val="18"/>
              </w:rPr>
            </w:pPr>
            <w:r>
              <w:rPr>
                <w:rFonts w:hint="eastAsia" w:ascii="仿宋" w:hAnsi="仿宋" w:eastAsia="仿宋" w:cs="仿宋"/>
                <w:b w:val="0"/>
                <w:bCs w:val="0"/>
                <w:sz w:val="18"/>
                <w:szCs w:val="18"/>
              </w:rPr>
              <w:t>2.最大称重量：150KG，显示方式：LCD液晶显示；</w:t>
            </w:r>
          </w:p>
          <w:p w14:paraId="5A433388">
            <w:pPr>
              <w:pStyle w:val="2"/>
              <w:pageBreakBefore w:val="0"/>
              <w:kinsoku/>
              <w:wordWrap/>
              <w:overflowPunct/>
              <w:topLinePunct w:val="0"/>
              <w:autoSpaceDE/>
              <w:autoSpaceDN/>
              <w:bidi w:val="0"/>
              <w:adjustRightInd/>
              <w:snapToGrid/>
              <w:spacing w:line="120" w:lineRule="atLeast"/>
              <w:jc w:val="left"/>
              <w:rPr>
                <w:rFonts w:hint="eastAsia" w:ascii="仿宋" w:hAnsi="仿宋" w:eastAsia="仿宋" w:cs="仿宋"/>
                <w:b w:val="0"/>
                <w:bCs w:val="0"/>
                <w:sz w:val="18"/>
                <w:szCs w:val="18"/>
              </w:rPr>
            </w:pPr>
            <w:r>
              <w:rPr>
                <w:rFonts w:hint="eastAsia" w:ascii="仿宋" w:hAnsi="仿宋" w:eastAsia="仿宋" w:cs="仿宋"/>
                <w:b w:val="0"/>
                <w:bCs w:val="0"/>
                <w:sz w:val="18"/>
                <w:szCs w:val="18"/>
              </w:rPr>
              <w:t>3.功能特点：可任意设定最大称量，具有计重、计数、计价功能；</w:t>
            </w:r>
          </w:p>
          <w:p w14:paraId="3C5A91A2">
            <w:pPr>
              <w:pStyle w:val="2"/>
              <w:pageBreakBefore w:val="0"/>
              <w:kinsoku/>
              <w:wordWrap/>
              <w:overflowPunct/>
              <w:topLinePunct w:val="0"/>
              <w:autoSpaceDE/>
              <w:autoSpaceDN/>
              <w:bidi w:val="0"/>
              <w:adjustRightInd/>
              <w:snapToGrid/>
              <w:spacing w:line="120" w:lineRule="atLeast"/>
              <w:rPr>
                <w:rFonts w:hint="eastAsia"/>
              </w:rPr>
            </w:pPr>
            <w:r>
              <w:rPr>
                <w:rFonts w:hint="eastAsia" w:ascii="仿宋" w:hAnsi="仿宋" w:eastAsia="仿宋" w:cs="仿宋"/>
                <w:b w:val="0"/>
                <w:bCs w:val="0"/>
                <w:sz w:val="18"/>
                <w:szCs w:val="18"/>
              </w:rPr>
              <w:t>4.上下限设定功能、单位转换功能、去皮：去皮重量等于最大秤量；超重报警：超过最大秤量的0.15%时自动报警。</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829CE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250</w:t>
            </w:r>
          </w:p>
        </w:tc>
      </w:tr>
      <w:tr w14:paraId="04CDE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4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47D6E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0398D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吹地机3200瓦</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2CF27C">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149860</wp:posOffset>
                  </wp:positionH>
                  <wp:positionV relativeFrom="paragraph">
                    <wp:posOffset>6985</wp:posOffset>
                  </wp:positionV>
                  <wp:extent cx="946785" cy="965200"/>
                  <wp:effectExtent l="0" t="0" r="5715" b="6350"/>
                  <wp:wrapNone/>
                  <wp:docPr id="24" name="图片_3"/>
                  <wp:cNvGraphicFramePr/>
                  <a:graphic xmlns:a="http://schemas.openxmlformats.org/drawingml/2006/main">
                    <a:graphicData uri="http://schemas.openxmlformats.org/drawingml/2006/picture">
                      <pic:pic xmlns:pic="http://schemas.openxmlformats.org/drawingml/2006/picture">
                        <pic:nvPicPr>
                          <pic:cNvPr id="24" name="图片_3"/>
                          <pic:cNvPicPr/>
                        </pic:nvPicPr>
                        <pic:blipFill>
                          <a:blip r:embed="rId10"/>
                          <a:stretch>
                            <a:fillRect/>
                          </a:stretch>
                        </pic:blipFill>
                        <pic:spPr>
                          <a:xfrm>
                            <a:off x="0" y="0"/>
                            <a:ext cx="946785" cy="965200"/>
                          </a:xfrm>
                          <a:prstGeom prst="rect">
                            <a:avLst/>
                          </a:prstGeom>
                          <a:noFill/>
                          <a:ln>
                            <a:noFill/>
                          </a:ln>
                        </pic:spPr>
                      </pic:pic>
                    </a:graphicData>
                  </a:graphic>
                </wp:anchor>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E9C08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BEAC1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1000</w:t>
            </w:r>
          </w:p>
        </w:tc>
        <w:tc>
          <w:tcPr>
            <w:tcW w:w="294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6B75584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品牌；隆标吹地机，型号；</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QLCGJ-LG1100,功率;220V3200</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W,冷暖两用。</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8345D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2000</w:t>
            </w:r>
          </w:p>
        </w:tc>
      </w:tr>
      <w:tr w14:paraId="7830D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8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4E837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E561A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指示灯防护罩</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E9CC00">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57150</wp:posOffset>
                  </wp:positionH>
                  <wp:positionV relativeFrom="paragraph">
                    <wp:posOffset>22225</wp:posOffset>
                  </wp:positionV>
                  <wp:extent cx="1190625" cy="911225"/>
                  <wp:effectExtent l="0" t="0" r="9525" b="3175"/>
                  <wp:wrapNone/>
                  <wp:docPr id="9" name="图片_19"/>
                  <wp:cNvGraphicFramePr/>
                  <a:graphic xmlns:a="http://schemas.openxmlformats.org/drawingml/2006/main">
                    <a:graphicData uri="http://schemas.openxmlformats.org/drawingml/2006/picture">
                      <pic:pic xmlns:pic="http://schemas.openxmlformats.org/drawingml/2006/picture">
                        <pic:nvPicPr>
                          <pic:cNvPr id="9" name="图片_19"/>
                          <pic:cNvPicPr/>
                        </pic:nvPicPr>
                        <pic:blipFill>
                          <a:blip r:embed="rId11"/>
                          <a:stretch>
                            <a:fillRect/>
                          </a:stretch>
                        </pic:blipFill>
                        <pic:spPr>
                          <a:xfrm>
                            <a:off x="0" y="0"/>
                            <a:ext cx="1190625" cy="911225"/>
                          </a:xfrm>
                          <a:prstGeom prst="rect">
                            <a:avLst/>
                          </a:prstGeom>
                          <a:noFill/>
                          <a:ln>
                            <a:noFill/>
                          </a:ln>
                        </pic:spPr>
                      </pic:pic>
                    </a:graphicData>
                  </a:graphic>
                </wp:anchor>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84608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5404F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w:t>
            </w:r>
          </w:p>
        </w:tc>
        <w:tc>
          <w:tcPr>
            <w:tcW w:w="294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4658D5E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品牌；卓尔信指示灯防护罩</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加厚款，</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28D97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200</w:t>
            </w:r>
          </w:p>
        </w:tc>
      </w:tr>
      <w:tr w14:paraId="1ADA3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4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F747F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621BF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收餐车</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391861">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116840</wp:posOffset>
                  </wp:positionH>
                  <wp:positionV relativeFrom="paragraph">
                    <wp:posOffset>168275</wp:posOffset>
                  </wp:positionV>
                  <wp:extent cx="1162685" cy="876935"/>
                  <wp:effectExtent l="0" t="0" r="18415" b="18415"/>
                  <wp:wrapNone/>
                  <wp:docPr id="10" name="图片_29"/>
                  <wp:cNvGraphicFramePr/>
                  <a:graphic xmlns:a="http://schemas.openxmlformats.org/drawingml/2006/main">
                    <a:graphicData uri="http://schemas.openxmlformats.org/drawingml/2006/picture">
                      <pic:pic xmlns:pic="http://schemas.openxmlformats.org/drawingml/2006/picture">
                        <pic:nvPicPr>
                          <pic:cNvPr id="10" name="图片_29"/>
                          <pic:cNvPicPr/>
                        </pic:nvPicPr>
                        <pic:blipFill>
                          <a:blip r:embed="rId12"/>
                          <a:stretch>
                            <a:fillRect/>
                          </a:stretch>
                        </pic:blipFill>
                        <pic:spPr>
                          <a:xfrm>
                            <a:off x="0" y="0"/>
                            <a:ext cx="1162685" cy="876935"/>
                          </a:xfrm>
                          <a:prstGeom prst="rect">
                            <a:avLst/>
                          </a:prstGeom>
                          <a:noFill/>
                          <a:ln>
                            <a:noFill/>
                          </a:ln>
                        </pic:spPr>
                      </pic:pic>
                    </a:graphicData>
                  </a:graphic>
                </wp:anchor>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AD436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93976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2300</w:t>
            </w:r>
          </w:p>
        </w:tc>
        <w:tc>
          <w:tcPr>
            <w:tcW w:w="294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13B773A7">
            <w:pPr>
              <w:keepNext w:val="0"/>
              <w:keepLines w:val="0"/>
              <w:pageBreakBefore w:val="0"/>
              <w:widowControl/>
              <w:suppressLineNumbers w:val="0"/>
              <w:kinsoku/>
              <w:wordWrap/>
              <w:overflowPunct/>
              <w:topLinePunct w:val="0"/>
              <w:autoSpaceDE/>
              <w:autoSpaceDN/>
              <w:bidi w:val="0"/>
              <w:adjustRightInd/>
              <w:snapToGrid/>
              <w:spacing w:line="100" w:lineRule="atLeas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品牌；不锈钢收餐车，厂制品</w:t>
            </w:r>
          </w:p>
          <w:p w14:paraId="78752506">
            <w:pPr>
              <w:keepNext w:val="0"/>
              <w:keepLines w:val="0"/>
              <w:pageBreakBefore w:val="0"/>
              <w:widowControl/>
              <w:suppressLineNumbers w:val="0"/>
              <w:kinsoku/>
              <w:wordWrap/>
              <w:overflowPunct/>
              <w:topLinePunct w:val="0"/>
              <w:autoSpaceDE/>
              <w:autoSpaceDN/>
              <w:bidi w:val="0"/>
              <w:adjustRightInd/>
              <w:snapToGrid/>
              <w:spacing w:line="100" w:lineRule="atLeas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材料；</w:t>
            </w:r>
          </w:p>
          <w:p w14:paraId="4C365DE7">
            <w:pPr>
              <w:keepNext w:val="0"/>
              <w:keepLines w:val="0"/>
              <w:pageBreakBefore w:val="0"/>
              <w:widowControl/>
              <w:suppressLineNumbers w:val="0"/>
              <w:kinsoku/>
              <w:wordWrap/>
              <w:overflowPunct/>
              <w:topLinePunct w:val="0"/>
              <w:autoSpaceDE/>
              <w:autoSpaceDN/>
              <w:bidi w:val="0"/>
              <w:adjustRightInd/>
              <w:snapToGrid/>
              <w:spacing w:line="100" w:lineRule="atLeas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1.不锈钢板为201#无磁不锈钢板；</w:t>
            </w:r>
          </w:p>
          <w:p w14:paraId="6EE03EA4">
            <w:pPr>
              <w:keepNext w:val="0"/>
              <w:keepLines w:val="0"/>
              <w:pageBreakBefore w:val="0"/>
              <w:widowControl/>
              <w:suppressLineNumbers w:val="0"/>
              <w:kinsoku/>
              <w:wordWrap/>
              <w:overflowPunct/>
              <w:topLinePunct w:val="0"/>
              <w:autoSpaceDE/>
              <w:autoSpaceDN/>
              <w:bidi w:val="0"/>
              <w:adjustRightInd/>
              <w:snapToGrid/>
              <w:spacing w:line="100" w:lineRule="atLeas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2.台面不锈钢厚1.2mm；</w:t>
            </w:r>
          </w:p>
          <w:p w14:paraId="19BBB9B8">
            <w:pPr>
              <w:keepNext w:val="0"/>
              <w:keepLines w:val="0"/>
              <w:pageBreakBefore w:val="0"/>
              <w:widowControl/>
              <w:suppressLineNumbers w:val="0"/>
              <w:kinsoku/>
              <w:wordWrap/>
              <w:overflowPunct/>
              <w:topLinePunct w:val="0"/>
              <w:autoSpaceDE/>
              <w:autoSpaceDN/>
              <w:bidi w:val="0"/>
              <w:adjustRightInd/>
              <w:snapToGrid/>
              <w:spacing w:line="100" w:lineRule="atLeas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3.下层板不锈钢厚1.2mm；</w:t>
            </w:r>
          </w:p>
          <w:p w14:paraId="1F95502F">
            <w:pPr>
              <w:keepNext w:val="0"/>
              <w:keepLines w:val="0"/>
              <w:pageBreakBefore w:val="0"/>
              <w:widowControl/>
              <w:suppressLineNumbers w:val="0"/>
              <w:kinsoku/>
              <w:wordWrap/>
              <w:overflowPunct/>
              <w:topLinePunct w:val="0"/>
              <w:autoSpaceDE/>
              <w:autoSpaceDN/>
              <w:bidi w:val="0"/>
              <w:adjustRightInd/>
              <w:snapToGrid/>
              <w:spacing w:line="100" w:lineRule="atLeas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4.加强力加强筋；</w:t>
            </w:r>
          </w:p>
          <w:p w14:paraId="3A4FFACD">
            <w:pPr>
              <w:keepNext w:val="0"/>
              <w:keepLines w:val="0"/>
              <w:pageBreakBefore w:val="0"/>
              <w:widowControl/>
              <w:suppressLineNumbers w:val="0"/>
              <w:kinsoku/>
              <w:wordWrap/>
              <w:overflowPunct/>
              <w:topLinePunct w:val="0"/>
              <w:autoSpaceDE/>
              <w:autoSpaceDN/>
              <w:bidi w:val="0"/>
              <w:adjustRightInd/>
              <w:snapToGrid/>
              <w:spacing w:line="100" w:lineRule="atLeas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5.脚管为Φ38X1.2mm厚不锈钢管；</w:t>
            </w:r>
          </w:p>
          <w:p w14:paraId="6CE5F619">
            <w:pPr>
              <w:keepNext w:val="0"/>
              <w:keepLines w:val="0"/>
              <w:pageBreakBefore w:val="0"/>
              <w:widowControl/>
              <w:suppressLineNumbers w:val="0"/>
              <w:kinsoku/>
              <w:wordWrap/>
              <w:overflowPunct/>
              <w:topLinePunct w:val="0"/>
              <w:autoSpaceDE/>
              <w:autoSpaceDN/>
              <w:bidi w:val="0"/>
              <w:adjustRightInd/>
              <w:snapToGrid/>
              <w:spacing w:line="100" w:lineRule="atLeas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6.脚管下配万向轮。</w:t>
            </w:r>
          </w:p>
          <w:p w14:paraId="1569223C">
            <w:pPr>
              <w:keepNext w:val="0"/>
              <w:keepLines w:val="0"/>
              <w:pageBreakBefore w:val="0"/>
              <w:widowControl/>
              <w:suppressLineNumbers w:val="0"/>
              <w:kinsoku/>
              <w:wordWrap/>
              <w:overflowPunct/>
              <w:topLinePunct w:val="0"/>
              <w:autoSpaceDE/>
              <w:autoSpaceDN/>
              <w:bidi w:val="0"/>
              <w:adjustRightInd/>
              <w:snapToGrid/>
              <w:spacing w:line="100" w:lineRule="atLeast"/>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18"/>
                <w:szCs w:val="18"/>
                <w:u w:val="none"/>
                <w:lang w:val="en-US" w:eastAsia="zh-CN" w:bidi="ar"/>
              </w:rPr>
              <w:t>尺寸；1200*800*800</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9AE01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4600</w:t>
            </w:r>
          </w:p>
        </w:tc>
      </w:tr>
      <w:tr w14:paraId="77C26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4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EA76F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F8426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炉具架</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3C220E">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54610</wp:posOffset>
                  </wp:positionH>
                  <wp:positionV relativeFrom="paragraph">
                    <wp:posOffset>66040</wp:posOffset>
                  </wp:positionV>
                  <wp:extent cx="1092200" cy="1062990"/>
                  <wp:effectExtent l="0" t="0" r="12700" b="3810"/>
                  <wp:wrapNone/>
                  <wp:docPr id="16" name="图片_17"/>
                  <wp:cNvGraphicFramePr/>
                  <a:graphic xmlns:a="http://schemas.openxmlformats.org/drawingml/2006/main">
                    <a:graphicData uri="http://schemas.openxmlformats.org/drawingml/2006/picture">
                      <pic:pic xmlns:pic="http://schemas.openxmlformats.org/drawingml/2006/picture">
                        <pic:nvPicPr>
                          <pic:cNvPr id="16" name="图片_17"/>
                          <pic:cNvPicPr/>
                        </pic:nvPicPr>
                        <pic:blipFill>
                          <a:blip r:embed="rId13"/>
                          <a:stretch>
                            <a:fillRect/>
                          </a:stretch>
                        </pic:blipFill>
                        <pic:spPr>
                          <a:xfrm>
                            <a:off x="0" y="0"/>
                            <a:ext cx="1092200" cy="1062990"/>
                          </a:xfrm>
                          <a:prstGeom prst="rect">
                            <a:avLst/>
                          </a:prstGeom>
                          <a:noFill/>
                          <a:ln>
                            <a:noFill/>
                          </a:ln>
                        </pic:spPr>
                      </pic:pic>
                    </a:graphicData>
                  </a:graphic>
                </wp:anchor>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06D00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439A8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300</w:t>
            </w:r>
          </w:p>
        </w:tc>
        <w:tc>
          <w:tcPr>
            <w:tcW w:w="294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385BDA8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品牌；炉具架，厂制品，采用</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1.0无磁加厚板制作</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C6500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300</w:t>
            </w:r>
          </w:p>
        </w:tc>
      </w:tr>
      <w:tr w14:paraId="5DB00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4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45BD0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00A6B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不锈钢手套架</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1732C9">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204470</wp:posOffset>
                  </wp:positionH>
                  <wp:positionV relativeFrom="paragraph">
                    <wp:posOffset>58420</wp:posOffset>
                  </wp:positionV>
                  <wp:extent cx="758825" cy="1009015"/>
                  <wp:effectExtent l="0" t="0" r="3175" b="635"/>
                  <wp:wrapNone/>
                  <wp:docPr id="11" name="图片_16"/>
                  <wp:cNvGraphicFramePr/>
                  <a:graphic xmlns:a="http://schemas.openxmlformats.org/drawingml/2006/main">
                    <a:graphicData uri="http://schemas.openxmlformats.org/drawingml/2006/picture">
                      <pic:pic xmlns:pic="http://schemas.openxmlformats.org/drawingml/2006/picture">
                        <pic:nvPicPr>
                          <pic:cNvPr id="11" name="图片_16"/>
                          <pic:cNvPicPr/>
                        </pic:nvPicPr>
                        <pic:blipFill>
                          <a:blip r:embed="rId14"/>
                          <a:stretch>
                            <a:fillRect/>
                          </a:stretch>
                        </pic:blipFill>
                        <pic:spPr>
                          <a:xfrm>
                            <a:off x="0" y="0"/>
                            <a:ext cx="758825" cy="1009015"/>
                          </a:xfrm>
                          <a:prstGeom prst="rect">
                            <a:avLst/>
                          </a:prstGeom>
                          <a:noFill/>
                          <a:ln>
                            <a:noFill/>
                          </a:ln>
                        </pic:spPr>
                      </pic:pic>
                    </a:graphicData>
                  </a:graphic>
                </wp:anchor>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405AA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3E2A5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130</w:t>
            </w:r>
          </w:p>
        </w:tc>
        <w:tc>
          <w:tcPr>
            <w:tcW w:w="294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7ECE1A8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品牌；双层手套架，1.0</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无磁加厚款</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B0FE1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260</w:t>
            </w:r>
          </w:p>
        </w:tc>
      </w:tr>
      <w:tr w14:paraId="1189A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4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7C645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w:t>
            </w:r>
          </w:p>
        </w:tc>
        <w:tc>
          <w:tcPr>
            <w:tcW w:w="12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2E1C1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不锈钢餐桌椅8人位</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185138">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31115</wp:posOffset>
                  </wp:positionH>
                  <wp:positionV relativeFrom="paragraph">
                    <wp:posOffset>85090</wp:posOffset>
                  </wp:positionV>
                  <wp:extent cx="1340485" cy="1070610"/>
                  <wp:effectExtent l="0" t="0" r="12065" b="15240"/>
                  <wp:wrapNone/>
                  <wp:docPr id="17" name="图片_6"/>
                  <wp:cNvGraphicFramePr/>
                  <a:graphic xmlns:a="http://schemas.openxmlformats.org/drawingml/2006/main">
                    <a:graphicData uri="http://schemas.openxmlformats.org/drawingml/2006/picture">
                      <pic:pic xmlns:pic="http://schemas.openxmlformats.org/drawingml/2006/picture">
                        <pic:nvPicPr>
                          <pic:cNvPr id="17" name="图片_6"/>
                          <pic:cNvPicPr/>
                        </pic:nvPicPr>
                        <pic:blipFill>
                          <a:blip r:embed="rId15"/>
                          <a:stretch>
                            <a:fillRect/>
                          </a:stretch>
                        </pic:blipFill>
                        <pic:spPr>
                          <a:xfrm>
                            <a:off x="0" y="0"/>
                            <a:ext cx="1340485" cy="1070610"/>
                          </a:xfrm>
                          <a:prstGeom prst="rect">
                            <a:avLst/>
                          </a:prstGeom>
                          <a:noFill/>
                          <a:ln>
                            <a:noFill/>
                          </a:ln>
                        </pic:spPr>
                      </pic:pic>
                    </a:graphicData>
                  </a:graphic>
                </wp:anchor>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6BB22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42</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A234A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500</w:t>
            </w:r>
          </w:p>
        </w:tc>
        <w:tc>
          <w:tcPr>
            <w:tcW w:w="294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0B2506BB">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品牌；不锈钢8人位餐桌椅</w:t>
            </w:r>
          </w:p>
          <w:p w14:paraId="3FD5560B">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厂制品：</w:t>
            </w:r>
          </w:p>
          <w:p w14:paraId="4131D74A">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1、采用201#无磁加厚不锈钢板制作，</w:t>
            </w:r>
          </w:p>
          <w:p w14:paraId="38C53A19">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2、台面不锈钢厚1.2mm；</w:t>
            </w:r>
          </w:p>
          <w:p w14:paraId="2B726298">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3、条凳面板不锈钢厚1.2mm；</w:t>
            </w:r>
          </w:p>
          <w:p w14:paraId="59E96644">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4、脚管为Φ50*1.2mm厚不锈钢方管。</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B3FC3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21000</w:t>
            </w:r>
          </w:p>
        </w:tc>
      </w:tr>
      <w:tr w14:paraId="0149D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4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46DA0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w:t>
            </w:r>
          </w:p>
        </w:tc>
        <w:tc>
          <w:tcPr>
            <w:tcW w:w="12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E9910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不锈钢餐桌椅4人位</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021C46">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87630</wp:posOffset>
                  </wp:positionH>
                  <wp:positionV relativeFrom="paragraph">
                    <wp:posOffset>28575</wp:posOffset>
                  </wp:positionV>
                  <wp:extent cx="965200" cy="963930"/>
                  <wp:effectExtent l="0" t="0" r="6350" b="7620"/>
                  <wp:wrapNone/>
                  <wp:docPr id="12" name="图片_11"/>
                  <wp:cNvGraphicFramePr/>
                  <a:graphic xmlns:a="http://schemas.openxmlformats.org/drawingml/2006/main">
                    <a:graphicData uri="http://schemas.openxmlformats.org/drawingml/2006/picture">
                      <pic:pic xmlns:pic="http://schemas.openxmlformats.org/drawingml/2006/picture">
                        <pic:nvPicPr>
                          <pic:cNvPr id="12" name="图片_11"/>
                          <pic:cNvPicPr/>
                        </pic:nvPicPr>
                        <pic:blipFill>
                          <a:blip r:embed="rId16"/>
                          <a:stretch>
                            <a:fillRect/>
                          </a:stretch>
                        </pic:blipFill>
                        <pic:spPr>
                          <a:xfrm>
                            <a:off x="0" y="0"/>
                            <a:ext cx="965200" cy="963930"/>
                          </a:xfrm>
                          <a:prstGeom prst="rect">
                            <a:avLst/>
                          </a:prstGeom>
                          <a:noFill/>
                          <a:ln>
                            <a:noFill/>
                          </a:ln>
                        </pic:spPr>
                      </pic:pic>
                    </a:graphicData>
                  </a:graphic>
                </wp:anchor>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10DC1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F7074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280</w:t>
            </w:r>
          </w:p>
        </w:tc>
        <w:tc>
          <w:tcPr>
            <w:tcW w:w="294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51C91449">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品牌；不锈钢4人位餐桌椅，</w:t>
            </w:r>
          </w:p>
          <w:p w14:paraId="68236483">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厂制品：</w:t>
            </w:r>
          </w:p>
          <w:p w14:paraId="53B9A74C">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1、采用201#无磁加厚不锈钢板制作，</w:t>
            </w:r>
          </w:p>
          <w:p w14:paraId="6E05FCDF">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2、台面不锈钢厚1.2mm；</w:t>
            </w:r>
          </w:p>
          <w:p w14:paraId="2100DFCB">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3、条凳面板不锈钢厚1.2mm；</w:t>
            </w:r>
          </w:p>
          <w:p w14:paraId="7C1C5DAA">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4、脚管为Φ50*1.2mm厚不锈钢方管。</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EEE1E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2240</w:t>
            </w:r>
          </w:p>
        </w:tc>
      </w:tr>
      <w:tr w14:paraId="3E111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4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7A2C7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w:t>
            </w:r>
          </w:p>
        </w:tc>
        <w:tc>
          <w:tcPr>
            <w:tcW w:w="12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2B85F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洗碗间 定做 不锈钢台子</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1C5934">
            <w:pPr>
              <w:rPr>
                <w:rFonts w:hint="eastAsia" w:ascii="宋体" w:hAnsi="宋体" w:eastAsia="宋体" w:cs="宋体"/>
                <w:i w:val="0"/>
                <w:color w:val="000000"/>
                <w:sz w:val="21"/>
                <w:szCs w:val="21"/>
                <w:u w:val="none"/>
              </w:rPr>
            </w:pP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6D62A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C29E7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300</w:t>
            </w:r>
          </w:p>
        </w:tc>
        <w:tc>
          <w:tcPr>
            <w:tcW w:w="294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25A28727">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品牌；定制不锈钢工作台</w:t>
            </w:r>
          </w:p>
          <w:p w14:paraId="2C59D69D">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尺寸700*670*800</w:t>
            </w:r>
          </w:p>
          <w:p w14:paraId="29F53BAE">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1.采用优质201#不锈钢板制作，</w:t>
            </w:r>
          </w:p>
          <w:p w14:paraId="2BC93322">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2.台面板不锈钢厚1.2mm；</w:t>
            </w:r>
          </w:p>
          <w:p w14:paraId="43BCD751">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3.补强撑为1.2mm厚不锈钢板；</w:t>
            </w:r>
          </w:p>
          <w:p w14:paraId="12CAE4E8">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4.脚管为50X1.2mm厚不锈钢管；</w:t>
            </w:r>
          </w:p>
          <w:p w14:paraId="0F8A238E">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5.脚管下配φ50X1.2mm可调节不锈钢子弹脚。</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A7B94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300</w:t>
            </w:r>
          </w:p>
        </w:tc>
      </w:tr>
      <w:tr w14:paraId="233B3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0" w:hRule="atLeast"/>
          <w:jc w:val="center"/>
        </w:trPr>
        <w:tc>
          <w:tcPr>
            <w:tcW w:w="9589" w:type="dxa"/>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2DC158">
            <w:pPr>
              <w:jc w:val="center"/>
              <w:rPr>
                <w:rFonts w:hint="eastAsia" w:ascii="宋体" w:hAnsi="宋体" w:eastAsia="宋体" w:cs="宋体"/>
                <w:i w:val="0"/>
                <w:color w:val="000000"/>
                <w:sz w:val="21"/>
                <w:szCs w:val="21"/>
                <w:u w:val="none"/>
              </w:rPr>
            </w:pPr>
            <w:r>
              <w:rPr>
                <w:rFonts w:hint="eastAsia" w:ascii="宋体" w:hAnsi="宋体" w:eastAsia="宋体" w:cs="宋体"/>
                <w:b/>
                <w:i w:val="0"/>
                <w:color w:val="000000"/>
                <w:kern w:val="0"/>
                <w:sz w:val="21"/>
                <w:szCs w:val="21"/>
                <w:u w:val="none"/>
                <w:lang w:val="en-US" w:eastAsia="zh-CN" w:bidi="ar"/>
              </w:rPr>
              <w:t>小件</w:t>
            </w:r>
          </w:p>
        </w:tc>
      </w:tr>
      <w:tr w14:paraId="5E04A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6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F8C33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ECAA7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白色大菜框（长66CM  宽47CM  高35CM)加厚</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CFAB75">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46990</wp:posOffset>
                  </wp:positionH>
                  <wp:positionV relativeFrom="paragraph">
                    <wp:posOffset>277495</wp:posOffset>
                  </wp:positionV>
                  <wp:extent cx="951865" cy="847725"/>
                  <wp:effectExtent l="0" t="0" r="635" b="9525"/>
                  <wp:wrapNone/>
                  <wp:docPr id="18" name="图片_32"/>
                  <wp:cNvGraphicFramePr/>
                  <a:graphic xmlns:a="http://schemas.openxmlformats.org/drawingml/2006/main">
                    <a:graphicData uri="http://schemas.openxmlformats.org/drawingml/2006/picture">
                      <pic:pic xmlns:pic="http://schemas.openxmlformats.org/drawingml/2006/picture">
                        <pic:nvPicPr>
                          <pic:cNvPr id="18" name="图片_32"/>
                          <pic:cNvPicPr/>
                        </pic:nvPicPr>
                        <pic:blipFill>
                          <a:blip r:embed="rId17"/>
                          <a:stretch>
                            <a:fillRect/>
                          </a:stretch>
                        </pic:blipFill>
                        <pic:spPr>
                          <a:xfrm>
                            <a:off x="0" y="0"/>
                            <a:ext cx="951865" cy="847725"/>
                          </a:xfrm>
                          <a:prstGeom prst="rect">
                            <a:avLst/>
                          </a:prstGeom>
                          <a:noFill/>
                          <a:ln>
                            <a:noFill/>
                          </a:ln>
                        </pic:spPr>
                      </pic:pic>
                    </a:graphicData>
                  </a:graphic>
                </wp:anchor>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2AD8E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97DA2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56</w:t>
            </w:r>
          </w:p>
        </w:tc>
        <w:tc>
          <w:tcPr>
            <w:tcW w:w="294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7DE34F0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品牌；乔丰加厚菜蓝，采用</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全新料，经久耐用；尺寸</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660*470*350</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4D830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560</w:t>
            </w:r>
          </w:p>
        </w:tc>
      </w:tr>
      <w:tr w14:paraId="70418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2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097D7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12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9A2D6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中号白色菜框(长59CM  宽43CM  高29CM)加厚</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B8EED8">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193675</wp:posOffset>
                  </wp:positionH>
                  <wp:positionV relativeFrom="paragraph">
                    <wp:posOffset>184150</wp:posOffset>
                  </wp:positionV>
                  <wp:extent cx="951865" cy="847725"/>
                  <wp:effectExtent l="0" t="0" r="635" b="9525"/>
                  <wp:wrapNone/>
                  <wp:docPr id="20" name="图片_34"/>
                  <wp:cNvGraphicFramePr/>
                  <a:graphic xmlns:a="http://schemas.openxmlformats.org/drawingml/2006/main">
                    <a:graphicData uri="http://schemas.openxmlformats.org/drawingml/2006/picture">
                      <pic:pic xmlns:pic="http://schemas.openxmlformats.org/drawingml/2006/picture">
                        <pic:nvPicPr>
                          <pic:cNvPr id="20" name="图片_34"/>
                          <pic:cNvPicPr/>
                        </pic:nvPicPr>
                        <pic:blipFill>
                          <a:blip r:embed="rId18"/>
                          <a:stretch>
                            <a:fillRect/>
                          </a:stretch>
                        </pic:blipFill>
                        <pic:spPr>
                          <a:xfrm>
                            <a:off x="0" y="0"/>
                            <a:ext cx="951865" cy="847725"/>
                          </a:xfrm>
                          <a:prstGeom prst="rect">
                            <a:avLst/>
                          </a:prstGeom>
                          <a:noFill/>
                          <a:ln>
                            <a:noFill/>
                          </a:ln>
                        </pic:spPr>
                      </pic:pic>
                    </a:graphicData>
                  </a:graphic>
                </wp:anchor>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393F3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9094A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46</w:t>
            </w:r>
          </w:p>
        </w:tc>
        <w:tc>
          <w:tcPr>
            <w:tcW w:w="294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4BDA7F7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品牌；乔丰加厚菜蓝，采用</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全新料，经久耐用；尺寸</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590*430*290</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34A1C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460</w:t>
            </w:r>
          </w:p>
        </w:tc>
      </w:tr>
      <w:tr w14:paraId="7757D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2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4FDA9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12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C8103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红色大号菜框（长59CM  宽43CM  高29CM)加厚</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A5CC4F">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190500</wp:posOffset>
                  </wp:positionH>
                  <wp:positionV relativeFrom="paragraph">
                    <wp:posOffset>257175</wp:posOffset>
                  </wp:positionV>
                  <wp:extent cx="951865" cy="847725"/>
                  <wp:effectExtent l="0" t="0" r="635" b="9525"/>
                  <wp:wrapNone/>
                  <wp:docPr id="21" name="图片_33"/>
                  <wp:cNvGraphicFramePr/>
                  <a:graphic xmlns:a="http://schemas.openxmlformats.org/drawingml/2006/main">
                    <a:graphicData uri="http://schemas.openxmlformats.org/drawingml/2006/picture">
                      <pic:pic xmlns:pic="http://schemas.openxmlformats.org/drawingml/2006/picture">
                        <pic:nvPicPr>
                          <pic:cNvPr id="21" name="图片_33"/>
                          <pic:cNvPicPr/>
                        </pic:nvPicPr>
                        <pic:blipFill>
                          <a:blip r:embed="rId19"/>
                          <a:stretch>
                            <a:fillRect/>
                          </a:stretch>
                        </pic:blipFill>
                        <pic:spPr>
                          <a:xfrm>
                            <a:off x="0" y="0"/>
                            <a:ext cx="951865" cy="847725"/>
                          </a:xfrm>
                          <a:prstGeom prst="rect">
                            <a:avLst/>
                          </a:prstGeom>
                          <a:noFill/>
                          <a:ln>
                            <a:noFill/>
                          </a:ln>
                        </pic:spPr>
                      </pic:pic>
                    </a:graphicData>
                  </a:graphic>
                </wp:anchor>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D45B9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CF2EF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46</w:t>
            </w:r>
          </w:p>
        </w:tc>
        <w:tc>
          <w:tcPr>
            <w:tcW w:w="294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72E19DB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品牌；乔丰加厚菜蓝，采用</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全新料，经久耐用；尺寸</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590*430*290</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C8D43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368</w:t>
            </w:r>
          </w:p>
        </w:tc>
      </w:tr>
      <w:tr w14:paraId="4AC3C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0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25DC2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12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C5CFC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蓝色收纳框（长70CM  宽55CM  高38CM)加厚</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3D576D">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243205</wp:posOffset>
                  </wp:positionH>
                  <wp:positionV relativeFrom="paragraph">
                    <wp:posOffset>78105</wp:posOffset>
                  </wp:positionV>
                  <wp:extent cx="814070" cy="807085"/>
                  <wp:effectExtent l="0" t="0" r="5080" b="12065"/>
                  <wp:wrapNone/>
                  <wp:docPr id="3" name="图片_43"/>
                  <wp:cNvGraphicFramePr/>
                  <a:graphic xmlns:a="http://schemas.openxmlformats.org/drawingml/2006/main">
                    <a:graphicData uri="http://schemas.openxmlformats.org/drawingml/2006/picture">
                      <pic:pic xmlns:pic="http://schemas.openxmlformats.org/drawingml/2006/picture">
                        <pic:nvPicPr>
                          <pic:cNvPr id="3" name="图片_43"/>
                          <pic:cNvPicPr/>
                        </pic:nvPicPr>
                        <pic:blipFill>
                          <a:blip r:embed="rId20"/>
                          <a:stretch>
                            <a:fillRect/>
                          </a:stretch>
                        </pic:blipFill>
                        <pic:spPr>
                          <a:xfrm>
                            <a:off x="0" y="0"/>
                            <a:ext cx="814070" cy="807085"/>
                          </a:xfrm>
                          <a:prstGeom prst="rect">
                            <a:avLst/>
                          </a:prstGeom>
                          <a:noFill/>
                          <a:ln>
                            <a:noFill/>
                          </a:ln>
                        </pic:spPr>
                      </pic:pic>
                    </a:graphicData>
                  </a:graphic>
                </wp:anchor>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2BB87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17B9D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60</w:t>
            </w:r>
          </w:p>
        </w:tc>
        <w:tc>
          <w:tcPr>
            <w:tcW w:w="294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5D29D14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品牌；乔丰加厚收纳箱，采用</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全新料，经久耐用，尺寸</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700*550*380</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9DE10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600</w:t>
            </w:r>
          </w:p>
        </w:tc>
      </w:tr>
      <w:tr w14:paraId="5AF96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8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E5DF5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4A18A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不锈钢盛菜深条盆 带盖（长53CM  宽33CM  高15CM)加厚</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F26B0A">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1270</wp:posOffset>
                  </wp:positionH>
                  <wp:positionV relativeFrom="paragraph">
                    <wp:posOffset>113030</wp:posOffset>
                  </wp:positionV>
                  <wp:extent cx="1370330" cy="741045"/>
                  <wp:effectExtent l="0" t="0" r="1270" b="1905"/>
                  <wp:wrapNone/>
                  <wp:docPr id="22" name="图片_37"/>
                  <wp:cNvGraphicFramePr/>
                  <a:graphic xmlns:a="http://schemas.openxmlformats.org/drawingml/2006/main">
                    <a:graphicData uri="http://schemas.openxmlformats.org/drawingml/2006/picture">
                      <pic:pic xmlns:pic="http://schemas.openxmlformats.org/drawingml/2006/picture">
                        <pic:nvPicPr>
                          <pic:cNvPr id="22" name="图片_37"/>
                          <pic:cNvPicPr/>
                        </pic:nvPicPr>
                        <pic:blipFill>
                          <a:blip r:embed="rId21"/>
                          <a:stretch>
                            <a:fillRect/>
                          </a:stretch>
                        </pic:blipFill>
                        <pic:spPr>
                          <a:xfrm>
                            <a:off x="0" y="0"/>
                            <a:ext cx="1370330" cy="741045"/>
                          </a:xfrm>
                          <a:prstGeom prst="rect">
                            <a:avLst/>
                          </a:prstGeom>
                          <a:noFill/>
                          <a:ln>
                            <a:noFill/>
                          </a:ln>
                        </pic:spPr>
                      </pic:pic>
                    </a:graphicData>
                  </a:graphic>
                </wp:anchor>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C26A0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30</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A4777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81</w:t>
            </w:r>
          </w:p>
        </w:tc>
        <w:tc>
          <w:tcPr>
            <w:tcW w:w="294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0494A66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品牌；佳之联份数盘，201</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无磁卷边；1.0加厚款</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16D31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2430</w:t>
            </w:r>
          </w:p>
        </w:tc>
      </w:tr>
      <w:tr w14:paraId="24471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6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906BE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D2EAC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不锈钢餐盘304</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105040">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394335</wp:posOffset>
                  </wp:positionH>
                  <wp:positionV relativeFrom="paragraph">
                    <wp:posOffset>156845</wp:posOffset>
                  </wp:positionV>
                  <wp:extent cx="596265" cy="781050"/>
                  <wp:effectExtent l="0" t="0" r="13335" b="0"/>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22"/>
                          <a:stretch>
                            <a:fillRect/>
                          </a:stretch>
                        </pic:blipFill>
                        <pic:spPr>
                          <a:xfrm>
                            <a:off x="0" y="0"/>
                            <a:ext cx="596265" cy="781050"/>
                          </a:xfrm>
                          <a:prstGeom prst="rect">
                            <a:avLst/>
                          </a:prstGeom>
                          <a:noFill/>
                          <a:ln>
                            <a:noFill/>
                          </a:ln>
                        </pic:spPr>
                      </pic:pic>
                    </a:graphicData>
                  </a:graphic>
                </wp:anchor>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C49FD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500</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7B788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23.04</w:t>
            </w:r>
          </w:p>
        </w:tc>
        <w:tc>
          <w:tcPr>
            <w:tcW w:w="294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547B5D4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品牌；北盛304快餐盘，1.0</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加厚款</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AB666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11520</w:t>
            </w:r>
          </w:p>
        </w:tc>
      </w:tr>
      <w:tr w14:paraId="45AEE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4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00E28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0775F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不锈钢汤勺</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D0001B">
            <w:pPr>
              <w:keepNext w:val="0"/>
              <w:keepLines w:val="0"/>
              <w:widowControl/>
              <w:suppressLineNumbers w:val="0"/>
              <w:jc w:val="left"/>
              <w:textAlignment w:val="center"/>
              <w:rPr>
                <w:rFonts w:hint="eastAsia" w:ascii="宋体" w:hAnsi="宋体" w:eastAsia="宋体" w:cs="宋体"/>
                <w:i w:val="0"/>
                <w:color w:val="000000"/>
                <w:sz w:val="21"/>
                <w:szCs w:val="21"/>
                <w:u w:val="none"/>
                <w:lang w:eastAsia="zh-CN"/>
              </w:rPr>
            </w:pPr>
            <w:r>
              <w:rPr>
                <w:rFonts w:hint="eastAsia" w:ascii="宋体" w:hAnsi="宋体" w:eastAsia="宋体" w:cs="宋体"/>
                <w:i w:val="0"/>
                <w:color w:val="000000"/>
                <w:sz w:val="21"/>
                <w:szCs w:val="21"/>
                <w:u w:val="none"/>
                <w:lang w:eastAsia="zh-CN"/>
              </w:rPr>
              <w:drawing>
                <wp:inline distT="0" distB="0" distL="114300" distR="114300">
                  <wp:extent cx="1221740" cy="1457325"/>
                  <wp:effectExtent l="0" t="0" r="16510" b="9525"/>
                  <wp:docPr id="29" name="图片 29" descr="勺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勺子"/>
                          <pic:cNvPicPr>
                            <a:picLocks noChangeAspect="1"/>
                          </pic:cNvPicPr>
                        </pic:nvPicPr>
                        <pic:blipFill>
                          <a:blip r:embed="rId23"/>
                          <a:stretch>
                            <a:fillRect/>
                          </a:stretch>
                        </pic:blipFill>
                        <pic:spPr>
                          <a:xfrm>
                            <a:off x="0" y="0"/>
                            <a:ext cx="1221740" cy="1457325"/>
                          </a:xfrm>
                          <a:prstGeom prst="rect">
                            <a:avLst/>
                          </a:prstGeom>
                        </pic:spPr>
                      </pic:pic>
                    </a:graphicData>
                  </a:graphic>
                </wp:inline>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30583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600</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D621D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w:t>
            </w:r>
          </w:p>
        </w:tc>
        <w:tc>
          <w:tcPr>
            <w:tcW w:w="2945"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245177F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品牌；不锈钢 汤勺</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EA05F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900</w:t>
            </w:r>
          </w:p>
        </w:tc>
      </w:tr>
      <w:tr w14:paraId="1B365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8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0D3F7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058C7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不锈钢汤碗304</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821A37">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70485</wp:posOffset>
                  </wp:positionH>
                  <wp:positionV relativeFrom="paragraph">
                    <wp:posOffset>34925</wp:posOffset>
                  </wp:positionV>
                  <wp:extent cx="1301115" cy="992505"/>
                  <wp:effectExtent l="0" t="0" r="13335" b="17145"/>
                  <wp:wrapNone/>
                  <wp:docPr id="25" name="图片_9"/>
                  <wp:cNvGraphicFramePr/>
                  <a:graphic xmlns:a="http://schemas.openxmlformats.org/drawingml/2006/main">
                    <a:graphicData uri="http://schemas.openxmlformats.org/drawingml/2006/picture">
                      <pic:pic xmlns:pic="http://schemas.openxmlformats.org/drawingml/2006/picture">
                        <pic:nvPicPr>
                          <pic:cNvPr id="25" name="图片_9"/>
                          <pic:cNvPicPr/>
                        </pic:nvPicPr>
                        <pic:blipFill>
                          <a:blip r:embed="rId24"/>
                          <a:stretch>
                            <a:fillRect/>
                          </a:stretch>
                        </pic:blipFill>
                        <pic:spPr>
                          <a:xfrm>
                            <a:off x="0" y="0"/>
                            <a:ext cx="1301115" cy="992505"/>
                          </a:xfrm>
                          <a:prstGeom prst="rect">
                            <a:avLst/>
                          </a:prstGeom>
                          <a:noFill/>
                          <a:ln>
                            <a:noFill/>
                          </a:ln>
                        </pic:spPr>
                      </pic:pic>
                    </a:graphicData>
                  </a:graphic>
                </wp:anchor>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F607B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600</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2165A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w:t>
            </w:r>
          </w:p>
        </w:tc>
        <w:tc>
          <w:tcPr>
            <w:tcW w:w="294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0C7AF9E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品牌，不锈钢304#砂光汤碗.</w:t>
            </w:r>
          </w:p>
          <w:p w14:paraId="3CAD7A1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尺寸11.5CM</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A692D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3600</w:t>
            </w:r>
          </w:p>
        </w:tc>
      </w:tr>
      <w:tr w14:paraId="60685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8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38427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DC0A0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不锈钢粉碗</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25BA6B">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342265</wp:posOffset>
                  </wp:positionH>
                  <wp:positionV relativeFrom="paragraph">
                    <wp:posOffset>94615</wp:posOffset>
                  </wp:positionV>
                  <wp:extent cx="852170" cy="1039495"/>
                  <wp:effectExtent l="0" t="0" r="5080" b="8255"/>
                  <wp:wrapNone/>
                  <wp:docPr id="5" name="图片_12"/>
                  <wp:cNvGraphicFramePr/>
                  <a:graphic xmlns:a="http://schemas.openxmlformats.org/drawingml/2006/main">
                    <a:graphicData uri="http://schemas.openxmlformats.org/drawingml/2006/picture">
                      <pic:pic xmlns:pic="http://schemas.openxmlformats.org/drawingml/2006/picture">
                        <pic:nvPicPr>
                          <pic:cNvPr id="5" name="图片_12"/>
                          <pic:cNvPicPr/>
                        </pic:nvPicPr>
                        <pic:blipFill>
                          <a:blip r:embed="rId25"/>
                          <a:stretch>
                            <a:fillRect/>
                          </a:stretch>
                        </pic:blipFill>
                        <pic:spPr>
                          <a:xfrm>
                            <a:off x="0" y="0"/>
                            <a:ext cx="852170" cy="1039495"/>
                          </a:xfrm>
                          <a:prstGeom prst="rect">
                            <a:avLst/>
                          </a:prstGeom>
                          <a:noFill/>
                          <a:ln>
                            <a:noFill/>
                          </a:ln>
                        </pic:spPr>
                      </pic:pic>
                    </a:graphicData>
                  </a:graphic>
                </wp:anchor>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4327B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600</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1D6DD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2945"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4DB94DB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品牌；不锈钢粉碗，尺寸20CM</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809E7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3000</w:t>
            </w:r>
          </w:p>
        </w:tc>
      </w:tr>
      <w:tr w14:paraId="2E6C4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2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DA685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12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FC64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23CM不锈钢炒菜大锅铲</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99F181">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216535</wp:posOffset>
                  </wp:positionH>
                  <wp:positionV relativeFrom="paragraph">
                    <wp:posOffset>24130</wp:posOffset>
                  </wp:positionV>
                  <wp:extent cx="967740" cy="1068070"/>
                  <wp:effectExtent l="0" t="0" r="3810" b="17780"/>
                  <wp:wrapNone/>
                  <wp:docPr id="2" name="图片_14"/>
                  <wp:cNvGraphicFramePr/>
                  <a:graphic xmlns:a="http://schemas.openxmlformats.org/drawingml/2006/main">
                    <a:graphicData uri="http://schemas.openxmlformats.org/drawingml/2006/picture">
                      <pic:pic xmlns:pic="http://schemas.openxmlformats.org/drawingml/2006/picture">
                        <pic:nvPicPr>
                          <pic:cNvPr id="2" name="图片_14"/>
                          <pic:cNvPicPr/>
                        </pic:nvPicPr>
                        <pic:blipFill>
                          <a:blip r:embed="rId26"/>
                          <a:stretch>
                            <a:fillRect/>
                          </a:stretch>
                        </pic:blipFill>
                        <pic:spPr>
                          <a:xfrm>
                            <a:off x="0" y="0"/>
                            <a:ext cx="967740" cy="1068070"/>
                          </a:xfrm>
                          <a:prstGeom prst="rect">
                            <a:avLst/>
                          </a:prstGeom>
                          <a:noFill/>
                          <a:ln>
                            <a:noFill/>
                          </a:ln>
                        </pic:spPr>
                      </pic:pic>
                    </a:graphicData>
                  </a:graphic>
                </wp:anchor>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F9E73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AA85B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63</w:t>
            </w:r>
          </w:p>
        </w:tc>
        <w:tc>
          <w:tcPr>
            <w:tcW w:w="2945"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48FC9BC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品牌；长柄加厚大锅铲</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39C1C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315</w:t>
            </w:r>
          </w:p>
        </w:tc>
      </w:tr>
      <w:tr w14:paraId="19EF0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4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991B7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02B32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砍刀 带色把</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E60E2C">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9525</wp:posOffset>
                  </wp:positionH>
                  <wp:positionV relativeFrom="paragraph">
                    <wp:posOffset>96520</wp:posOffset>
                  </wp:positionV>
                  <wp:extent cx="1362075" cy="1078865"/>
                  <wp:effectExtent l="0" t="0" r="9525" b="6985"/>
                  <wp:wrapNone/>
                  <wp:docPr id="7" name="图片_27"/>
                  <wp:cNvGraphicFramePr/>
                  <a:graphic xmlns:a="http://schemas.openxmlformats.org/drawingml/2006/main">
                    <a:graphicData uri="http://schemas.openxmlformats.org/drawingml/2006/picture">
                      <pic:pic xmlns:pic="http://schemas.openxmlformats.org/drawingml/2006/picture">
                        <pic:nvPicPr>
                          <pic:cNvPr id="7" name="图片_27"/>
                          <pic:cNvPicPr/>
                        </pic:nvPicPr>
                        <pic:blipFill>
                          <a:blip r:embed="rId27"/>
                          <a:stretch>
                            <a:fillRect/>
                          </a:stretch>
                        </pic:blipFill>
                        <pic:spPr>
                          <a:xfrm>
                            <a:off x="0" y="0"/>
                            <a:ext cx="1362075" cy="1078865"/>
                          </a:xfrm>
                          <a:prstGeom prst="rect">
                            <a:avLst/>
                          </a:prstGeom>
                          <a:noFill/>
                          <a:ln>
                            <a:noFill/>
                          </a:ln>
                        </pic:spPr>
                      </pic:pic>
                    </a:graphicData>
                  </a:graphic>
                </wp:anchor>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58EAD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C5049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99</w:t>
            </w:r>
          </w:p>
        </w:tc>
        <w:tc>
          <w:tcPr>
            <w:tcW w:w="2945"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6721B8E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品牌；龙之艺砍刀</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B0A4C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495</w:t>
            </w:r>
          </w:p>
        </w:tc>
      </w:tr>
      <w:tr w14:paraId="04A66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4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228F9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F299F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菜刀 带色把</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1F4CA1">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155575</wp:posOffset>
                  </wp:positionH>
                  <wp:positionV relativeFrom="paragraph">
                    <wp:posOffset>17780</wp:posOffset>
                  </wp:positionV>
                  <wp:extent cx="1168400" cy="1062355"/>
                  <wp:effectExtent l="0" t="0" r="12700" b="4445"/>
                  <wp:wrapNone/>
                  <wp:docPr id="27" name="图片_28"/>
                  <wp:cNvGraphicFramePr/>
                  <a:graphic xmlns:a="http://schemas.openxmlformats.org/drawingml/2006/main">
                    <a:graphicData uri="http://schemas.openxmlformats.org/drawingml/2006/picture">
                      <pic:pic xmlns:pic="http://schemas.openxmlformats.org/drawingml/2006/picture">
                        <pic:nvPicPr>
                          <pic:cNvPr id="27" name="图片_28"/>
                          <pic:cNvPicPr/>
                        </pic:nvPicPr>
                        <pic:blipFill>
                          <a:blip r:embed="rId28"/>
                          <a:stretch>
                            <a:fillRect/>
                          </a:stretch>
                        </pic:blipFill>
                        <pic:spPr>
                          <a:xfrm>
                            <a:off x="0" y="0"/>
                            <a:ext cx="1168400" cy="1062355"/>
                          </a:xfrm>
                          <a:prstGeom prst="rect">
                            <a:avLst/>
                          </a:prstGeom>
                          <a:noFill/>
                          <a:ln>
                            <a:noFill/>
                          </a:ln>
                        </pic:spPr>
                      </pic:pic>
                    </a:graphicData>
                  </a:graphic>
                </wp:anchor>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ED24D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B04D8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27</w:t>
            </w:r>
          </w:p>
        </w:tc>
        <w:tc>
          <w:tcPr>
            <w:tcW w:w="2945"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4914C19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品牌；捞刀河片刀</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CA0FD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270</w:t>
            </w:r>
          </w:p>
        </w:tc>
      </w:tr>
      <w:tr w14:paraId="71228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4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F34BB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w:t>
            </w:r>
          </w:p>
        </w:tc>
        <w:tc>
          <w:tcPr>
            <w:tcW w:w="12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E4986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捞粉漏子（格子稀一点的）</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466307">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111760</wp:posOffset>
                  </wp:positionH>
                  <wp:positionV relativeFrom="paragraph">
                    <wp:posOffset>56515</wp:posOffset>
                  </wp:positionV>
                  <wp:extent cx="1250315" cy="981710"/>
                  <wp:effectExtent l="0" t="0" r="6985" b="8890"/>
                  <wp:wrapNone/>
                  <wp:docPr id="26" name="图片_35"/>
                  <wp:cNvGraphicFramePr/>
                  <a:graphic xmlns:a="http://schemas.openxmlformats.org/drawingml/2006/main">
                    <a:graphicData uri="http://schemas.openxmlformats.org/drawingml/2006/picture">
                      <pic:pic xmlns:pic="http://schemas.openxmlformats.org/drawingml/2006/picture">
                        <pic:nvPicPr>
                          <pic:cNvPr id="26" name="图片_35"/>
                          <pic:cNvPicPr/>
                        </pic:nvPicPr>
                        <pic:blipFill>
                          <a:blip r:embed="rId29"/>
                          <a:stretch>
                            <a:fillRect/>
                          </a:stretch>
                        </pic:blipFill>
                        <pic:spPr>
                          <a:xfrm>
                            <a:off x="0" y="0"/>
                            <a:ext cx="1250315" cy="981710"/>
                          </a:xfrm>
                          <a:prstGeom prst="rect">
                            <a:avLst/>
                          </a:prstGeom>
                          <a:noFill/>
                          <a:ln>
                            <a:noFill/>
                          </a:ln>
                        </pic:spPr>
                      </pic:pic>
                    </a:graphicData>
                  </a:graphic>
                </wp:anchor>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E0482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47B37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w:t>
            </w:r>
          </w:p>
        </w:tc>
        <w:tc>
          <w:tcPr>
            <w:tcW w:w="2945"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5F98B9D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品牌；不锈钢加厚粉漏</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A4E08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360</w:t>
            </w:r>
          </w:p>
        </w:tc>
      </w:tr>
      <w:tr w14:paraId="0E020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BDC94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9DC96C">
            <w:pPr>
              <w:jc w:val="center"/>
              <w:rPr>
                <w:rFonts w:hint="eastAsia" w:ascii="宋体" w:hAnsi="宋体" w:eastAsia="宋体" w:cs="宋体"/>
                <w:i w:val="0"/>
                <w:color w:val="000000"/>
                <w:sz w:val="21"/>
                <w:szCs w:val="21"/>
                <w:u w:val="none"/>
              </w:rPr>
            </w:pP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C8C871">
            <w:pPr>
              <w:rPr>
                <w:rFonts w:hint="eastAsia" w:ascii="宋体" w:hAnsi="宋体" w:eastAsia="宋体" w:cs="宋体"/>
                <w:i w:val="0"/>
                <w:color w:val="000000"/>
                <w:sz w:val="21"/>
                <w:szCs w:val="21"/>
                <w:u w:val="none"/>
              </w:rPr>
            </w:pP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6DB733">
            <w:pPr>
              <w:jc w:val="center"/>
              <w:rPr>
                <w:rFonts w:hint="eastAsia" w:ascii="宋体" w:hAnsi="宋体" w:eastAsia="宋体" w:cs="宋体"/>
                <w:i w:val="0"/>
                <w:color w:val="000000"/>
                <w:sz w:val="21"/>
                <w:szCs w:val="21"/>
                <w:u w:val="none"/>
              </w:rPr>
            </w:pP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335250">
            <w:pPr>
              <w:jc w:val="center"/>
              <w:rPr>
                <w:rFonts w:hint="eastAsia" w:ascii="宋体" w:hAnsi="宋体" w:eastAsia="宋体" w:cs="宋体"/>
                <w:i w:val="0"/>
                <w:color w:val="000000"/>
                <w:sz w:val="21"/>
                <w:szCs w:val="21"/>
                <w:u w:val="none"/>
              </w:rPr>
            </w:pPr>
          </w:p>
        </w:tc>
        <w:tc>
          <w:tcPr>
            <w:tcW w:w="294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4329F0E0">
            <w:pPr>
              <w:jc w:val="center"/>
              <w:rPr>
                <w:rFonts w:hint="eastAsia" w:ascii="宋体" w:hAnsi="宋体" w:eastAsia="宋体" w:cs="宋体"/>
                <w:i w:val="0"/>
                <w:color w:val="000000"/>
                <w:sz w:val="21"/>
                <w:szCs w:val="21"/>
                <w:u w:val="none"/>
              </w:rPr>
            </w:pP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44BF8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w:t>
            </w:r>
          </w:p>
        </w:tc>
      </w:tr>
      <w:tr w14:paraId="68F98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80" w:hRule="atLeast"/>
          <w:jc w:val="center"/>
        </w:trPr>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A1527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w:t>
            </w:r>
          </w:p>
        </w:tc>
        <w:tc>
          <w:tcPr>
            <w:tcW w:w="12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EBF9E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砧板（胶质）带色 加厚</w:t>
            </w:r>
          </w:p>
        </w:tc>
        <w:tc>
          <w:tcPr>
            <w:tcW w:w="21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7D7A0D">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29210</wp:posOffset>
                  </wp:positionH>
                  <wp:positionV relativeFrom="paragraph">
                    <wp:posOffset>82550</wp:posOffset>
                  </wp:positionV>
                  <wp:extent cx="1277620" cy="1399540"/>
                  <wp:effectExtent l="0" t="0" r="17780" b="10160"/>
                  <wp:wrapNone/>
                  <wp:docPr id="28" name="图片_28_SpCnt_1"/>
                  <wp:cNvGraphicFramePr/>
                  <a:graphic xmlns:a="http://schemas.openxmlformats.org/drawingml/2006/main">
                    <a:graphicData uri="http://schemas.openxmlformats.org/drawingml/2006/picture">
                      <pic:pic xmlns:pic="http://schemas.openxmlformats.org/drawingml/2006/picture">
                        <pic:nvPicPr>
                          <pic:cNvPr id="28" name="图片_28_SpCnt_1"/>
                          <pic:cNvPicPr/>
                        </pic:nvPicPr>
                        <pic:blipFill>
                          <a:blip r:embed="rId30"/>
                          <a:stretch>
                            <a:fillRect/>
                          </a:stretch>
                        </pic:blipFill>
                        <pic:spPr>
                          <a:xfrm>
                            <a:off x="0" y="0"/>
                            <a:ext cx="1277620" cy="1399540"/>
                          </a:xfrm>
                          <a:prstGeom prst="rect">
                            <a:avLst/>
                          </a:prstGeom>
                          <a:noFill/>
                          <a:ln>
                            <a:noFill/>
                          </a:ln>
                        </pic:spPr>
                      </pic:pic>
                    </a:graphicData>
                  </a:graphic>
                </wp:anchor>
              </w:drawing>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15E11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2404F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180</w:t>
            </w:r>
          </w:p>
        </w:tc>
        <w:tc>
          <w:tcPr>
            <w:tcW w:w="294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6B00B6C2">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品牌；七彩先森加厚菜板，食品级PE材料，尺寸：43*8</w:t>
            </w:r>
          </w:p>
        </w:tc>
        <w:tc>
          <w:tcPr>
            <w:tcW w:w="8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FBF63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1980</w:t>
            </w:r>
          </w:p>
        </w:tc>
      </w:tr>
    </w:tbl>
    <w:p w14:paraId="68938EC6">
      <w:pPr>
        <w:rPr>
          <w:rFonts w:hint="default"/>
          <w:lang w:val="en-US" w:eastAsia="zh-CN"/>
        </w:rPr>
      </w:pPr>
    </w:p>
    <w:p w14:paraId="676C0DA4">
      <w:pPr>
        <w:rPr>
          <w:rFonts w:hint="eastAsia" w:ascii="仿宋" w:hAnsi="仿宋" w:eastAsia="仿宋" w:cs="仿宋"/>
          <w:sz w:val="28"/>
          <w:szCs w:val="28"/>
          <w:lang w:val="en-US" w:eastAsia="zh-CN"/>
        </w:rPr>
      </w:pPr>
    </w:p>
    <w:p w14:paraId="3D7D4677">
      <w:pPr>
        <w:pStyle w:val="2"/>
        <w:rPr>
          <w:rFonts w:hint="eastAsia" w:ascii="仿宋" w:hAnsi="仿宋" w:eastAsia="仿宋" w:cs="仿宋"/>
          <w:sz w:val="28"/>
          <w:szCs w:val="28"/>
          <w:lang w:val="en-US" w:eastAsia="zh-CN"/>
        </w:rPr>
      </w:pPr>
    </w:p>
    <w:p w14:paraId="31899CD3">
      <w:pPr>
        <w:rPr>
          <w:rFonts w:hint="eastAsia" w:ascii="仿宋" w:hAnsi="仿宋" w:eastAsia="仿宋" w:cs="仿宋"/>
          <w:sz w:val="28"/>
          <w:szCs w:val="28"/>
          <w:lang w:val="en-US" w:eastAsia="zh-CN"/>
        </w:rPr>
      </w:pPr>
    </w:p>
    <w:p w14:paraId="74448082">
      <w:pPr>
        <w:pStyle w:val="2"/>
        <w:rPr>
          <w:rFonts w:hint="eastAsia" w:ascii="仿宋" w:hAnsi="仿宋" w:eastAsia="仿宋" w:cs="仿宋"/>
          <w:sz w:val="28"/>
          <w:szCs w:val="28"/>
          <w:lang w:val="en-US" w:eastAsia="zh-CN"/>
        </w:rPr>
      </w:pPr>
    </w:p>
    <w:p w14:paraId="2DDCA614">
      <w:pPr>
        <w:rPr>
          <w:rFonts w:hint="eastAsia" w:ascii="仿宋" w:hAnsi="仿宋" w:eastAsia="仿宋" w:cs="仿宋"/>
          <w:sz w:val="28"/>
          <w:szCs w:val="28"/>
          <w:lang w:val="en-US" w:eastAsia="zh-CN"/>
        </w:rPr>
      </w:pPr>
    </w:p>
    <w:p w14:paraId="08AD840B">
      <w:pPr>
        <w:pStyle w:val="2"/>
        <w:rPr>
          <w:rFonts w:hint="eastAsia" w:ascii="仿宋" w:hAnsi="仿宋" w:eastAsia="仿宋" w:cs="仿宋"/>
          <w:sz w:val="28"/>
          <w:szCs w:val="28"/>
          <w:lang w:val="en-US" w:eastAsia="zh-CN"/>
        </w:rPr>
      </w:pPr>
    </w:p>
    <w:p w14:paraId="207D5D63">
      <w:pPr>
        <w:rPr>
          <w:rFonts w:hint="eastAsia" w:ascii="仿宋" w:hAnsi="仿宋" w:eastAsia="仿宋" w:cs="仿宋"/>
          <w:sz w:val="28"/>
          <w:szCs w:val="28"/>
          <w:lang w:val="en-US" w:eastAsia="zh-CN"/>
        </w:rPr>
      </w:pPr>
    </w:p>
    <w:p w14:paraId="50AFFD77">
      <w:pPr>
        <w:pStyle w:val="2"/>
        <w:rPr>
          <w:rFonts w:hint="eastAsia" w:ascii="仿宋" w:hAnsi="仿宋" w:eastAsia="仿宋" w:cs="仿宋"/>
          <w:sz w:val="28"/>
          <w:szCs w:val="28"/>
          <w:lang w:val="en-US" w:eastAsia="zh-CN"/>
        </w:rPr>
      </w:pPr>
    </w:p>
    <w:p w14:paraId="50E25E78">
      <w:pPr>
        <w:rPr>
          <w:rFonts w:hint="eastAsia" w:ascii="仿宋" w:hAnsi="仿宋" w:eastAsia="仿宋" w:cs="仿宋"/>
          <w:sz w:val="28"/>
          <w:szCs w:val="28"/>
          <w:lang w:val="en-US" w:eastAsia="zh-CN"/>
        </w:rPr>
      </w:pPr>
    </w:p>
    <w:p w14:paraId="1A301162">
      <w:pPr>
        <w:pStyle w:val="2"/>
        <w:rPr>
          <w:rFonts w:hint="eastAsia" w:ascii="仿宋" w:hAnsi="仿宋" w:eastAsia="仿宋" w:cs="仿宋"/>
          <w:sz w:val="28"/>
          <w:szCs w:val="28"/>
          <w:lang w:val="en-US" w:eastAsia="zh-CN"/>
        </w:rPr>
      </w:pPr>
      <w:bookmarkStart w:id="0" w:name="_GoBack"/>
      <w:bookmarkEnd w:id="0"/>
    </w:p>
    <w:p w14:paraId="0B512106">
      <w:pPr>
        <w:rPr>
          <w:rFonts w:hint="eastAsia" w:ascii="仿宋" w:hAnsi="仿宋" w:eastAsia="仿宋" w:cs="仿宋"/>
          <w:sz w:val="28"/>
          <w:szCs w:val="28"/>
          <w:lang w:val="en-US" w:eastAsia="zh-CN"/>
        </w:rPr>
      </w:pPr>
    </w:p>
    <w:p w14:paraId="76B0318A">
      <w:pPr>
        <w:pStyle w:val="2"/>
        <w:rPr>
          <w:rFonts w:hint="eastAsia"/>
          <w:lang w:val="en-US" w:eastAsia="zh-CN"/>
        </w:rPr>
      </w:pPr>
    </w:p>
    <w:p w14:paraId="4244C330">
      <w:pPr>
        <w:rPr>
          <w:rFonts w:hint="eastAsia" w:ascii="仿宋" w:hAnsi="仿宋" w:eastAsia="仿宋" w:cs="仿宋"/>
          <w:sz w:val="28"/>
          <w:szCs w:val="28"/>
        </w:rPr>
      </w:pPr>
    </w:p>
    <w:p w14:paraId="0E12D447">
      <w:pPr>
        <w:ind w:firstLine="560" w:firstLineChars="200"/>
        <w:jc w:val="left"/>
        <w:rPr>
          <w:rFonts w:hint="eastAsia" w:ascii="仿宋" w:hAnsi="仿宋" w:eastAsia="仿宋" w:cs="仿宋"/>
          <w:b w:val="0"/>
          <w:bCs/>
          <w:color w:val="auto"/>
          <w:sz w:val="28"/>
          <w:szCs w:val="28"/>
          <w:lang w:val="en-US" w:eastAsia="zh-CN"/>
        </w:rPr>
      </w:pPr>
    </w:p>
    <w:p w14:paraId="22C61FEC">
      <w:pPr>
        <w:jc w:val="left"/>
        <w:rPr>
          <w:rFonts w:hint="eastAsia" w:ascii="仿宋" w:hAnsi="仿宋" w:eastAsia="仿宋" w:cs="仿宋"/>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62889BE3-6BAC-4735-A13B-2EADC0BEDC79}"/>
  </w:font>
  <w:font w:name="微软雅黑">
    <w:panose1 w:val="020B0503020204020204"/>
    <w:charset w:val="86"/>
    <w:family w:val="auto"/>
    <w:pitch w:val="default"/>
    <w:sig w:usb0="80000287" w:usb1="2ACF3C50" w:usb2="00000016" w:usb3="00000000" w:csb0="0004001F" w:csb1="00000000"/>
  </w:font>
  <w:font w:name="方正公文小标宋">
    <w:panose1 w:val="02000500000000000000"/>
    <w:charset w:val="86"/>
    <w:family w:val="auto"/>
    <w:pitch w:val="default"/>
    <w:sig w:usb0="A00002BF" w:usb1="38CF7CFA" w:usb2="00000016" w:usb3="00000000" w:csb0="00040001" w:csb1="00000000"/>
    <w:embedRegular r:id="rId2" w:fontKey="{0D58DDD5-C00F-4D14-8509-DDDFD228CDA4}"/>
  </w:font>
  <w:font w:name="仿宋">
    <w:panose1 w:val="02010609060101010101"/>
    <w:charset w:val="86"/>
    <w:family w:val="auto"/>
    <w:pitch w:val="default"/>
    <w:sig w:usb0="800002BF" w:usb1="38CF7CFA" w:usb2="00000016" w:usb3="00000000" w:csb0="00040001" w:csb1="00000000"/>
    <w:embedRegular r:id="rId3" w:fontKey="{CC72735C-DABF-41EF-A2D2-8ACE354CD4B8}"/>
  </w:font>
  <w:font w:name="华文楷体">
    <w:panose1 w:val="02010600040101010101"/>
    <w:charset w:val="86"/>
    <w:family w:val="auto"/>
    <w:pitch w:val="default"/>
    <w:sig w:usb0="A00002BF" w:usb1="78CF7CFB" w:usb2="00000016" w:usb3="00000000" w:csb0="6006009F" w:csb1="DFD70000"/>
    <w:embedRegular r:id="rId4" w:fontKey="{9C4843C2-BDFB-46E9-8FED-40BF4B5628E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53DCE1"/>
    <w:multiLevelType w:val="singleLevel"/>
    <w:tmpl w:val="D653DCE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8B52DD6"/>
    <w:rsid w:val="237D4E22"/>
    <w:rsid w:val="27447EF4"/>
    <w:rsid w:val="2CA945A8"/>
    <w:rsid w:val="3EBC63BD"/>
    <w:rsid w:val="43617533"/>
    <w:rsid w:val="50485F71"/>
    <w:rsid w:val="57FF2C6B"/>
    <w:rsid w:val="5D697018"/>
    <w:rsid w:val="62481B92"/>
    <w:rsid w:val="6EFD658A"/>
    <w:rsid w:val="7A4B1D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line="360" w:lineRule="auto"/>
      <w:outlineLvl w:val="1"/>
    </w:pPr>
    <w:rPr>
      <w:rFonts w:ascii="Arial" w:hAnsi="Arial"/>
      <w:b/>
      <w:bCs/>
      <w:sz w:val="24"/>
      <w:szCs w:val="32"/>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5">
    <w:name w:val="List Paragraph"/>
    <w:basedOn w:val="1"/>
    <w:qFormat/>
    <w:uiPriority w:val="34"/>
    <w:pPr>
      <w:ind w:firstLine="420" w:firstLineChars="200"/>
    </w:pPr>
  </w:style>
  <w:style w:type="paragraph" w:customStyle="1" w:styleId="6">
    <w:name w:val="列出段落1"/>
    <w:basedOn w:val="1"/>
    <w:qFormat/>
    <w:uiPriority w:val="0"/>
    <w:pPr>
      <w:ind w:firstLine="420" w:firstLineChars="200"/>
    </w:pPr>
    <w:rPr>
      <w:rFonts w:ascii="Calibri" w:hAnsi="Calibri"/>
      <w:szCs w:val="22"/>
    </w:rPr>
  </w:style>
  <w:style w:type="paragraph" w:customStyle="1" w:styleId="7">
    <w:name w:val="正文格式"/>
    <w:basedOn w:val="1"/>
    <w:qFormat/>
    <w:uiPriority w:val="0"/>
    <w:pPr>
      <w:widowControl/>
      <w:adjustRightInd w:val="0"/>
      <w:snapToGrid w:val="0"/>
      <w:spacing w:line="400" w:lineRule="atLeast"/>
      <w:ind w:firstLine="482"/>
    </w:pPr>
    <w:rPr>
      <w:rFonts w:eastAsia="微软雅黑"/>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5309</Words>
  <Characters>5889</Characters>
  <Lines>0</Lines>
  <Paragraphs>0</Paragraphs>
  <TotalTime>25</TotalTime>
  <ScaleCrop>false</ScaleCrop>
  <LinksUpToDate>false</LinksUpToDate>
  <CharactersWithSpaces>5946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2025-07-15T05:38:00Z</dcterms:created>
  <dc:creator>seewo</dc:creator>
  <cp:lastModifiedBy>Justina</cp:lastModifiedBy>
  <dcterms:modified xsi:type="dcterms:W3CDTF">2025-07-16T03:58:30Z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eyJoZGlkIjoiMDVlNDRhYjk1ZGUzYzc0OWJhNDE5ZGY2OGNiNWE2NzgiLCJ1c2VySWQiOiI0NDk1MjIzODQifQ==</vt:lpwstr>
  </property>
  <property fmtid="{D5CDD505-2E9C-101B-9397-08002B2CF9AE}" pid="4" name="ICV">
    <vt:lpwstr>F1DBD7BC4A574618B0A81803AC9902AA_13</vt:lpwstr>
  </property>
</Properties>
</file>