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965E">
      <w:pPr>
        <w:ind w:firstLine="361" w:firstLineChars="1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株洲市广播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电视台计算机及外联设备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维保服务费</w:t>
      </w:r>
    </w:p>
    <w:p w14:paraId="10AD03E7">
      <w:pPr>
        <w:ind w:firstLine="3253" w:firstLineChars="900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采购需求</w:t>
      </w:r>
    </w:p>
    <w:p w14:paraId="0024A773">
      <w:pPr>
        <w:ind w:firstLine="1470" w:firstLineChars="700"/>
        <w:rPr>
          <w:rFonts w:hint="eastAsia"/>
          <w:lang w:val="en-US" w:eastAsia="zh-CN"/>
        </w:rPr>
      </w:pPr>
    </w:p>
    <w:p w14:paraId="19A07EC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目基本情况</w:t>
      </w:r>
    </w:p>
    <w:p w14:paraId="05F63078">
      <w:pPr>
        <w:numPr>
          <w:ilvl w:val="0"/>
          <w:numId w:val="2"/>
        </w:numPr>
        <w:ind w:left="420" w:leftChars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项目名称：株洲市广播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电视台计算机及外联设备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维保服务采购项目</w:t>
      </w:r>
    </w:p>
    <w:p w14:paraId="5D9C990C">
      <w:pPr>
        <w:numPr>
          <w:ilvl w:val="0"/>
          <w:numId w:val="2"/>
        </w:numPr>
        <w:ind w:left="420" w:leftChars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采购预算限价：4464元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（不含税价）</w:t>
      </w:r>
    </w:p>
    <w:p w14:paraId="215A0F76">
      <w:pPr>
        <w:numPr>
          <w:ilvl w:val="0"/>
          <w:numId w:val="2"/>
        </w:numPr>
        <w:ind w:left="420" w:leftChars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服务时间：一年</w:t>
      </w:r>
    </w:p>
    <w:p w14:paraId="79A5E134">
      <w:pPr>
        <w:numPr>
          <w:ilvl w:val="0"/>
          <w:numId w:val="2"/>
        </w:numPr>
        <w:ind w:left="420" w:leftChars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服务内容：对全台计算机、打印机和复印机等设备提供维保服务。</w:t>
      </w:r>
    </w:p>
    <w:p w14:paraId="720663A4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服务内容</w:t>
      </w:r>
    </w:p>
    <w:p w14:paraId="5BBFDD4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1、全台所有计算机及外联设备硬件故障维护及日常维护(更换墨盒、加碳粉等)；</w:t>
      </w:r>
    </w:p>
    <w:p w14:paraId="6533126D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2、计算机软件故障维护(包括系统安装，系统还原，常用软件安装)；</w:t>
      </w:r>
    </w:p>
    <w:p w14:paraId="466894E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3、网络故障维护及对现有内部局域网络维护、测试，保证所有网络通讯正常；</w:t>
      </w:r>
    </w:p>
    <w:p w14:paraId="6E146AB7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病毒查杀；定期病毒检测，根据采购人的建议进行硬盘检查和清除，如需清除病毒，供应商负责数据备份，清除病毒后发现数据破坏或无法清除病毒时，供应商应负责重新安装操作系统并为用户恢复标准应用软件；</w:t>
      </w:r>
    </w:p>
    <w:p w14:paraId="425DF9C8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5、根据采购人需求提供办公耗材并送货上门，保证正品质量。</w:t>
      </w:r>
    </w:p>
    <w:p w14:paraId="6310857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、硬件维护的范围</w:t>
      </w:r>
    </w:p>
    <w:p w14:paraId="1D93633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（一）电脑、打印机和复印机等各类硬件维护及故障检测。</w:t>
      </w:r>
    </w:p>
    <w:p w14:paraId="3165920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1.对硬件故障进行诊断、维修；</w:t>
      </w:r>
    </w:p>
    <w:p w14:paraId="2390B6EB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2．采购人所需增加或更换的电脑部件，经采购人同意后，可委托成交供应商代购，不另收服务费，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商品价格以采购人审计部门审定价格为准；</w:t>
      </w:r>
    </w:p>
    <w:p w14:paraId="2DBBFC8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3．根据采购人需求，对电脑性能进行分析并做出相应优化；</w:t>
      </w:r>
    </w:p>
    <w:p w14:paraId="029C7A0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4．采购人的电脑部件和其他设备仍在厂家保修期内，成交供应商应征求采购人意见后负责联系相应的代理商维修。</w:t>
      </w:r>
    </w:p>
    <w:p w14:paraId="69DD7B9C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5．所有品牌电脑及外设（打印机、扫描仪等），如果未过保修期，成交供应商提供软硬件维护及检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测服务，若检测结果是硬件损坏则由成交供应商负责联系相应的代理商维修。</w:t>
      </w:r>
    </w:p>
    <w:p w14:paraId="23AD8188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6.定期进行主机内部的灰尘清洁处理。</w:t>
      </w:r>
    </w:p>
    <w:p w14:paraId="151A330A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（二）软件维护范围</w:t>
      </w:r>
    </w:p>
    <w:p w14:paraId="3ED6425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因操作系统出现问题导致机器不能启动或启动异常的，需要重新恢复操作系统的，系统恢复后，完成相应配件（显卡、声卡、网卡、MODEM等）以及外设（打印机、扫描仪、一体机等）的驱动程序的安装调试，保证采购人能正常使用；</w:t>
      </w:r>
    </w:p>
    <w:p w14:paraId="2A0894C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2.负责所有电脑各类系统软件、工具应用软件安装维护；</w:t>
      </w:r>
    </w:p>
    <w:p w14:paraId="517FF737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3.根据采购人要求安装相应的操作系统；</w:t>
      </w:r>
    </w:p>
    <w:p w14:paraId="4CFE927C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4.常用软件故障诊断及恢复、安装、设置、管理、更新；</w:t>
      </w:r>
    </w:p>
    <w:p w14:paraId="03100038"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5.可根据采购人的不同需求实现软件不同功能的组合。</w:t>
      </w:r>
    </w:p>
    <w:p w14:paraId="43C2AD1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四、服务要求</w:t>
      </w:r>
    </w:p>
    <w:p w14:paraId="505E1CB1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成交供应商保证提供24小时保障维修服务，在接到采购人的电话或其它方式通知后，成交供应商必须在45分钟内到达现场，处理故障，对于现场解决不了的问题，应当天内解决或提出解决方案；紧急或应急采购在20分钟内进行响应，特殊情况无法响应经需经采购人同意；</w:t>
      </w:r>
    </w:p>
    <w:p w14:paraId="71C3DE0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2、每月一次上门维护系统，对用户的系统进行优化配置、清尘、调试好应用软件及相关硬件设备，使系统达到更高使用效率；</w:t>
      </w:r>
    </w:p>
    <w:p w14:paraId="39B55F0B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服务费包含电脑部件、耗材更换（如显示器、光驱、软件、板卡等）修理费用，如果相关配件存在故障，需要较高费用解决的，对于保修期内的设备，成交供应商负责联系厂商售后服务，对于超过保修期的，则根据采购人需求推荐相关配件并进行报价，由采购人决定是维修还是直接更换或升级，不另收取服务费。</w:t>
      </w:r>
    </w:p>
    <w:p w14:paraId="1C89577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4、如果因为成交供应商的原因造成硬件损坏，由其照价赔偿；</w:t>
      </w:r>
    </w:p>
    <w:p w14:paraId="4080FA8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5、供应商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未按采购需求/要求进行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维保服务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的，供应商按照每次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元向采购人承担违约金，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达到3次以上的（含3次），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采购人有权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终止服务合作，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供应商须承担由此产生的一切损失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5EF61B9C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6、维修时，成交供应商负责做数据备份，对备份采购人资料、数据的完整性承担责任。</w:t>
      </w:r>
    </w:p>
    <w:p w14:paraId="482151A8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  <w:lang w:val="en-US" w:eastAsia="zh-CN"/>
        </w:rPr>
        <w:t>供应商按耗材配件投标报价进行供货，实际采购项目未列入此次竞价清单的必须按要求及时提供，其定价以采购人审计部门审定价格为准（以京东、天猫、苏宁官网实时市场均价为依据），不得以任何理由拒绝服务，否则终止合同，并由此承担相应后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 w14:paraId="0F5AC143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8、维修人员应技术精湛、经验丰富，能及时处理各种故障。</w:t>
      </w:r>
    </w:p>
    <w:p w14:paraId="4074A404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9、供应商保证所供商品均为全新正品，如商品存在质量问题负责免费退换。</w:t>
      </w:r>
    </w:p>
    <w:p w14:paraId="22477810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10、</w:t>
      </w:r>
      <w:r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合作期间产生的赔偿金、违约金等，采购人有权在待支付服务费中扣除。</w:t>
      </w:r>
    </w:p>
    <w:p w14:paraId="3D2FD20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五、更换耗材配件单价限价明细表</w:t>
      </w:r>
    </w:p>
    <w:tbl>
      <w:tblPr>
        <w:tblW w:w="84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858"/>
        <w:gridCol w:w="631"/>
        <w:gridCol w:w="631"/>
        <w:gridCol w:w="1045"/>
        <w:gridCol w:w="631"/>
      </w:tblGrid>
      <w:tr w14:paraId="56F4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6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株洲市广播电视台2025年办公设备维修耗材限价表</w:t>
            </w:r>
            <w:bookmarkStart w:id="0" w:name="_GoBack"/>
            <w:bookmarkEnd w:id="0"/>
          </w:p>
        </w:tc>
      </w:tr>
      <w:tr w14:paraId="7122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078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商品名称及规格型号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29B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0AA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A90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B44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C68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7DB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复印纸/海报纸(787*1092MM   20张一包)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255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6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238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286D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C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088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高品乐复印纸/A3  70g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(500张一包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04F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75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715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AF6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2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252A0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高品乐复印纸/A4  70g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(500张一包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7AC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3F3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28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87D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4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CEC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高品乐复印纸/A4  80g(500张一包)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62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CCD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91A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62BA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E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E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36D2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蓝鸟复印纸/A4 80g  粉红(500张一包))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631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B38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26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AD9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2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246B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吾信复印纸/A4 70g  大红(500张一包)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3C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47D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3E9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CAC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7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5104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忆捷USB3.0移动硬盘盒 2.5英寸外置硬盘盒【铝合金】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75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E22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478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C86D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8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1B84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2.5英寸硬盘盒SATA串口Type-c高速传输USB3.0笔记本机械固态硬盘外置全透明硬盘盒子6Gbps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5DAE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89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A4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8CB1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C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E7F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东芝移动硬盘/2TB 新小黑a5 usb3.2 可加密 移动硬盘 2TB +防震包+USB原装线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62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81F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717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34EF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9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C4A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东芝移动硬盘/4TB(4000G) 新小黑a5 usb3.2移动硬盘4TB +防震包+USB原装线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F7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70A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7AA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9795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5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9CEC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华硕GT710-SL-2GD5-BRK-EVO显卡/2G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DC5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373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D7F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8159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B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E3A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金士顿固态硬盘/240G   A400  SATA3.0接口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BDB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F61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759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ADC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4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A056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金士顿固态硬盘/480G  A400  SATA3.0接口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50D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87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D5A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BAC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2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74F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金士顿固态硬盘/NV2 1000G M.2NVME   1TB 性价比 PCIe 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99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193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0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4328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3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A6A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金士顿固态硬盘/NV2 2000G M.2NVME   2TB 性价比 PCIe 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0A1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250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E43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A6F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C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D684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金士顿台式机内存条/DDRIIII 16G  Beast野兽系列3200马甲条 2666普条 3200频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5E0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95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6F3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8848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D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F79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金士顿台式机内存条/DDRIIII 8G  Beast野兽系列3200马甲条 2666普条 3200频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69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5F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EC1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458B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8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D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9B2D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金士顿优盘/128G金属(3.0)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52B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197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0D8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3C8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0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E07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晶华国标两插8字尾电源线 八、品字尾电源线1.5米 C123E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755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13F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D95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B454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5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EDE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雷柏无线鼠标/m10plus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07C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80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02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4372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542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力胜鼠标/USB接口(OP-200)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C66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13D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363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0C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F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0278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联想固态硬盘/2280PCIE 256G M.2(SATA) SL700固态宝系列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35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900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327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21B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D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50C6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绿联/mini HDMI高清线2.0转接线 4K 60Hz高清迷你转换线 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884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7A1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E44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4E5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6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0149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绿联/mini HDMI高清线2.0转接线 4K 60Hz高清迷你转换线 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78F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38D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4AB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8C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4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482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绿联/mini HDMI高清线2.0转接线 8K 60Hz高清迷你转换线 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1BE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75B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5F8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0E0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D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6AFD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绿联DP高清线/3米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74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F3F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D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D78D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3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0B1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绿联配件/HDMI分配器/一进二出【4K30Hz】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F5A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57B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C68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3A3E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4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6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60D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绿联配件/HDMI分配器/一进二出【4K60Hz】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82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BD6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02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2441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E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1DF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绿联配件/USB2.0 HUB(四口)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CC6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0CE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ED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AB1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C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1542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绿联配件/USB打印线(3米)镀镍款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603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128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E10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31C8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7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731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绿联配件/USB打印线(5米)镀镍款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35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8CA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A06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CC58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B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A2E5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绿联配件/USB打印线(3米)渡金款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F0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240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6F0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D9D2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BDF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绿联配件/USB打印线(5米)渡金款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920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2A7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A54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B639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6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245A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绿联配件/读卡器30229(支持SD/TF/CF/MS卡)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5D2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C14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DE5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DA89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7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FC04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品胜USB3.0读卡器多功能SD/TF二合一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80F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6A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148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2D48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6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4F3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品胜USB3.2读卡器 TF/SD二合一 USB/Type-C双口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84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53C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86A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FD46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1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D77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清华紫光光盘/DVD-R(50片桶)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2F8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3C5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7A4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028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A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8F60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闪迪SD卡 128G  100mb/s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F9C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DD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2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AC9A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A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31C0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闪迪SD卡 128G  140mb/s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C260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287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A52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B573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1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C95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闪迪TF卡128G  190mb/s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985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07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EAF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971F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8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3F44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闪迪移动硬盘/1T移动固态硬盘(E61)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CA7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61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DE2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74B8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4162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闪迪优盘/32G金属(USB 3.0 CZ73酷铄银色)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24C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FEB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606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B1BC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5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307E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双飞燕鼠标/OP-520NU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104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B8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E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FB3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D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4A46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水星网卡/UM150US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26A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9E6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C62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C1D2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5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F46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西数笔记本硬盘/1TB(1000G)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63C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09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97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25F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8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04EA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西数移动硬盘/8TB(8000G)USB3.0 桌面存储 My Book 3.5英寸企业级办公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BD0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785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2B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D9E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3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4DF4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希捷铭移动硬盘/2TB  USB3.0高速2.5英寸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3EE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3D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F3D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67C8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5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E41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希捷铭移动硬盘/4TB  USB3.0高速2.5英寸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3AD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792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777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A78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1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0B5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希捷台式机硬盘/1TB(1000G)7200转酷鱼系列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4C8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6E1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B8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BB43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2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D4E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希捷硬盘/台式机机械4TB(酷鱼系列  5400转)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F9D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4A5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E7E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347F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5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DA26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忆捷U盘 32GB Type-C USB3.2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5DE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643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9F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E270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B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E6C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忆捷U盘 64GB Type-C USB3.2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9A0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FEB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8B0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703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6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B40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忆捷U盘 128GB Type-C USB3.2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A3F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113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5B3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7029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1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920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TP-link网线/TL-EC5e-305A 0.5芯无氧铜超五类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7EE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55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833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4656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A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D1A5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奔图7105DN双面器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02B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8F4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E7F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4BE4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6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9F1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奔图国产碳粉盒/CTL-205HK金光红版(CP2505DN)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4C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7B5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E2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041C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7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7CF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奔图国产碳粉盒/CTL-205HM金光红版(CP2505DN)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27F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20D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7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4F6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D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3DE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奔图配件/显影组件(cdo-205dm红色)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E1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733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16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F502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F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F89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奔图原装碳粉盒/CTL-205HK金光红版(CP2505DN)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8EF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43F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E7E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FD2E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8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39E8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搓纸轮(惠普1020)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5B0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DD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78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0E2D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2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1345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打印机离合器 （惠普1108/1136/1213/1216/1008）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977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2C5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E37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7270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5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74A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富士施乐配件/2350定影组件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AF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9F2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49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1,238.9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7D67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E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86BF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高宝色带/LQ630/635K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B0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516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827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7BB6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5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288C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惠普400定影组件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72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80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40B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3F0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B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152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机箱开关线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B8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777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CDB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810E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B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D81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柯美C227/287/367/SK-602(装订针)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73B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34E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7AC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19A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4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25CC1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柯尼卡美能达配件/287臭氧过滤器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71F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96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68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246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8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BAAC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柯尼卡美能达配件/287碳粉过滤器(A7AHR726FR)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3C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DBD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35A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1314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C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7F9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柯尼卡美能达配件/A7AHR72900(BH287转印辊)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B66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60E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B6B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2803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9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E09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柯尼卡美能达显影组件/DV312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1D0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FEE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CA5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1,327.4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BC82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2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2CA58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柯尼卡美能达原装碳粉/TN323(B227/287/367/7528)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145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E20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AF4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C3F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6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4B6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莱盛碳粉/HP1010/1020/3050/佳能2900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E2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534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831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AC68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2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5983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莱盛碳粉/兄弟2215/2040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B80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3F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205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A50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6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38A7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兰韵碳粉/HP1010/1020/3050/佳能2900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195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2D7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26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A13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4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8A2F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兰韵碳粉盒/CF230 带芯片(HP M203DW)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CF5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329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5BE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16C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7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0881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兰韵碳粉盒/联想2451/7405(2605/7455/7675/7605/7655/兄弟2350)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6BF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116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EB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DD02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2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7ECB8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兰韵硒鼓/HP2612A/2900/HP1010/HP1020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A0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D9C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9DB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31D8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B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58F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兰韵硒鼓/HP278/328(1566机器)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84F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0E0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F7F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ADA8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0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65B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兰韵硒鼓/HP278/328(1566机器)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5E9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5DF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B3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6E84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D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72B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兰韵硒鼓/HP388A/HP1007/HP1008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264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156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5E3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98A2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A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D58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兰韵硒鼓/HP388A/HP1007/HP1008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5D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4A5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499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650B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6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81F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兰韵硒鼓/HP388A/HP1007/HP1008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6F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919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AE2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C68F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1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F79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兰韵硒鼓/惠普CF232A/CRG051鼓架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4C0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EC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3C2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916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9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F65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兰韵硒鼓/兄弟2451(2260/2700/2560/7080/7180/7380/7480/7880)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0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82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FB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9F0D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7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E418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雷盛装订机/JD-1300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EA4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30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44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B70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A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669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施乐原装碳粉盒/2350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BF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179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F16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47E7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0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12A2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天威碳粉/HP388/1505/1007/1008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796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A5B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A44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159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9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D8D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湘瀚粉盒/惠普CF230A/051粉盒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B6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128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227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0E78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5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A65C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湘瀚碳粉/HP230/203/218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C38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67C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E61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6C9F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3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F4F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湘瀚碳粉盒/兄弟2350(2260/2700/2560/7080/7180/7380/7480/7880)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9B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E42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629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9C34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1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562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湘瀚硒鼓/CF219D(HP132)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E67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730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E3B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A224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8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E8F7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湘瀚硒鼓/HP2612A/2900/HP1010/HP1020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8C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3CA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C6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C8DC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C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AA73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湘瀚硒鼓/HP280易加粉(HP400/401机器)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0D7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385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B76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84BD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F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E81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湘瀚硒鼓/HP388A/1213/HP1106/HP1108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B90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ECF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3D3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204D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0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2360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湘瀚硒鼓/TN2115粉盒(兄弟2140/2150/7340/2200/2250/7225)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570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3E4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9AC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6A70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F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3B9A4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湘瀚硒鼓/惠普CF232A/CRG051鼓架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0405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3D7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FA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06E4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8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48456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湘瀚硒鼓/惠普CF400A 黑色(HP252N/277N)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5353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C84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5B9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34D9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D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17A51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兄弟原装碳粉盒/B020/7530/7500/7535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C2A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D04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5D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5187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3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623F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原装搓纸轮(惠普1008)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632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325F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CD2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83E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5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5D7C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原装搓纸轮(惠普1020)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448B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05B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AA2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A2C2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2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 w14:paraId="00D30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震旦国产硒鼓/ADDT-209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7C5B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63DC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1C1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 w14:paraId="2D890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36465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6D2AA9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DFDD297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FAD9AE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621072B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C94C850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报价要求</w:t>
      </w:r>
    </w:p>
    <w:p w14:paraId="4EAFDD03">
      <w:pPr>
        <w:numPr>
          <w:ilvl w:val="0"/>
          <w:numId w:val="4"/>
        </w:numPr>
        <w:ind w:left="451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投标供应商报价不得超预算限价；</w:t>
      </w:r>
    </w:p>
    <w:p w14:paraId="26021B13">
      <w:pPr>
        <w:numPr>
          <w:ilvl w:val="0"/>
          <w:numId w:val="4"/>
        </w:numPr>
        <w:ind w:left="451" w:leftChars="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134620</wp:posOffset>
                </wp:positionV>
                <wp:extent cx="102870" cy="81915"/>
                <wp:effectExtent l="11430" t="12065" r="22860" b="12700"/>
                <wp:wrapNone/>
                <wp:docPr id="1026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69" cy="81914"/>
                        </a:xfrm>
                        <a:prstGeom prst="triangle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2D54A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等腰三角形 1" o:spid="_x0000_s1026" o:spt="5" type="#_x0000_t5" style="position:absolute;left:0pt;margin-left:37.35pt;margin-top:10.6pt;height:6.45pt;width:8.1pt;z-index:251659264;mso-width-relative:page;mso-height-relative:page;" fillcolor="#000000" filled="t" stroked="t" coordsize="21600,21600" o:gfxdata="UEsDBAoAAAAAAIdO4kAAAAAAAAAAAAAAAAAEAAAAZHJzL1BLAwQUAAAACACHTuJAwbKpL9cAAAAH&#10;AQAADwAAAGRycy9kb3ducmV2LnhtbE2OUUvDMBSF3wX/Q7iCL+KSxuFc7e3QwcCHMXD6A+6a2Bab&#10;m9Kk27pfb3zSx8M5fOcrVmfXiaMdQusZIZspEJYrb1quET4/NvdPIEIkNtR5tgiTDbAqr68Kyo0/&#10;8bs97mMtEoRDTghNjH0uZaga6yjMfG85dV9+cBRTHGppBjoluOukVupROmo5PTTU23Vjq+/96BA2&#10;L/2rXu+2dxdnWrqMfnrb6gnx9iZTzyCiPce/MfzqJ3Uok9PBj2yC6BAW80VaIuhMg0j9Ui1BHBAe&#10;5hnIspD//csfUEsDBBQAAAAIAIdO4kCzWDPA7gEAAM0DAAAOAAAAZHJzL2Uyb0RvYy54bWytU81u&#10;EzEQviPxDpbvZDdRCe0qmwoRlQuCSoUHmHi9u5b8J4+bTR6AQ688AhdOSBy58DYg+hiMvSFtyqUH&#10;9mDP2DPfzPd5dnG+NZptZEDlbM2nk5IzaYVrlO1q/uH9xbNTzjCCbUA7K2u+k8jPl0+fLAZfyZnr&#10;nW5kYARisRp8zfsYfVUUKHppACfOS0uXrQsGIrmhK5oAA6EbXczKcl4MLjQ+OCER6XQ1XvI9YngM&#10;oGtbJeTKiWsjbRxRg9QQiRL2yiNf5m7bVor4rm1RRqZrTkxjXqkI2eu0FssFVF0A3yuxbwEe08ID&#10;TgaUpaIHqBVEYNdB/QNllAgOXRsnwpliJJIVIRbT8oE2Vz14mbmQ1OgPouP/gxVvN5eBqYYmoZzN&#10;ObNg6M1/f725/fjt5/eb2y+ffv34zKZJp8FjReFX/jLsPSQzkd62waSd6LBt1nZ30FZuIxN0SPCn&#10;8zPOBF2dTs+mJwmyuMv1AeNr6QxLRs1jUGA7ndhDBZs3GMfwv2HpGJ1WzYXSOjuhW7/SgW0gvXT+&#10;9hWOwrRlAzUze1HSBAig+W1pbsg0njRA2+WCRyl4H3m2en7yMo8N9X4UljpbAfZjB/kqNQCVUVEm&#10;xShBW9qSjqNyyVq7ZpcFzef0yjlwP5FpjO77OfvuL1z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GyqS/XAAAABwEAAA8AAAAAAAAAAQAgAAAAIgAAAGRycy9kb3ducmV2LnhtbFBLAQIUABQAAAAI&#10;AIdO4kCzWDPA7gEAAM0DAAAOAAAAAAAAAAEAIAAAACYBAABkcnMvZTJvRG9jLnhtbFBLBQYAAAAA&#10;BgAGAFkBAACGBQAAAAA=&#10;" adj="10800">
                <v:fill on="t" focussize="0,0"/>
                <v:stroke weight="1pt" color="#2D54A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耗材配件报价=单价限价*维保服务费投标报价/维保服务费预算*100%，以此报价按实结算。</w:t>
      </w:r>
    </w:p>
    <w:p w14:paraId="58216CA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七、保密要求</w:t>
      </w:r>
    </w:p>
    <w:p w14:paraId="6B934F0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成交供应商承诺严格遵守国家关于隐私方面的所有法律法规，绝对保密任何有关采购人的资料。</w:t>
      </w:r>
    </w:p>
    <w:p w14:paraId="4B44407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八、结算方式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 w14:paraId="5D24DF52"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全台共有电脑310台，打印机68台，服务期间，计算机、打印机等设备数量增加或减少，合同维保服务费用不变。服务期限自合同签订之日起一年，维保费每半年支付一次，服务期满半年后，成交供应商凭税务正规增值税专用发票办理支付手续；</w:t>
      </w:r>
    </w:p>
    <w:p w14:paraId="79DD057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2、办公耗材按实计算，结算金额以采购人审计部门审定金额为准，成交供应商凭税务正规增值税专用发票每月按实结算。</w:t>
      </w:r>
    </w:p>
    <w:p w14:paraId="156DE5F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八、上传资料</w:t>
      </w:r>
    </w:p>
    <w:p w14:paraId="1D164ABB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1、公司营业执照复印件盖公章；</w:t>
      </w:r>
    </w:p>
    <w:p w14:paraId="3F422C35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2、耗材分项报价表；</w:t>
      </w:r>
    </w:p>
    <w:p w14:paraId="18857911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3、服务承诺书。</w:t>
      </w:r>
    </w:p>
    <w:p w14:paraId="2AE3241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九、其他事项</w:t>
      </w:r>
    </w:p>
    <w:p w14:paraId="53053A32"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1、成交供应商应在接到成交通知书3日内与采购人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联系</w:t>
      </w:r>
      <w:r>
        <w:rPr>
          <w:rFonts w:hint="eastAsia" w:ascii="仿宋" w:hAnsi="仿宋" w:eastAsia="仿宋"/>
          <w:color w:val="000000"/>
          <w:sz w:val="28"/>
          <w:szCs w:val="28"/>
        </w:rPr>
        <w:t>签订合同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事宜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 w14:paraId="5D0F7D15"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2、中标人不得采用转包、分包的形式履行合同，否则采购人有权终止合同</w:t>
      </w:r>
      <w:r>
        <w:rPr>
          <w:rFonts w:hint="default" w:ascii="仿宋" w:hAnsi="仿宋" w:eastAsia="仿宋"/>
          <w:color w:val="000000"/>
          <w:sz w:val="28"/>
          <w:szCs w:val="28"/>
          <w:lang w:val="en-US"/>
        </w:rPr>
        <w:t>，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/>
        </w:rPr>
        <w:t>不予支付已发生服务费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 w14:paraId="3C795FA0"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3、成交供应商应对因本方单方面原因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违约</w:t>
      </w:r>
      <w:r>
        <w:rPr>
          <w:rFonts w:hint="eastAsia" w:ascii="仿宋" w:hAnsi="仿宋" w:eastAsia="仿宋"/>
          <w:color w:val="000000"/>
          <w:sz w:val="28"/>
          <w:szCs w:val="28"/>
        </w:rPr>
        <w:t>给采购人造成的损失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须承担</w:t>
      </w:r>
      <w:r>
        <w:rPr>
          <w:rFonts w:hint="eastAsia" w:ascii="仿宋" w:hAnsi="仿宋" w:eastAsia="仿宋"/>
          <w:color w:val="000000"/>
          <w:sz w:val="28"/>
          <w:szCs w:val="28"/>
        </w:rPr>
        <w:t>赔偿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责任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 w14:paraId="0991F176">
      <w:pPr>
        <w:numPr>
          <w:ilvl w:val="0"/>
          <w:numId w:val="0"/>
        </w:numPr>
        <w:tabs>
          <w:tab w:val="left" w:pos="1877"/>
        </w:tabs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162560</wp:posOffset>
                </wp:positionV>
                <wp:extent cx="190500" cy="88265"/>
                <wp:effectExtent l="16510" t="8890" r="21590" b="9525"/>
                <wp:wrapNone/>
                <wp:docPr id="1027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8265"/>
                        </a:xfrm>
                        <a:prstGeom prst="triangle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2D54A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等腰三角形 3" o:spid="_x0000_s1026" o:spt="5" type="#_x0000_t5" style="position:absolute;left:0pt;margin-left:74.15pt;margin-top:12.8pt;height:6.95pt;width:15pt;z-index:251659264;mso-width-relative:page;mso-height-relative:page;" fillcolor="#000000" filled="t" stroked="t" coordsize="21600,21600" o:gfxdata="UEsDBAoAAAAAAIdO4kAAAAAAAAAAAAAAAAAEAAAAZHJzL1BLAwQUAAAACACHTuJAaTkYp9gAAAAJ&#10;AQAADwAAAGRycy9kb3ducmV2LnhtbE2PwW7CMAyG75N4h8hIu0yQUgZjXVO0ISHtgJCAPYBpvLZa&#10;41RNCpSnX3rajr/96ffndH0ztbhQ6yrLCmbTCARxbnXFhYKv03ayAuE8ssbaMinoycE6Gz2kmGh7&#10;5QNdjr4QoYRdggpK75tESpeXZNBNbUMcdt+2NehDbAupW7yGclPLOIqW0mDF4UKJDW1Kyn+OnVGw&#10;fW8+4s1+93Q3usJ7Z/vPXdwr9TieRW8gPN38HwyDflCHLDidbcfaiTrk59U8oArixRLEALwMg7OC&#10;+esCZJbK/x9kv1BLAwQUAAAACACHTuJAr6Z2Qu0BAADNAwAADgAAAGRycy9lMm9Eb2MueG1srVNN&#10;btQwFN4jcQfLeyaZwLRDNJkKEZUNgkqFA3gcJ7HkP/m5k5kDsOiWI7BhhcSyG24Dosfg2QnTTtl0&#10;QRa2n/38ve/7/LI622lFtsKDtKai81lOiTDcNtJ0Ff344fzZkhIIzDRMWSMquhdAz9ZPn6wGV4rC&#10;9lY1whMEMVAOrqJ9CK7MMuC90Axm1gmDh631mgUMfZc1ng2IrlVW5PlJNljfOG+5AMDdejykE6J/&#10;DKBtW8lFbfmVFiaMqF4oFlAS9NIBXSe2bSt4eN+2IAJRFUWlIY1YBNebOGbrFSs7z1wv+USBPYbC&#10;A02aSYNFD1A1C4xcefkPlJbcW7BtmHGrs1FIcgRVzPMH3lz2zImkBa0GdzAd/h8sf7e98EQ22Al5&#10;cUqJYRrf/Pe369tP33/eXN9+/fzrxxfyPPo0OCgx/dJd+CkCXEbRu9brOKMcskve7g/eil0gHDfn&#10;L/NFjq5zPFoui5NFhMzu7joP4Y2wmsRFRYOXzHQqqmcl276FMKb/TYvbYJVszqVSKfDd5rXyZMvi&#10;S6dvqnCUpgwZkExxmrgw7N8W+wZpaYcegOlSwaMrcB+5qBcvXqW2Qe5HaZFZzaAfGaSjSICVWgYR&#10;HcMLyuAUfRydi6uNbfbJ0LSPr5wSp46MbXQ/Trfv/sL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k5GKfYAAAACQEAAA8AAAAAAAAAAQAgAAAAIgAAAGRycy9kb3ducmV2LnhtbFBLAQIUABQAAAAI&#10;AIdO4kCvpnZC7QEAAM0DAAAOAAAAAAAAAAEAIAAAACcBAABkcnMvZTJvRG9jLnhtbFBLBQYAAAAA&#10;BgAGAFkBAACGBQAAAAA=&#10;" adj="10800">
                <v:fill on="t" focussize="0,0"/>
                <v:stroke weight="1pt" color="#2D54A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4、标“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”部份为实质性响应条件，必须满足。</w:t>
      </w:r>
    </w:p>
    <w:p w14:paraId="1E200FD5">
      <w:pPr>
        <w:numPr>
          <w:ilvl w:val="0"/>
          <w:numId w:val="0"/>
        </w:numPr>
        <w:tabs>
          <w:tab w:val="left" w:pos="1877"/>
        </w:tabs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 w14:paraId="2EF09094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4937B59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578A8A7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0D901CC5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BD4BD0A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FC0DDE6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451" w:leftChars="0" w:firstLine="0" w:firstLineChars="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YmUwMTVjNWIxNmI2ZjgzNzgxNGZlNDkwNTJmOWUifQ=="/>
  </w:docVars>
  <w:rsids>
    <w:rsidRoot w:val="00000000"/>
    <w:rsid w:val="021308D3"/>
    <w:rsid w:val="06127C3D"/>
    <w:rsid w:val="09BB6819"/>
    <w:rsid w:val="0A4D628D"/>
    <w:rsid w:val="151451B2"/>
    <w:rsid w:val="177F771A"/>
    <w:rsid w:val="30C03399"/>
    <w:rsid w:val="40E47F0A"/>
    <w:rsid w:val="55264138"/>
    <w:rsid w:val="57521214"/>
    <w:rsid w:val="577E7B19"/>
    <w:rsid w:val="61C52A89"/>
    <w:rsid w:val="71915DBC"/>
    <w:rsid w:val="71B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1514</Words>
  <Characters>1531</Characters>
  <Paragraphs>776</Paragraphs>
  <TotalTime>14</TotalTime>
  <ScaleCrop>false</ScaleCrop>
  <LinksUpToDate>false</LinksUpToDate>
  <CharactersWithSpaces>1531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cw1</dc:creator>
  <cp:lastModifiedBy>cw1</cp:lastModifiedBy>
  <cp:lastPrinted>2024-01-30T07:35:00Z</cp:lastPrinted>
  <dcterms:modified xsi:type="dcterms:W3CDTF">2025-03-26T08:02:12Z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C303A12784B84535875428F23FD45079_13</vt:lpwstr>
  </property>
  <property fmtid="{D5CDD505-2E9C-101B-9397-08002B2CF9AE}" pid="4" name="KSOTemplateDocerSaveRecord">
    <vt:lpwstr>eyJoZGlkIjoiYjE0YmUwMTVjNWIxNmI2ZjgzNzgxNGZlNDkwNTJmOWUifQ==</vt:lpwstr>
  </property>
</Properties>
</file>