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E36EC8">
      <w:pPr>
        <w:jc w:val="left"/>
        <w:rPr>
          <w:highlight w:val="none"/>
        </w:rPr>
      </w:pPr>
      <w:bookmarkStart w:id="0" w:name="_GoBack"/>
      <w:bookmarkEnd w:id="0"/>
    </w:p>
    <w:p w14:paraId="40725149">
      <w:pPr>
        <w:keepNext w:val="0"/>
        <w:keepLines w:val="0"/>
        <w:pageBreakBefore w:val="0"/>
        <w:kinsoku/>
        <w:overflowPunct/>
        <w:topLinePunct w:val="0"/>
        <w:autoSpaceDE/>
        <w:autoSpaceDN/>
        <w:bidi w:val="0"/>
        <w:spacing w:line="560" w:lineRule="exact"/>
        <w:textAlignment w:val="auto"/>
        <w:outlineLvl w:val="0"/>
        <w:rPr>
          <w:rFonts w:hint="eastAsia" w:ascii="宋体" w:hAnsi="宋体" w:eastAsia="宋体" w:cs="宋体"/>
          <w:color w:val="000000" w:themeColor="text1"/>
          <w:sz w:val="32"/>
          <w:szCs w:val="32"/>
          <w:highlight w:val="none"/>
          <w14:textFill>
            <w14:solidFill>
              <w14:schemeClr w14:val="tx1"/>
            </w14:solidFill>
          </w14:textFill>
        </w:rPr>
      </w:pPr>
    </w:p>
    <w:p w14:paraId="52105338">
      <w:pPr>
        <w:keepNext w:val="0"/>
        <w:keepLines w:val="0"/>
        <w:pageBreakBefore w:val="0"/>
        <w:kinsoku/>
        <w:overflowPunct/>
        <w:topLinePunct w:val="0"/>
        <w:autoSpaceDE/>
        <w:autoSpaceDN/>
        <w:bidi w:val="0"/>
        <w:spacing w:line="560" w:lineRule="exact"/>
        <w:textAlignment w:val="auto"/>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         </w:t>
      </w:r>
    </w:p>
    <w:p w14:paraId="2C92859C">
      <w:pPr>
        <w:keepNext w:val="0"/>
        <w:keepLines w:val="0"/>
        <w:pageBreakBefore w:val="0"/>
        <w:kinsoku/>
        <w:overflowPunct/>
        <w:topLinePunct w:val="0"/>
        <w:autoSpaceDE/>
        <w:autoSpaceDN/>
        <w:bidi w:val="0"/>
        <w:spacing w:line="560" w:lineRule="exact"/>
        <w:jc w:val="center"/>
        <w:textAlignment w:val="auto"/>
        <w:rPr>
          <w:rFonts w:hint="eastAsia" w:ascii="宋体" w:hAnsi="宋体" w:eastAsia="宋体" w:cs="宋体"/>
          <w:b/>
          <w:bCs/>
          <w:color w:val="000000" w:themeColor="text1"/>
          <w:sz w:val="44"/>
          <w:szCs w:val="44"/>
          <w:highlight w:val="none"/>
          <w:u w:val="none"/>
          <w:lang w:val="en-US" w:eastAsia="zh-CN"/>
          <w14:textFill>
            <w14:solidFill>
              <w14:schemeClr w14:val="tx1"/>
            </w14:solidFill>
          </w14:textFill>
        </w:rPr>
      </w:pPr>
      <w:r>
        <w:rPr>
          <w:rFonts w:hint="eastAsia" w:ascii="宋体" w:hAnsi="宋体" w:eastAsia="宋体" w:cs="宋体"/>
          <w:b/>
          <w:bCs/>
          <w:color w:val="000000" w:themeColor="text1"/>
          <w:sz w:val="44"/>
          <w:szCs w:val="44"/>
          <w:highlight w:val="none"/>
          <w:u w:val="none"/>
          <w:lang w:val="en-US" w:eastAsia="zh-CN"/>
          <w14:textFill>
            <w14:solidFill>
              <w14:schemeClr w14:val="tx1"/>
            </w14:solidFill>
          </w14:textFill>
        </w:rPr>
        <w:t>株洲市妇幼保健院</w:t>
      </w:r>
    </w:p>
    <w:p w14:paraId="03B68B10">
      <w:pPr>
        <w:keepNext w:val="0"/>
        <w:keepLines w:val="0"/>
        <w:pageBreakBefore w:val="0"/>
        <w:kinsoku/>
        <w:overflowPunct/>
        <w:topLinePunct w:val="0"/>
        <w:autoSpaceDE/>
        <w:autoSpaceDN/>
        <w:bidi w:val="0"/>
        <w:spacing w:line="560" w:lineRule="exact"/>
        <w:jc w:val="both"/>
        <w:textAlignment w:val="auto"/>
        <w:rPr>
          <w:rFonts w:hint="eastAsia" w:ascii="宋体" w:hAnsi="宋体" w:eastAsia="宋体" w:cs="宋体"/>
          <w:b/>
          <w:bCs/>
          <w:color w:val="000000" w:themeColor="text1"/>
          <w:sz w:val="44"/>
          <w:szCs w:val="44"/>
          <w:highlight w:val="none"/>
          <w:u w:val="none"/>
          <w:lang w:val="en-US" w:eastAsia="zh-CN"/>
          <w14:textFill>
            <w14:solidFill>
              <w14:schemeClr w14:val="tx1"/>
            </w14:solidFill>
          </w14:textFill>
        </w:rPr>
      </w:pPr>
      <w:r>
        <w:rPr>
          <w:rFonts w:hint="eastAsia" w:ascii="宋体" w:hAnsi="宋体" w:eastAsia="宋体" w:cs="宋体"/>
          <w:b/>
          <w:bCs/>
          <w:color w:val="000000" w:themeColor="text1"/>
          <w:sz w:val="44"/>
          <w:szCs w:val="44"/>
          <w:highlight w:val="none"/>
          <w:u w:val="none"/>
          <w:lang w:val="en-US" w:eastAsia="zh-CN"/>
          <w14:textFill>
            <w14:solidFill>
              <w14:schemeClr w14:val="tx1"/>
            </w14:solidFill>
          </w14:textFill>
        </w:rPr>
        <w:t>示范性托育服务中心装饰装修设计、造价</w:t>
      </w:r>
    </w:p>
    <w:p w14:paraId="46A6076F">
      <w:pPr>
        <w:keepNext w:val="0"/>
        <w:keepLines w:val="0"/>
        <w:pageBreakBefore w:val="0"/>
        <w:kinsoku/>
        <w:overflowPunct/>
        <w:topLinePunct w:val="0"/>
        <w:autoSpaceDE/>
        <w:autoSpaceDN/>
        <w:bidi w:val="0"/>
        <w:spacing w:line="560" w:lineRule="exact"/>
        <w:jc w:val="center"/>
        <w:textAlignment w:val="auto"/>
        <w:rPr>
          <w:rFonts w:hint="eastAsia" w:ascii="宋体" w:hAnsi="宋体" w:eastAsia="宋体" w:cs="宋体"/>
          <w:b/>
          <w:color w:val="000000" w:themeColor="text1"/>
          <w:sz w:val="44"/>
          <w:szCs w:val="44"/>
          <w:highlight w:val="none"/>
          <w:u w:val="none"/>
          <w:lang w:eastAsia="zh-CN"/>
          <w14:textFill>
            <w14:solidFill>
              <w14:schemeClr w14:val="tx1"/>
            </w14:solidFill>
          </w14:textFill>
        </w:rPr>
      </w:pPr>
      <w:r>
        <w:rPr>
          <w:rFonts w:hint="eastAsia" w:ascii="宋体" w:hAnsi="宋体" w:eastAsia="宋体" w:cs="宋体"/>
          <w:b/>
          <w:bCs/>
          <w:color w:val="000000" w:themeColor="text1"/>
          <w:sz w:val="44"/>
          <w:szCs w:val="44"/>
          <w:highlight w:val="none"/>
          <w:u w:val="none"/>
          <w:lang w:val="en-US" w:eastAsia="zh-CN"/>
          <w14:textFill>
            <w14:solidFill>
              <w14:schemeClr w14:val="tx1"/>
            </w14:solidFill>
          </w14:textFill>
        </w:rPr>
        <w:t>咨询服务竞价文件</w:t>
      </w:r>
    </w:p>
    <w:p w14:paraId="0076E4F8">
      <w:pPr>
        <w:pStyle w:val="7"/>
        <w:rPr>
          <w:rFonts w:hint="eastAsia"/>
          <w:highlight w:val="none"/>
        </w:rPr>
      </w:pPr>
    </w:p>
    <w:p w14:paraId="69394C8F">
      <w:pPr>
        <w:keepNext w:val="0"/>
        <w:keepLines w:val="0"/>
        <w:pageBreakBefore w:val="0"/>
        <w:kinsoku/>
        <w:overflowPunct/>
        <w:topLinePunct w:val="0"/>
        <w:autoSpaceDE/>
        <w:autoSpaceDN/>
        <w:bidi w:val="0"/>
        <w:spacing w:line="560" w:lineRule="exact"/>
        <w:jc w:val="center"/>
        <w:textAlignment w:val="auto"/>
        <w:rPr>
          <w:rFonts w:hint="eastAsia" w:ascii="宋体" w:hAnsi="宋体" w:eastAsia="宋体" w:cs="宋体"/>
          <w:color w:val="000000" w:themeColor="text1"/>
          <w:sz w:val="32"/>
          <w:szCs w:val="32"/>
          <w:highlight w:val="none"/>
          <w:lang w:val="en-US" w:eastAsia="zh-CN"/>
          <w14:textFill>
            <w14:solidFill>
              <w14:schemeClr w14:val="tx1"/>
            </w14:solidFill>
          </w14:textFill>
        </w:rPr>
      </w:pPr>
    </w:p>
    <w:p w14:paraId="2572A573">
      <w:pPr>
        <w:pStyle w:val="7"/>
        <w:ind w:left="3298" w:leftChars="504" w:hanging="2240" w:hangingChars="700"/>
        <w:rPr>
          <w:rFonts w:hint="eastAsia" w:ascii="宋体" w:hAnsi="宋体" w:eastAsia="宋体" w:cs="宋体"/>
          <w:color w:val="000000" w:themeColor="text1"/>
          <w:sz w:val="32"/>
          <w:szCs w:val="32"/>
          <w:highlight w:val="none"/>
          <w:lang w:val="en-US" w:eastAsia="zh-CN"/>
          <w14:textFill>
            <w14:solidFill>
              <w14:schemeClr w14:val="tx1"/>
            </w14:solidFill>
          </w14:textFill>
        </w:rPr>
      </w:pPr>
      <w:r>
        <w:rPr>
          <w:rFonts w:hint="eastAsia" w:ascii="宋体" w:hAnsi="宋体" w:eastAsia="宋体" w:cs="宋体"/>
          <w:color w:val="000000" w:themeColor="text1"/>
          <w:sz w:val="32"/>
          <w:szCs w:val="32"/>
          <w:highlight w:val="none"/>
          <w:lang w:val="en-US" w:eastAsia="zh-CN"/>
          <w14:textFill>
            <w14:solidFill>
              <w14:schemeClr w14:val="tx1"/>
            </w14:solidFill>
          </w14:textFill>
        </w:rPr>
        <w:t>采购项目名称：株洲市妇幼保健院示范性托育服务</w:t>
      </w:r>
    </w:p>
    <w:p w14:paraId="7CFBC6DE">
      <w:pPr>
        <w:pStyle w:val="7"/>
        <w:ind w:firstLine="2880" w:firstLineChars="900"/>
        <w:rPr>
          <w:rFonts w:hint="eastAsia" w:ascii="宋体" w:hAnsi="宋体" w:eastAsia="宋体" w:cs="宋体"/>
          <w:color w:val="000000" w:themeColor="text1"/>
          <w:sz w:val="32"/>
          <w:szCs w:val="32"/>
          <w:highlight w:val="none"/>
          <w:lang w:val="en-US" w:eastAsia="zh-CN"/>
          <w14:textFill>
            <w14:solidFill>
              <w14:schemeClr w14:val="tx1"/>
            </w14:solidFill>
          </w14:textFill>
        </w:rPr>
      </w:pPr>
      <w:r>
        <w:rPr>
          <w:rFonts w:hint="eastAsia" w:ascii="宋体" w:hAnsi="宋体" w:eastAsia="宋体" w:cs="宋体"/>
          <w:color w:val="000000" w:themeColor="text1"/>
          <w:sz w:val="32"/>
          <w:szCs w:val="32"/>
          <w:highlight w:val="none"/>
          <w:lang w:val="en-US" w:eastAsia="zh-CN"/>
          <w14:textFill>
            <w14:solidFill>
              <w14:schemeClr w14:val="tx1"/>
            </w14:solidFill>
          </w14:textFill>
        </w:rPr>
        <w:t>中心装饰装修设计、造价咨询服务</w:t>
      </w:r>
    </w:p>
    <w:p w14:paraId="1F64D032">
      <w:pPr>
        <w:rPr>
          <w:rFonts w:hint="default"/>
          <w:highlight w:val="none"/>
          <w:lang w:val="en-US" w:eastAsia="zh-CN"/>
        </w:rPr>
      </w:pPr>
      <w:r>
        <w:rPr>
          <w:rFonts w:hint="eastAsia" w:ascii="宋体" w:hAnsi="宋体" w:eastAsia="宋体" w:cs="宋体"/>
          <w:color w:val="000000" w:themeColor="text1"/>
          <w:sz w:val="32"/>
          <w:szCs w:val="32"/>
          <w:highlight w:val="none"/>
          <w:lang w:val="en-US" w:eastAsia="zh-CN"/>
          <w14:textFill>
            <w14:solidFill>
              <w14:schemeClr w14:val="tx1"/>
            </w14:solidFill>
          </w14:textFill>
        </w:rPr>
        <w:t xml:space="preserve">       采   购   人：株洲市妇幼保健院</w:t>
      </w:r>
    </w:p>
    <w:p w14:paraId="66D51195">
      <w:pPr>
        <w:keepNext w:val="0"/>
        <w:keepLines w:val="0"/>
        <w:pageBreakBefore w:val="0"/>
        <w:kinsoku/>
        <w:overflowPunct/>
        <w:topLinePunct w:val="0"/>
        <w:autoSpaceDE/>
        <w:autoSpaceDN/>
        <w:bidi w:val="0"/>
        <w:spacing w:line="56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1DB8FAE9">
      <w:pPr>
        <w:keepNext w:val="0"/>
        <w:keepLines w:val="0"/>
        <w:pageBreakBefore w:val="0"/>
        <w:kinsoku/>
        <w:overflowPunct/>
        <w:topLinePunct w:val="0"/>
        <w:autoSpaceDE/>
        <w:autoSpaceDN/>
        <w:bidi w:val="0"/>
        <w:spacing w:line="560" w:lineRule="exact"/>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4B30BA1E">
      <w:pPr>
        <w:keepNext w:val="0"/>
        <w:keepLines w:val="0"/>
        <w:pageBreakBefore w:val="0"/>
        <w:kinsoku/>
        <w:overflowPunct/>
        <w:topLinePunct w:val="0"/>
        <w:autoSpaceDE/>
        <w:autoSpaceDN/>
        <w:bidi w:val="0"/>
        <w:spacing w:line="560" w:lineRule="exact"/>
        <w:jc w:val="both"/>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32F13B15">
      <w:pPr>
        <w:keepNext w:val="0"/>
        <w:keepLines w:val="0"/>
        <w:pageBreakBefore w:val="0"/>
        <w:widowControl w:val="0"/>
        <w:kinsoku/>
        <w:wordWrap w:val="0"/>
        <w:overflowPunct/>
        <w:topLinePunct w:val="0"/>
        <w:autoSpaceDE/>
        <w:autoSpaceDN/>
        <w:bidi w:val="0"/>
        <w:adjustRightInd w:val="0"/>
        <w:snapToGrid w:val="0"/>
        <w:spacing w:line="560" w:lineRule="exact"/>
        <w:ind w:left="2564" w:leftChars="456" w:right="0" w:rightChars="0" w:hanging="1606" w:hangingChars="500"/>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2A4CBF3B">
      <w:pPr>
        <w:keepNext w:val="0"/>
        <w:keepLines w:val="0"/>
        <w:pageBreakBefore w:val="0"/>
        <w:widowControl w:val="0"/>
        <w:kinsoku/>
        <w:wordWrap w:val="0"/>
        <w:overflowPunct/>
        <w:topLinePunct w:val="0"/>
        <w:autoSpaceDE/>
        <w:autoSpaceDN/>
        <w:bidi w:val="0"/>
        <w:adjustRightInd w:val="0"/>
        <w:snapToGrid w:val="0"/>
        <w:spacing w:line="560" w:lineRule="exact"/>
        <w:ind w:left="2564" w:leftChars="456" w:right="0" w:rightChars="0" w:hanging="1606" w:hangingChars="500"/>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55DD8D29">
      <w:pPr>
        <w:keepNext w:val="0"/>
        <w:keepLines w:val="0"/>
        <w:pageBreakBefore w:val="0"/>
        <w:kinsoku/>
        <w:overflowPunct/>
        <w:topLinePunct w:val="0"/>
        <w:autoSpaceDE/>
        <w:autoSpaceDN/>
        <w:bidi w:val="0"/>
        <w:adjustRightInd w:val="0"/>
        <w:snapToGrid w:val="0"/>
        <w:spacing w:line="560" w:lineRule="exact"/>
        <w:ind w:left="3198" w:leftChars="456" w:right="-535" w:rightChars="-255" w:hanging="2240" w:hangingChars="700"/>
        <w:textAlignment w:val="auto"/>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                                                                                         </w:t>
      </w:r>
    </w:p>
    <w:p w14:paraId="6BC2D9E9">
      <w:pPr>
        <w:keepNext w:val="0"/>
        <w:keepLines w:val="0"/>
        <w:pageBreakBefore w:val="0"/>
        <w:kinsoku/>
        <w:overflowPunct/>
        <w:topLinePunct w:val="0"/>
        <w:autoSpaceDE/>
        <w:autoSpaceDN/>
        <w:bidi w:val="0"/>
        <w:spacing w:line="560" w:lineRule="exact"/>
        <w:ind w:firstLine="2249" w:firstLineChars="700"/>
        <w:textAlignment w:val="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日</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32"/>
          <w:szCs w:val="32"/>
          <w:highlight w:val="none"/>
          <w14:textFill>
            <w14:solidFill>
              <w14:schemeClr w14:val="tx1"/>
            </w14:solidFill>
          </w14:textFill>
        </w:rPr>
        <w:t>期：二〇二</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五</w:t>
      </w:r>
      <w:r>
        <w:rPr>
          <w:rFonts w:hint="eastAsia" w:ascii="宋体" w:hAnsi="宋体" w:eastAsia="宋体" w:cs="宋体"/>
          <w:b/>
          <w:bCs/>
          <w:color w:val="000000" w:themeColor="text1"/>
          <w:sz w:val="32"/>
          <w:szCs w:val="32"/>
          <w:highlight w:val="none"/>
          <w14:textFill>
            <w14:solidFill>
              <w14:schemeClr w14:val="tx1"/>
            </w14:solidFill>
          </w14:textFill>
        </w:rPr>
        <w:t>年</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二</w:t>
      </w:r>
      <w:r>
        <w:rPr>
          <w:rFonts w:hint="eastAsia" w:ascii="宋体" w:hAnsi="宋体" w:eastAsia="宋体" w:cs="宋体"/>
          <w:b/>
          <w:bCs/>
          <w:color w:val="000000" w:themeColor="text1"/>
          <w:sz w:val="32"/>
          <w:szCs w:val="32"/>
          <w:highlight w:val="none"/>
          <w14:textFill>
            <w14:solidFill>
              <w14:schemeClr w14:val="tx1"/>
            </w14:solidFill>
          </w14:textFill>
        </w:rPr>
        <w:t>月</w:t>
      </w:r>
    </w:p>
    <w:p w14:paraId="31D884D3">
      <w:pPr>
        <w:keepNext w:val="0"/>
        <w:keepLines w:val="0"/>
        <w:pageBreakBefore w:val="0"/>
        <w:kinsoku/>
        <w:overflowPunct/>
        <w:topLinePunct w:val="0"/>
        <w:autoSpaceDE/>
        <w:autoSpaceDN/>
        <w:bidi w:val="0"/>
        <w:spacing w:line="560" w:lineRule="exact"/>
        <w:textAlignment w:val="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br w:type="page"/>
      </w:r>
    </w:p>
    <w:p w14:paraId="34B6C610">
      <w:pPr>
        <w:pStyle w:val="7"/>
        <w:keepNext w:val="0"/>
        <w:keepLines w:val="0"/>
        <w:pageBreakBefore w:val="0"/>
        <w:widowControl w:val="0"/>
        <w:numPr>
          <w:ilvl w:val="0"/>
          <w:numId w:val="0"/>
        </w:numPr>
        <w:kinsoku/>
        <w:wordWrap/>
        <w:overflowPunct/>
        <w:topLinePunct w:val="0"/>
        <w:autoSpaceDE/>
        <w:autoSpaceDN/>
        <w:bidi w:val="0"/>
        <w:adjustRightInd/>
        <w:snapToGrid/>
        <w:spacing w:after="0" w:line="560" w:lineRule="exact"/>
        <w:jc w:val="center"/>
        <w:textAlignment w:val="auto"/>
        <w:rPr>
          <w:rFonts w:hint="eastAsia" w:ascii="宋体" w:hAnsi="宋体" w:eastAsia="宋体" w:cs="宋体"/>
          <w:sz w:val="32"/>
          <w:szCs w:val="32"/>
          <w:highlight w:val="none"/>
          <w:lang w:val="en-US" w:eastAsia="zh-CN"/>
        </w:rPr>
      </w:pPr>
      <w:r>
        <w:rPr>
          <w:rFonts w:hint="eastAsia" w:ascii="方正小标宋简体" w:hAnsi="方正小标宋简体" w:eastAsia="方正小标宋简体" w:cs="方正小标宋简体"/>
          <w:kern w:val="2"/>
          <w:sz w:val="44"/>
          <w:szCs w:val="44"/>
          <w:highlight w:val="none"/>
          <w:lang w:val="en-US" w:eastAsia="zh-CN" w:bidi="ar-SA"/>
        </w:rPr>
        <w:t>竞价邀请</w:t>
      </w:r>
    </w:p>
    <w:p w14:paraId="62E9DD78">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sz w:val="32"/>
          <w:szCs w:val="32"/>
          <w:highlight w:val="none"/>
          <w:lang w:eastAsia="zh-CN"/>
        </w:rPr>
      </w:pPr>
    </w:p>
    <w:p w14:paraId="433A610D">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lang w:eastAsia="zh-CN"/>
        </w:rPr>
        <w:t>拟对株洲市</w:t>
      </w:r>
      <w:r>
        <w:rPr>
          <w:rFonts w:hint="eastAsia" w:ascii="宋体" w:hAnsi="宋体" w:eastAsia="宋体" w:cs="宋体"/>
          <w:sz w:val="32"/>
          <w:szCs w:val="32"/>
          <w:highlight w:val="none"/>
          <w:lang w:val="en-US" w:eastAsia="zh-CN"/>
        </w:rPr>
        <w:t>妇幼保健院示范性托育服务中心</w:t>
      </w:r>
      <w:r>
        <w:rPr>
          <w:rFonts w:hint="eastAsia" w:ascii="宋体" w:hAnsi="宋体" w:eastAsia="宋体" w:cs="宋体"/>
          <w:sz w:val="32"/>
          <w:szCs w:val="32"/>
          <w:highlight w:val="none"/>
          <w:lang w:eastAsia="zh-CN"/>
        </w:rPr>
        <w:t>项目的</w:t>
      </w:r>
      <w:r>
        <w:rPr>
          <w:rFonts w:hint="eastAsia" w:ascii="宋体" w:hAnsi="宋体" w:eastAsia="宋体" w:cs="宋体"/>
          <w:sz w:val="32"/>
          <w:szCs w:val="32"/>
          <w:highlight w:val="none"/>
          <w:lang w:val="en-US" w:eastAsia="zh-CN"/>
        </w:rPr>
        <w:t>装饰装修设计、造价咨询服务进行公开竞价采购，</w:t>
      </w:r>
      <w:r>
        <w:rPr>
          <w:rFonts w:hint="eastAsia" w:ascii="宋体" w:hAnsi="宋体" w:eastAsia="宋体" w:cs="宋体"/>
          <w:sz w:val="32"/>
          <w:szCs w:val="32"/>
          <w:highlight w:val="none"/>
          <w:lang w:eastAsia="zh-CN"/>
        </w:rPr>
        <w:t>现邀请符合条件</w:t>
      </w:r>
      <w:r>
        <w:rPr>
          <w:rFonts w:hint="eastAsia" w:ascii="宋体" w:hAnsi="宋体" w:eastAsia="宋体" w:cs="宋体"/>
          <w:sz w:val="32"/>
          <w:szCs w:val="32"/>
          <w:highlight w:val="none"/>
        </w:rPr>
        <w:t>的供应商参加本次采购活动。</w:t>
      </w:r>
    </w:p>
    <w:p w14:paraId="14BA16ED">
      <w:pPr>
        <w:pStyle w:val="2"/>
        <w:keepNext w:val="0"/>
        <w:keepLines w:val="0"/>
        <w:pageBreakBefore w:val="0"/>
        <w:numPr>
          <w:ilvl w:val="0"/>
          <w:numId w:val="0"/>
        </w:numPr>
        <w:kinsoku/>
        <w:wordWrap/>
        <w:overflowPunct/>
        <w:topLinePunct w:val="0"/>
        <w:autoSpaceDE/>
        <w:autoSpaceDN/>
        <w:bidi w:val="0"/>
        <w:spacing w:line="560" w:lineRule="exact"/>
        <w:ind w:left="0" w:leftChars="0" w:firstLine="643" w:firstLineChars="200"/>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bCs/>
          <w:kern w:val="2"/>
          <w:sz w:val="32"/>
          <w:szCs w:val="32"/>
          <w:highlight w:val="none"/>
          <w:lang w:val="en-US" w:eastAsia="zh-CN" w:bidi="ar-SA"/>
        </w:rPr>
        <w:t>一、</w:t>
      </w:r>
      <w:r>
        <w:rPr>
          <w:rFonts w:hint="eastAsia" w:ascii="宋体" w:hAnsi="宋体" w:eastAsia="宋体" w:cs="宋体"/>
          <w:b/>
          <w:bCs/>
          <w:sz w:val="32"/>
          <w:szCs w:val="32"/>
          <w:highlight w:val="none"/>
          <w:lang w:eastAsia="zh-CN"/>
        </w:rPr>
        <w:t>项目概况</w:t>
      </w:r>
      <w:r>
        <w:rPr>
          <w:rFonts w:hint="eastAsia" w:ascii="宋体" w:hAnsi="宋体" w:eastAsia="宋体" w:cs="宋体"/>
          <w:b/>
          <w:bCs/>
          <w:sz w:val="32"/>
          <w:szCs w:val="32"/>
          <w:highlight w:val="none"/>
        </w:rPr>
        <w:t>：</w:t>
      </w:r>
    </w:p>
    <w:p w14:paraId="2DED3AAE">
      <w:pPr>
        <w:ind w:firstLine="642"/>
        <w:rPr>
          <w:rFonts w:hint="default"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本项目位于株洲市第二工人文化宫（天元区长江南路761号），占地面积约4.5亩，总建筑面积约3000㎡，拟建设2500㎡。总投资约500万元。</w:t>
      </w:r>
    </w:p>
    <w:p w14:paraId="13D3B21B">
      <w:pPr>
        <w:keepNext w:val="0"/>
        <w:keepLines w:val="0"/>
        <w:pageBreakBefore w:val="0"/>
        <w:kinsoku/>
        <w:wordWrap/>
        <w:overflowPunct/>
        <w:topLinePunct w:val="0"/>
        <w:autoSpaceDE/>
        <w:autoSpaceDN/>
        <w:bidi w:val="0"/>
        <w:spacing w:line="560" w:lineRule="exact"/>
        <w:ind w:left="0" w:firstLine="643" w:firstLineChars="200"/>
        <w:textAlignment w:val="auto"/>
        <w:rPr>
          <w:rFonts w:hint="eastAsia" w:ascii="宋体" w:hAnsi="宋体" w:eastAsia="宋体" w:cs="宋体"/>
          <w:sz w:val="32"/>
          <w:szCs w:val="32"/>
          <w:highlight w:val="none"/>
          <w:lang w:val="en-US" w:eastAsia="zh-CN"/>
        </w:rPr>
      </w:pPr>
      <w:r>
        <w:rPr>
          <w:rFonts w:hint="eastAsia" w:ascii="宋体" w:hAnsi="宋体" w:eastAsia="宋体" w:cs="宋体"/>
          <w:b/>
          <w:bCs/>
          <w:sz w:val="32"/>
          <w:szCs w:val="32"/>
          <w:highlight w:val="none"/>
          <w:lang w:eastAsia="zh-CN"/>
        </w:rPr>
        <w:t>二、服务内容：</w:t>
      </w:r>
    </w:p>
    <w:p w14:paraId="20EFE412">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1、设计服务：负责项目的工程方案设计、施工图设计，提交合格的设计文件和有关技术资料以及施工阶段技术服务与缺陷责任期技术服务（如有，则含各阶段的报批、报建、施工招标和施工现场等配合工作），并协助取得相关行政部门的批复以及相关后续服务等。</w:t>
      </w:r>
    </w:p>
    <w:p w14:paraId="601D1F28">
      <w:pPr>
        <w:keepNext w:val="0"/>
        <w:keepLines w:val="0"/>
        <w:pageBreakBefore w:val="0"/>
        <w:kinsoku/>
        <w:wordWrap/>
        <w:overflowPunct/>
        <w:topLinePunct w:val="0"/>
        <w:autoSpaceDE/>
        <w:autoSpaceDN/>
        <w:bidi w:val="0"/>
        <w:spacing w:line="560" w:lineRule="exact"/>
        <w:ind w:left="0" w:firstLine="640" w:firstLineChars="200"/>
        <w:textAlignment w:val="auto"/>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2、造价咨询服务：负责项目的工程量清单及招标控制价编制，并协助取得相关行政部门的批复以及相关后续服务等。</w:t>
      </w:r>
    </w:p>
    <w:p w14:paraId="47910B59">
      <w:pPr>
        <w:keepNext w:val="0"/>
        <w:keepLines w:val="0"/>
        <w:pageBreakBefore w:val="0"/>
        <w:numPr>
          <w:ilvl w:val="0"/>
          <w:numId w:val="0"/>
        </w:numPr>
        <w:kinsoku/>
        <w:wordWrap/>
        <w:overflowPunct/>
        <w:topLinePunct w:val="0"/>
        <w:autoSpaceDE/>
        <w:autoSpaceDN/>
        <w:bidi w:val="0"/>
        <w:spacing w:line="560" w:lineRule="exact"/>
        <w:ind w:left="0" w:leftChars="0" w:firstLine="643" w:firstLineChars="200"/>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bCs/>
          <w:kern w:val="2"/>
          <w:sz w:val="32"/>
          <w:szCs w:val="32"/>
          <w:highlight w:val="none"/>
          <w:lang w:val="en-US" w:eastAsia="zh-CN" w:bidi="ar-SA"/>
        </w:rPr>
        <w:t>三、</w:t>
      </w:r>
      <w:r>
        <w:rPr>
          <w:rFonts w:hint="eastAsia" w:ascii="宋体" w:hAnsi="宋体" w:eastAsia="宋体" w:cs="宋体"/>
          <w:b/>
          <w:bCs/>
          <w:sz w:val="32"/>
          <w:szCs w:val="32"/>
          <w:highlight w:val="none"/>
          <w:lang w:val="en-US" w:eastAsia="zh-CN"/>
        </w:rPr>
        <w:t>设计需求：</w:t>
      </w:r>
    </w:p>
    <w:p w14:paraId="5C26BA15">
      <w:pPr>
        <w:pStyle w:val="24"/>
        <w:numPr>
          <w:ilvl w:val="0"/>
          <w:numId w:val="0"/>
        </w:numPr>
        <w:ind w:firstLine="640" w:firstLineChars="200"/>
        <w:rPr>
          <w:rFonts w:hint="eastAsia" w:ascii="宋体" w:hAnsi="宋体" w:eastAsia="宋体" w:cs="宋体"/>
          <w:b w:val="0"/>
          <w:bCs w:val="0"/>
          <w:kern w:val="2"/>
          <w:sz w:val="32"/>
          <w:szCs w:val="32"/>
          <w:highlight w:val="none"/>
          <w:lang w:val="en-US" w:eastAsia="zh-CN" w:bidi="ar-SA"/>
        </w:rPr>
      </w:pPr>
      <w:r>
        <w:rPr>
          <w:rFonts w:hint="eastAsia" w:ascii="宋体" w:hAnsi="宋体" w:eastAsia="宋体" w:cs="宋体"/>
          <w:b w:val="0"/>
          <w:bCs w:val="0"/>
          <w:kern w:val="2"/>
          <w:sz w:val="32"/>
          <w:szCs w:val="32"/>
          <w:highlight w:val="none"/>
          <w:lang w:val="en-US" w:eastAsia="zh-CN" w:bidi="ar-SA"/>
        </w:rPr>
        <w:t>1、主要内容：总建筑面积约3000㎡，拟装饰装修面积约2500㎡。范围包含但不限于装饰装修中的暖通、新风、消防、监控及部分配套管道、弱电、照明电气、动力电气、给排水、绿化等示范性托育服务中心装饰装修所需。</w:t>
      </w:r>
    </w:p>
    <w:p w14:paraId="5379DFE7">
      <w:pPr>
        <w:pStyle w:val="24"/>
        <w:numPr>
          <w:ilvl w:val="0"/>
          <w:numId w:val="0"/>
        </w:numPr>
        <w:ind w:firstLine="640" w:firstLineChars="200"/>
        <w:rPr>
          <w:rFonts w:hint="eastAsia" w:ascii="宋体" w:hAnsi="宋体" w:eastAsia="宋体" w:cs="宋体"/>
          <w:b w:val="0"/>
          <w:bCs w:val="0"/>
          <w:kern w:val="2"/>
          <w:sz w:val="32"/>
          <w:szCs w:val="32"/>
          <w:highlight w:val="none"/>
          <w:lang w:val="en-US" w:eastAsia="zh-CN" w:bidi="ar-SA"/>
        </w:rPr>
      </w:pPr>
      <w:r>
        <w:rPr>
          <w:rFonts w:hint="default" w:ascii="宋体" w:hAnsi="宋体" w:eastAsia="宋体" w:cs="宋体"/>
          <w:b w:val="0"/>
          <w:bCs w:val="0"/>
          <w:kern w:val="2"/>
          <w:sz w:val="32"/>
          <w:szCs w:val="32"/>
          <w:highlight w:val="none"/>
          <w:lang w:val="en-US" w:eastAsia="zh-CN" w:bidi="ar-SA"/>
        </w:rPr>
        <w:t>2、</w:t>
      </w:r>
      <w:r>
        <w:rPr>
          <w:rFonts w:hint="eastAsia" w:ascii="宋体" w:hAnsi="宋体" w:eastAsia="宋体" w:cs="宋体"/>
          <w:b w:val="0"/>
          <w:bCs w:val="0"/>
          <w:kern w:val="2"/>
          <w:sz w:val="32"/>
          <w:szCs w:val="32"/>
          <w:highlight w:val="none"/>
          <w:lang w:val="en-US" w:eastAsia="zh-CN" w:bidi="ar-SA"/>
        </w:rPr>
        <w:t>功能要求（范围包含但不限于以下内容）：</w:t>
      </w:r>
      <w:r>
        <w:rPr>
          <w:rFonts w:hint="eastAsia" w:asciiTheme="minorEastAsia" w:hAnsiTheme="minorEastAsia" w:cstheme="minorEastAsia"/>
          <w:sz w:val="32"/>
          <w:szCs w:val="32"/>
          <w:highlight w:val="none"/>
          <w:lang w:val="en-US" w:eastAsia="zh-CN"/>
        </w:rPr>
        <w:t>门脸设计醒目，有婴幼儿童趣元素，作为城市地标打造。</w:t>
      </w:r>
    </w:p>
    <w:p w14:paraId="2B34BECC">
      <w:pPr>
        <w:spacing w:line="240" w:lineRule="auto"/>
        <w:ind w:firstLine="640" w:firstLineChars="200"/>
        <w:jc w:val="both"/>
        <w:rPr>
          <w:rFonts w:hint="eastAsia" w:asciiTheme="minorEastAsia" w:hAnsiTheme="minorEastAsia" w:eastAsiaTheme="minorEastAsia" w:cstheme="minorEastAsia"/>
          <w:sz w:val="32"/>
          <w:szCs w:val="32"/>
          <w:highlight w:val="none"/>
        </w:rPr>
      </w:pPr>
      <w:r>
        <w:rPr>
          <w:rFonts w:hint="eastAsia" w:asciiTheme="minorEastAsia" w:hAnsiTheme="minorEastAsia" w:cstheme="minorEastAsia"/>
          <w:sz w:val="32"/>
          <w:szCs w:val="32"/>
          <w:highlight w:val="none"/>
          <w:lang w:eastAsia="zh-CN"/>
        </w:rPr>
        <w:t>（</w:t>
      </w:r>
      <w:r>
        <w:rPr>
          <w:rFonts w:hint="eastAsia" w:asciiTheme="minorEastAsia" w:hAnsiTheme="minorEastAsia" w:cstheme="minorEastAsia"/>
          <w:sz w:val="32"/>
          <w:szCs w:val="32"/>
          <w:highlight w:val="none"/>
          <w:lang w:val="en-US" w:eastAsia="zh-CN"/>
        </w:rPr>
        <w:t>1</w:t>
      </w:r>
      <w:r>
        <w:rPr>
          <w:rFonts w:hint="eastAsia" w:asciiTheme="minorEastAsia" w:hAnsiTheme="minorEastAsia" w:cstheme="minorEastAsia"/>
          <w:sz w:val="32"/>
          <w:szCs w:val="32"/>
          <w:highlight w:val="none"/>
          <w:lang w:eastAsia="zh-CN"/>
        </w:rPr>
        <w:t>）</w:t>
      </w:r>
      <w:r>
        <w:rPr>
          <w:rFonts w:hint="eastAsia" w:asciiTheme="minorEastAsia" w:hAnsiTheme="minorEastAsia" w:eastAsiaTheme="minorEastAsia" w:cstheme="minorEastAsia"/>
          <w:sz w:val="32"/>
          <w:szCs w:val="32"/>
          <w:highlight w:val="none"/>
        </w:rPr>
        <w:t>布局</w:t>
      </w:r>
      <w:r>
        <w:rPr>
          <w:rFonts w:hint="eastAsia" w:asciiTheme="minorEastAsia" w:hAnsiTheme="minorEastAsia" w:cstheme="minorEastAsia"/>
          <w:sz w:val="32"/>
          <w:szCs w:val="32"/>
          <w:highlight w:val="none"/>
          <w:lang w:val="en-US" w:eastAsia="zh-CN"/>
        </w:rPr>
        <w:t>:</w:t>
      </w:r>
      <w:r>
        <w:rPr>
          <w:rFonts w:hint="eastAsia" w:asciiTheme="minorEastAsia" w:hAnsiTheme="minorEastAsia" w:eastAsiaTheme="minorEastAsia" w:cstheme="minorEastAsia"/>
          <w:sz w:val="32"/>
          <w:szCs w:val="32"/>
          <w:highlight w:val="none"/>
        </w:rPr>
        <w:t>设置独立疏散</w:t>
      </w:r>
      <w:r>
        <w:rPr>
          <w:rFonts w:hint="eastAsia" w:asciiTheme="minorEastAsia" w:hAnsiTheme="minorEastAsia" w:eastAsiaTheme="minorEastAsia" w:cstheme="minorEastAsia"/>
          <w:sz w:val="32"/>
          <w:szCs w:val="32"/>
          <w:highlight w:val="none"/>
          <w:lang w:eastAsia="zh-CN"/>
        </w:rPr>
        <w:t>通道，</w:t>
      </w:r>
      <w:r>
        <w:rPr>
          <w:rFonts w:hint="eastAsia" w:asciiTheme="minorEastAsia" w:hAnsiTheme="minorEastAsia" w:eastAsiaTheme="minorEastAsia" w:cstheme="minorEastAsia"/>
          <w:sz w:val="32"/>
          <w:szCs w:val="32"/>
          <w:highlight w:val="none"/>
        </w:rPr>
        <w:t>同时应配套室外游戏场地，并设有防护设施。托育服务中心</w:t>
      </w:r>
      <w:r>
        <w:rPr>
          <w:rFonts w:hint="eastAsia" w:asciiTheme="minorEastAsia" w:hAnsiTheme="minorEastAsia" w:cstheme="minorEastAsia"/>
          <w:sz w:val="32"/>
          <w:szCs w:val="32"/>
          <w:highlight w:val="none"/>
          <w:lang w:eastAsia="zh-CN"/>
        </w:rPr>
        <w:t>服务半径宜为</w:t>
      </w:r>
      <w:r>
        <w:rPr>
          <w:rFonts w:hint="eastAsia" w:asciiTheme="minorEastAsia" w:hAnsiTheme="minorEastAsia" w:cstheme="minorEastAsia"/>
          <w:sz w:val="32"/>
          <w:szCs w:val="32"/>
          <w:highlight w:val="none"/>
          <w:lang w:val="en-US" w:eastAsia="zh-CN"/>
        </w:rPr>
        <w:t>300m，</w:t>
      </w:r>
      <w:r>
        <w:rPr>
          <w:rFonts w:hint="eastAsia" w:asciiTheme="minorEastAsia" w:hAnsiTheme="minorEastAsia" w:eastAsiaTheme="minorEastAsia" w:cstheme="minorEastAsia"/>
          <w:sz w:val="32"/>
          <w:szCs w:val="32"/>
          <w:highlight w:val="none"/>
        </w:rPr>
        <w:t>应设有接待门厅、谈</w:t>
      </w:r>
      <w:r>
        <w:rPr>
          <w:rFonts w:hint="eastAsia" w:asciiTheme="minorEastAsia" w:hAnsiTheme="minorEastAsia" w:cstheme="minorEastAsia"/>
          <w:sz w:val="32"/>
          <w:szCs w:val="32"/>
          <w:highlight w:val="none"/>
          <w:lang w:eastAsia="zh-CN"/>
        </w:rPr>
        <w:t>话</w:t>
      </w:r>
      <w:r>
        <w:rPr>
          <w:rFonts w:hint="eastAsia" w:asciiTheme="minorEastAsia" w:hAnsiTheme="minorEastAsia" w:eastAsiaTheme="minorEastAsia" w:cstheme="minorEastAsia"/>
          <w:sz w:val="32"/>
          <w:szCs w:val="32"/>
          <w:highlight w:val="none"/>
        </w:rPr>
        <w:t>区、家长等候区、教师办公区、</w:t>
      </w:r>
      <w:r>
        <w:rPr>
          <w:rFonts w:hint="eastAsia" w:asciiTheme="minorEastAsia" w:hAnsiTheme="minorEastAsia" w:eastAsiaTheme="minorEastAsia" w:cstheme="minorEastAsia"/>
          <w:color w:val="000000"/>
          <w:kern w:val="0"/>
          <w:sz w:val="32"/>
          <w:szCs w:val="32"/>
          <w:highlight w:val="none"/>
          <w:lang w:val="en-US" w:eastAsia="zh-CN" w:bidi="ar"/>
        </w:rPr>
        <w:t>保安室、</w:t>
      </w:r>
      <w:r>
        <w:rPr>
          <w:rFonts w:hint="eastAsia" w:asciiTheme="minorEastAsia" w:hAnsiTheme="minorEastAsia" w:eastAsiaTheme="minorEastAsia" w:cstheme="minorEastAsia"/>
          <w:sz w:val="32"/>
          <w:szCs w:val="32"/>
          <w:highlight w:val="none"/>
        </w:rPr>
        <w:t>厨房备餐区、卫生间、洗消间</w:t>
      </w:r>
      <w:r>
        <w:rPr>
          <w:rFonts w:hint="eastAsia" w:asciiTheme="minorEastAsia" w:hAnsiTheme="minorEastAsia" w:cstheme="minorEastAsia"/>
          <w:sz w:val="32"/>
          <w:szCs w:val="32"/>
          <w:highlight w:val="none"/>
          <w:lang w:eastAsia="zh-CN"/>
        </w:rPr>
        <w:t>、</w:t>
      </w:r>
      <w:r>
        <w:rPr>
          <w:rFonts w:hint="eastAsia" w:asciiTheme="minorEastAsia" w:hAnsiTheme="minorEastAsia" w:eastAsiaTheme="minorEastAsia" w:cstheme="minorEastAsia"/>
          <w:color w:val="000000"/>
          <w:kern w:val="0"/>
          <w:sz w:val="32"/>
          <w:szCs w:val="32"/>
          <w:highlight w:val="none"/>
          <w:lang w:val="en-US" w:eastAsia="zh-CN" w:bidi="ar"/>
        </w:rPr>
        <w:t>婴幼儿活动区、睡眠区、多功能活动室、保健室、母婴室（设有乳儿班的）、盥洗室</w:t>
      </w:r>
      <w:r>
        <w:rPr>
          <w:rFonts w:hint="eastAsia" w:asciiTheme="minorEastAsia" w:hAnsiTheme="minorEastAsia" w:cstheme="minorEastAsia"/>
          <w:color w:val="000000"/>
          <w:kern w:val="0"/>
          <w:sz w:val="32"/>
          <w:szCs w:val="32"/>
          <w:highlight w:val="none"/>
          <w:lang w:val="en-US" w:eastAsia="zh-CN" w:bidi="ar"/>
        </w:rPr>
        <w:t>、</w:t>
      </w:r>
      <w:r>
        <w:rPr>
          <w:rFonts w:hint="eastAsia" w:asciiTheme="minorEastAsia" w:hAnsiTheme="minorEastAsia" w:cstheme="minorEastAsia"/>
          <w:sz w:val="32"/>
          <w:szCs w:val="32"/>
          <w:highlight w:val="none"/>
          <w:lang w:eastAsia="zh-CN"/>
        </w:rPr>
        <w:t>设乳儿班（</w:t>
      </w:r>
      <w:r>
        <w:rPr>
          <w:rFonts w:hint="eastAsia" w:asciiTheme="minorEastAsia" w:hAnsiTheme="minorEastAsia" w:cstheme="minorEastAsia"/>
          <w:sz w:val="32"/>
          <w:szCs w:val="32"/>
          <w:highlight w:val="none"/>
          <w:lang w:val="en-US" w:eastAsia="zh-CN"/>
        </w:rPr>
        <w:t>1个</w:t>
      </w:r>
      <w:r>
        <w:rPr>
          <w:rFonts w:hint="eastAsia" w:asciiTheme="minorEastAsia" w:hAnsiTheme="minorEastAsia" w:cstheme="minorEastAsia"/>
          <w:sz w:val="32"/>
          <w:szCs w:val="32"/>
          <w:highlight w:val="none"/>
          <w:lang w:eastAsia="zh-CN"/>
        </w:rPr>
        <w:t>）、托小班（</w:t>
      </w:r>
      <w:r>
        <w:rPr>
          <w:rFonts w:hint="eastAsia" w:asciiTheme="minorEastAsia" w:hAnsiTheme="minorEastAsia" w:cstheme="minorEastAsia"/>
          <w:sz w:val="32"/>
          <w:szCs w:val="32"/>
          <w:highlight w:val="none"/>
          <w:lang w:val="en-US" w:eastAsia="zh-CN"/>
        </w:rPr>
        <w:t>3个</w:t>
      </w:r>
      <w:r>
        <w:rPr>
          <w:rFonts w:hint="eastAsia" w:asciiTheme="minorEastAsia" w:hAnsiTheme="minorEastAsia" w:cstheme="minorEastAsia"/>
          <w:sz w:val="32"/>
          <w:szCs w:val="32"/>
          <w:highlight w:val="none"/>
          <w:lang w:eastAsia="zh-CN"/>
        </w:rPr>
        <w:t>）、托大班（</w:t>
      </w:r>
      <w:r>
        <w:rPr>
          <w:rFonts w:hint="eastAsia" w:asciiTheme="minorEastAsia" w:hAnsiTheme="minorEastAsia" w:cstheme="minorEastAsia"/>
          <w:sz w:val="32"/>
          <w:szCs w:val="32"/>
          <w:highlight w:val="none"/>
          <w:lang w:val="en-US" w:eastAsia="zh-CN"/>
        </w:rPr>
        <w:t>4个</w:t>
      </w:r>
      <w:r>
        <w:rPr>
          <w:rFonts w:hint="eastAsia" w:asciiTheme="minorEastAsia" w:hAnsiTheme="minorEastAsia" w:cstheme="minorEastAsia"/>
          <w:sz w:val="32"/>
          <w:szCs w:val="32"/>
          <w:highlight w:val="none"/>
          <w:lang w:eastAsia="zh-CN"/>
        </w:rPr>
        <w:t>）共计</w:t>
      </w:r>
      <w:r>
        <w:rPr>
          <w:rFonts w:hint="eastAsia" w:asciiTheme="minorEastAsia" w:hAnsiTheme="minorEastAsia" w:cstheme="minorEastAsia"/>
          <w:sz w:val="32"/>
          <w:szCs w:val="32"/>
          <w:highlight w:val="none"/>
          <w:lang w:val="en-US" w:eastAsia="zh-CN"/>
        </w:rPr>
        <w:t>8个班；</w:t>
      </w:r>
    </w:p>
    <w:p w14:paraId="350ABA2A">
      <w:pPr>
        <w:pStyle w:val="27"/>
        <w:keepNext w:val="0"/>
        <w:keepLines w:val="0"/>
        <w:widowControl w:val="0"/>
        <w:shd w:val="clear" w:color="auto" w:fill="auto"/>
        <w:bidi w:val="0"/>
        <w:spacing w:before="0" w:after="0" w:line="240" w:lineRule="auto"/>
        <w:ind w:left="0" w:right="0" w:firstLine="640" w:firstLineChars="200"/>
        <w:jc w:val="both"/>
        <w:rPr>
          <w:rFonts w:hint="eastAsia" w:asciiTheme="minorEastAsia" w:hAnsiTheme="minorEastAsia" w:eastAsiaTheme="minorEastAsia" w:cstheme="minorEastAsia"/>
          <w:sz w:val="32"/>
          <w:szCs w:val="32"/>
          <w:highlight w:val="none"/>
        </w:rPr>
      </w:pP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val="en-US" w:eastAsia="zh-CN"/>
        </w:rPr>
        <w:t>2</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rPr>
        <w:t>配餐区应临近对外出入口，并设有调理台、洗涤池、洗手池、储藏柜等，应设加热设施，宜设通风或排烟设施；</w:t>
      </w:r>
    </w:p>
    <w:p w14:paraId="1E04658A">
      <w:pPr>
        <w:pStyle w:val="27"/>
        <w:keepNext w:val="0"/>
        <w:keepLines w:val="0"/>
        <w:widowControl w:val="0"/>
        <w:shd w:val="clear" w:color="auto" w:fill="auto"/>
        <w:bidi w:val="0"/>
        <w:spacing w:before="0" w:after="0" w:line="240" w:lineRule="auto"/>
        <w:ind w:left="0" w:right="0" w:firstLine="640" w:firstLineChars="200"/>
        <w:jc w:val="both"/>
        <w:rPr>
          <w:rFonts w:hint="eastAsia" w:asciiTheme="minorEastAsia" w:hAnsiTheme="minorEastAsia" w:eastAsiaTheme="minorEastAsia" w:cstheme="minorEastAsia"/>
          <w:color w:val="000000"/>
          <w:spacing w:val="0"/>
          <w:w w:val="100"/>
          <w:position w:val="0"/>
          <w:sz w:val="32"/>
          <w:szCs w:val="32"/>
          <w:highlight w:val="none"/>
          <w:shd w:val="clear" w:color="auto" w:fill="auto"/>
        </w:rPr>
      </w:pP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val="en-US" w:eastAsia="zh-CN"/>
        </w:rPr>
        <w:t>3</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rPr>
        <w:t>清洁区应设淋浴、尿布台、洗涤池、洗手池、污水池、成人厕位等设施；</w:t>
      </w:r>
    </w:p>
    <w:p w14:paraId="718D8AC6">
      <w:pPr>
        <w:pStyle w:val="27"/>
        <w:keepNext w:val="0"/>
        <w:keepLines w:val="0"/>
        <w:widowControl w:val="0"/>
        <w:shd w:val="clear" w:color="auto" w:fill="auto"/>
        <w:bidi w:val="0"/>
        <w:spacing w:before="0" w:after="0" w:line="240" w:lineRule="auto"/>
        <w:ind w:left="0" w:right="0" w:firstLine="640" w:firstLineChars="200"/>
        <w:jc w:val="both"/>
        <w:rPr>
          <w:rFonts w:hint="eastAsia" w:asciiTheme="minorEastAsia" w:hAnsiTheme="minorEastAsia" w:eastAsiaTheme="minorEastAsia" w:cstheme="minorEastAsia"/>
          <w:color w:val="000000"/>
          <w:spacing w:val="0"/>
          <w:w w:val="100"/>
          <w:position w:val="0"/>
          <w:sz w:val="32"/>
          <w:szCs w:val="32"/>
          <w:highlight w:val="none"/>
          <w:shd w:val="clear" w:color="auto" w:fill="auto"/>
        </w:rPr>
      </w:pP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val="en-US" w:eastAsia="zh-CN"/>
        </w:rPr>
        <w:t>4</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eastAsia="zh-CN"/>
        </w:rPr>
        <w:t>）</w:t>
      </w:r>
      <w:r>
        <w:rPr>
          <w:rFonts w:hint="eastAsia" w:asciiTheme="minorEastAsia" w:hAnsiTheme="minorEastAsia" w:eastAsiaTheme="minorEastAsia" w:cstheme="minorEastAsia"/>
          <w:color w:val="000000"/>
          <w:spacing w:val="0"/>
          <w:w w:val="100"/>
          <w:position w:val="0"/>
          <w:sz w:val="32"/>
          <w:szCs w:val="32"/>
          <w:highlight w:val="none"/>
          <w:shd w:val="clear" w:color="auto" w:fill="auto"/>
        </w:rPr>
        <w:t>活动室、寝室及具有相同功能的区域，应布置在机构内最好朝向，西晒房间应采取遮阳措施。冬至日底层满窗日照不应小于</w:t>
      </w:r>
      <w:r>
        <w:rPr>
          <w:rFonts w:hint="eastAsia" w:asciiTheme="minorEastAsia" w:hAnsiTheme="minorEastAsia" w:eastAsiaTheme="minorEastAsia" w:cstheme="minorEastAsia"/>
          <w:color w:val="000000"/>
          <w:spacing w:val="0"/>
          <w:w w:val="100"/>
          <w:position w:val="0"/>
          <w:sz w:val="32"/>
          <w:szCs w:val="32"/>
          <w:highlight w:val="none"/>
          <w:shd w:val="clear" w:color="auto" w:fill="auto"/>
          <w:lang w:val="en-US" w:eastAsia="en-US" w:bidi="en-US"/>
        </w:rPr>
        <w:t>3h。</w:t>
      </w:r>
      <w:r>
        <w:rPr>
          <w:rFonts w:hint="eastAsia" w:asciiTheme="minorEastAsia" w:hAnsiTheme="minorEastAsia" w:eastAsiaTheme="minorEastAsia" w:cstheme="minorEastAsia"/>
          <w:color w:val="000000"/>
          <w:spacing w:val="0"/>
          <w:w w:val="100"/>
          <w:position w:val="0"/>
          <w:sz w:val="32"/>
          <w:szCs w:val="32"/>
          <w:highlight w:val="none"/>
          <w:shd w:val="clear" w:color="auto" w:fill="auto"/>
        </w:rPr>
        <w:t>需要获得冬季日照的婴幼儿生活用房窗洞开口面积不应小于该房间面积的20%。</w:t>
      </w:r>
    </w:p>
    <w:p w14:paraId="5249905F">
      <w:pPr>
        <w:pStyle w:val="27"/>
        <w:keepNext w:val="0"/>
        <w:keepLines w:val="0"/>
        <w:widowControl w:val="0"/>
        <w:shd w:val="clear" w:color="auto" w:fill="auto"/>
        <w:bidi w:val="0"/>
        <w:spacing w:before="0" w:after="0" w:line="240" w:lineRule="auto"/>
        <w:ind w:left="0" w:right="0" w:firstLine="640" w:firstLineChars="200"/>
        <w:jc w:val="both"/>
        <w:rPr>
          <w:rFonts w:hint="eastAsia" w:asciiTheme="minorEastAsia" w:hAnsiTheme="minorEastAsia" w:eastAsiaTheme="minorEastAsia" w:cstheme="minorEastAsia"/>
          <w:color w:val="000000"/>
          <w:spacing w:val="0"/>
          <w:w w:val="100"/>
          <w:position w:val="0"/>
          <w:sz w:val="32"/>
          <w:szCs w:val="32"/>
          <w:highlight w:val="none"/>
          <w:shd w:val="clear" w:color="auto" w:fill="auto"/>
        </w:rPr>
      </w:pPr>
      <w:r>
        <w:rPr>
          <w:rFonts w:hint="eastAsia" w:asciiTheme="minorEastAsia" w:hAnsiTheme="minorEastAsia" w:eastAsiaTheme="minorEastAsia" w:cstheme="minorEastAsia"/>
          <w:color w:val="000000"/>
          <w:kern w:val="2"/>
          <w:sz w:val="32"/>
          <w:szCs w:val="32"/>
          <w:highlight w:val="none"/>
          <w:u w:val="none"/>
          <w:lang w:val="en-US" w:eastAsia="zh-CN" w:bidi="ar-SA"/>
        </w:rPr>
        <w:t>（5）</w:t>
      </w:r>
      <w:r>
        <w:rPr>
          <w:rFonts w:hint="eastAsia" w:asciiTheme="minorEastAsia" w:hAnsiTheme="minorEastAsia" w:eastAsiaTheme="minorEastAsia" w:cstheme="minorEastAsia"/>
          <w:color w:val="000000"/>
          <w:spacing w:val="0"/>
          <w:w w:val="100"/>
          <w:position w:val="0"/>
          <w:sz w:val="32"/>
          <w:szCs w:val="32"/>
          <w:highlight w:val="none"/>
          <w:shd w:val="clear" w:color="auto" w:fill="auto"/>
        </w:rPr>
        <w:t>成人厕位应与幼儿卫生间隔离。</w:t>
      </w:r>
    </w:p>
    <w:p w14:paraId="3FBA27DA">
      <w:pPr>
        <w:spacing w:line="312" w:lineRule="auto"/>
        <w:ind w:firstLine="640" w:firstLineChars="200"/>
        <w:rPr>
          <w:rFonts w:hint="eastAsia" w:asciiTheme="minorEastAsia" w:hAnsiTheme="minorEastAsia" w:eastAsiaTheme="minorEastAsia" w:cstheme="minorEastAsia"/>
          <w:color w:val="000000"/>
          <w:sz w:val="32"/>
          <w:szCs w:val="32"/>
          <w:highlight w:val="none"/>
          <w:u w:val="none"/>
        </w:rPr>
      </w:pPr>
      <w:r>
        <w:rPr>
          <w:rFonts w:hint="eastAsia" w:asciiTheme="minorEastAsia" w:hAnsiTheme="minorEastAsia" w:eastAsiaTheme="minorEastAsia" w:cstheme="minorEastAsia"/>
          <w:color w:val="000000"/>
          <w:kern w:val="2"/>
          <w:sz w:val="32"/>
          <w:szCs w:val="32"/>
          <w:highlight w:val="none"/>
          <w:u w:val="none"/>
          <w:lang w:val="en-US" w:eastAsia="zh-CN" w:bidi="ar-SA"/>
        </w:rPr>
        <w:t>（6）</w:t>
      </w:r>
      <w:r>
        <w:rPr>
          <w:rFonts w:hint="eastAsia" w:asciiTheme="minorEastAsia" w:hAnsiTheme="minorEastAsia" w:eastAsiaTheme="minorEastAsia" w:cstheme="minorEastAsia"/>
          <w:color w:val="000000"/>
          <w:sz w:val="32"/>
          <w:szCs w:val="32"/>
          <w:highlight w:val="none"/>
          <w:u w:val="none"/>
        </w:rPr>
        <w:t>托儿所室外活动场地人均面积不应小于3m</w:t>
      </w:r>
      <w:r>
        <w:rPr>
          <w:rFonts w:hint="eastAsia" w:asciiTheme="minorEastAsia" w:hAnsiTheme="minorEastAsia" w:eastAsiaTheme="minorEastAsia" w:cstheme="minorEastAsia"/>
          <w:color w:val="000000"/>
          <w:sz w:val="32"/>
          <w:szCs w:val="32"/>
          <w:highlight w:val="none"/>
          <w:u w:val="none"/>
          <w:vertAlign w:val="superscript"/>
        </w:rPr>
        <w:t>2</w:t>
      </w:r>
      <w:r>
        <w:rPr>
          <w:rFonts w:hint="eastAsia" w:asciiTheme="minorEastAsia" w:hAnsiTheme="minorEastAsia" w:eastAsiaTheme="minorEastAsia" w:cstheme="minorEastAsia"/>
          <w:color w:val="000000"/>
          <w:sz w:val="32"/>
          <w:szCs w:val="32"/>
          <w:highlight w:val="none"/>
          <w:u w:val="none"/>
        </w:rPr>
        <w:t>；城市人口密集地区改、扩建的托儿所，设置室外活动场地确有困难时，室外活动场地人均面积不应小于2m</w:t>
      </w:r>
      <w:r>
        <w:rPr>
          <w:rFonts w:hint="eastAsia" w:asciiTheme="minorEastAsia" w:hAnsiTheme="minorEastAsia" w:eastAsiaTheme="minorEastAsia" w:cstheme="minorEastAsia"/>
          <w:color w:val="000000"/>
          <w:sz w:val="32"/>
          <w:szCs w:val="32"/>
          <w:highlight w:val="none"/>
          <w:u w:val="none"/>
          <w:vertAlign w:val="superscript"/>
        </w:rPr>
        <w:t>2</w:t>
      </w:r>
      <w:r>
        <w:rPr>
          <w:rFonts w:hint="eastAsia" w:asciiTheme="minorEastAsia" w:hAnsiTheme="minorEastAsia" w:eastAsiaTheme="minorEastAsia" w:cstheme="minorEastAsia"/>
          <w:color w:val="000000"/>
          <w:sz w:val="32"/>
          <w:szCs w:val="32"/>
          <w:highlight w:val="none"/>
          <w:u w:val="none"/>
        </w:rPr>
        <w:t>。</w:t>
      </w:r>
    </w:p>
    <w:p w14:paraId="7E3CF33A">
      <w:pPr>
        <w:spacing w:line="312" w:lineRule="auto"/>
        <w:ind w:firstLine="640" w:firstLineChars="200"/>
        <w:rPr>
          <w:rFonts w:hint="eastAsia" w:asciiTheme="minorEastAsia" w:hAnsiTheme="minorEastAsia" w:eastAsiaTheme="minorEastAsia" w:cstheme="minorEastAsia"/>
          <w:color w:val="000000"/>
          <w:sz w:val="32"/>
          <w:szCs w:val="32"/>
          <w:highlight w:val="none"/>
          <w:u w:val="none"/>
        </w:rPr>
      </w:pPr>
      <w:r>
        <w:rPr>
          <w:rFonts w:hint="eastAsia" w:asciiTheme="minorEastAsia" w:hAnsiTheme="minorEastAsia" w:cstheme="minorEastAsia"/>
          <w:color w:val="000000"/>
          <w:sz w:val="32"/>
          <w:szCs w:val="32"/>
          <w:highlight w:val="none"/>
          <w:u w:val="none"/>
          <w:lang w:val="en-US" w:eastAsia="zh-CN"/>
        </w:rPr>
        <w:t>（7）</w:t>
      </w:r>
      <w:r>
        <w:rPr>
          <w:rFonts w:hint="eastAsia" w:asciiTheme="minorEastAsia" w:hAnsiTheme="minorEastAsia" w:eastAsiaTheme="minorEastAsia" w:cstheme="minorEastAsia"/>
          <w:color w:val="000000"/>
          <w:sz w:val="32"/>
          <w:szCs w:val="32"/>
          <w:highlight w:val="none"/>
          <w:u w:val="none"/>
        </w:rPr>
        <w:t>活动室、寝室、多功能活动室等幼儿使用的房间应设双扇平开门，门净宽不应小于1</w:t>
      </w:r>
      <w:r>
        <w:rPr>
          <w:rFonts w:hint="eastAsia" w:asciiTheme="minorEastAsia" w:hAnsiTheme="minorEastAsia" w:eastAsiaTheme="minorEastAsia" w:cstheme="minorEastAsia"/>
          <w:color w:val="000000"/>
          <w:sz w:val="32"/>
          <w:szCs w:val="32"/>
          <w:highlight w:val="none"/>
          <w:u w:val="none"/>
          <w:lang w:val="en-US" w:eastAsia="zh-CN"/>
        </w:rPr>
        <w:t>.</w:t>
      </w:r>
      <w:r>
        <w:rPr>
          <w:rFonts w:hint="eastAsia" w:asciiTheme="minorEastAsia" w:hAnsiTheme="minorEastAsia" w:eastAsiaTheme="minorEastAsia" w:cstheme="minorEastAsia"/>
          <w:color w:val="000000"/>
          <w:sz w:val="32"/>
          <w:szCs w:val="32"/>
          <w:highlight w:val="none"/>
          <w:u w:val="none"/>
        </w:rPr>
        <w:t>20m。</w:t>
      </w:r>
    </w:p>
    <w:p w14:paraId="2F1104C4">
      <w:pPr>
        <w:spacing w:line="312" w:lineRule="auto"/>
        <w:ind w:firstLine="640" w:firstLineChars="200"/>
        <w:rPr>
          <w:rFonts w:hint="eastAsia" w:asciiTheme="minorEastAsia" w:hAnsiTheme="minorEastAsia" w:cstheme="minorEastAsia"/>
          <w:color w:val="000000"/>
          <w:sz w:val="32"/>
          <w:szCs w:val="32"/>
          <w:highlight w:val="none"/>
          <w:u w:val="none"/>
          <w:lang w:eastAsia="zh-CN"/>
        </w:rPr>
      </w:pPr>
      <w:r>
        <w:rPr>
          <w:rFonts w:hint="eastAsia" w:asciiTheme="minorEastAsia" w:hAnsiTheme="minorEastAsia" w:cstheme="minorEastAsia"/>
          <w:color w:val="000000"/>
          <w:sz w:val="32"/>
          <w:szCs w:val="32"/>
          <w:highlight w:val="none"/>
          <w:u w:val="none"/>
          <w:lang w:eastAsia="zh-CN"/>
        </w:rPr>
        <w:t>（</w:t>
      </w:r>
      <w:r>
        <w:rPr>
          <w:rFonts w:hint="eastAsia" w:asciiTheme="minorEastAsia" w:hAnsiTheme="minorEastAsia" w:cstheme="minorEastAsia"/>
          <w:color w:val="000000"/>
          <w:sz w:val="32"/>
          <w:szCs w:val="32"/>
          <w:highlight w:val="none"/>
          <w:u w:val="none"/>
          <w:lang w:val="en-US" w:eastAsia="zh-CN"/>
        </w:rPr>
        <w:t>8</w:t>
      </w:r>
      <w:r>
        <w:rPr>
          <w:rFonts w:hint="eastAsia" w:asciiTheme="minorEastAsia" w:hAnsiTheme="minorEastAsia" w:cstheme="minorEastAsia"/>
          <w:color w:val="000000"/>
          <w:sz w:val="32"/>
          <w:szCs w:val="32"/>
          <w:highlight w:val="none"/>
          <w:u w:val="none"/>
          <w:lang w:eastAsia="zh-CN"/>
        </w:rPr>
        <w:t>）园内的应急照明设计、火灾自动报警系统设计、防雷与接地设计、供配电系统设计、安防设计等，应符合国家现行有关标准的规定。</w:t>
      </w:r>
    </w:p>
    <w:p w14:paraId="795CB4B8">
      <w:pPr>
        <w:spacing w:line="312" w:lineRule="auto"/>
        <w:ind w:firstLine="640" w:firstLineChars="200"/>
        <w:rPr>
          <w:rFonts w:hint="eastAsia" w:asciiTheme="minorEastAsia" w:hAnsiTheme="minorEastAsia" w:eastAsiaTheme="minorEastAsia" w:cstheme="minorEastAsia"/>
          <w:color w:val="000000"/>
          <w:sz w:val="32"/>
          <w:szCs w:val="32"/>
          <w:highlight w:val="none"/>
          <w:u w:val="none"/>
          <w:lang w:val="en-US" w:eastAsia="zh-CN"/>
        </w:rPr>
      </w:pPr>
      <w:r>
        <w:rPr>
          <w:rFonts w:hint="eastAsia" w:asciiTheme="minorEastAsia" w:hAnsiTheme="minorEastAsia" w:cstheme="minorEastAsia"/>
          <w:color w:val="000000"/>
          <w:sz w:val="32"/>
          <w:szCs w:val="32"/>
          <w:highlight w:val="none"/>
          <w:u w:val="none"/>
          <w:lang w:eastAsia="zh-CN"/>
        </w:rPr>
        <w:t>（</w:t>
      </w:r>
      <w:r>
        <w:rPr>
          <w:rFonts w:hint="eastAsia" w:asciiTheme="minorEastAsia" w:hAnsiTheme="minorEastAsia" w:cstheme="minorEastAsia"/>
          <w:color w:val="000000"/>
          <w:sz w:val="32"/>
          <w:szCs w:val="32"/>
          <w:highlight w:val="none"/>
          <w:u w:val="none"/>
          <w:lang w:val="en-US" w:eastAsia="zh-CN"/>
        </w:rPr>
        <w:t>9</w:t>
      </w:r>
      <w:r>
        <w:rPr>
          <w:rFonts w:hint="eastAsia" w:asciiTheme="minorEastAsia" w:hAnsiTheme="minorEastAsia" w:cstheme="minorEastAsia"/>
          <w:color w:val="000000"/>
          <w:sz w:val="32"/>
          <w:szCs w:val="32"/>
          <w:highlight w:val="none"/>
          <w:u w:val="none"/>
          <w:lang w:eastAsia="zh-CN"/>
        </w:rPr>
        <w:t>）具体详见以下建设参考标准：</w:t>
      </w:r>
    </w:p>
    <w:tbl>
      <w:tblPr>
        <w:tblStyle w:val="8"/>
        <w:tblpPr w:leftFromText="180" w:rightFromText="180" w:vertAnchor="text" w:horzAnchor="page" w:tblpX="1165" w:tblpY="592"/>
        <w:tblOverlap w:val="never"/>
        <w:tblW w:w="991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53"/>
        <w:gridCol w:w="8965"/>
      </w:tblGrid>
      <w:tr w14:paraId="3D1F8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098FD">
            <w:pPr>
              <w:keepNext w:val="0"/>
              <w:keepLines w:val="0"/>
              <w:widowControl/>
              <w:suppressLineNumbers w:val="0"/>
              <w:jc w:val="center"/>
              <w:textAlignment w:val="center"/>
              <w:rPr>
                <w:rFonts w:hint="eastAsia" w:ascii="黑体" w:hAnsi="宋体" w:eastAsia="黑体" w:cs="黑体"/>
                <w:b/>
                <w:bCs/>
                <w:i w:val="0"/>
                <w:iCs w:val="0"/>
                <w:color w:val="000000"/>
                <w:kern w:val="0"/>
                <w:sz w:val="24"/>
                <w:szCs w:val="24"/>
                <w:highlight w:val="none"/>
                <w:u w:val="none"/>
                <w:lang w:val="en-US" w:eastAsia="zh-CN" w:bidi="ar"/>
              </w:rPr>
            </w:pPr>
            <w:r>
              <w:rPr>
                <w:rFonts w:hint="eastAsia" w:ascii="黑体" w:hAnsi="宋体" w:eastAsia="黑体" w:cs="黑体"/>
                <w:b/>
                <w:bCs/>
                <w:i w:val="0"/>
                <w:iCs w:val="0"/>
                <w:color w:val="000000"/>
                <w:kern w:val="0"/>
                <w:sz w:val="24"/>
                <w:szCs w:val="24"/>
                <w:highlight w:val="none"/>
                <w:u w:val="none"/>
                <w:lang w:val="en-US" w:eastAsia="zh-CN" w:bidi="ar"/>
              </w:rPr>
              <w:t>建设</w:t>
            </w:r>
          </w:p>
          <w:p w14:paraId="7D8A6FEF">
            <w:pPr>
              <w:keepNext w:val="0"/>
              <w:keepLines w:val="0"/>
              <w:widowControl/>
              <w:suppressLineNumbers w:val="0"/>
              <w:jc w:val="center"/>
              <w:textAlignment w:val="center"/>
              <w:rPr>
                <w:rFonts w:ascii="黑体" w:hAnsi="宋体" w:eastAsia="黑体" w:cs="黑体"/>
                <w:b/>
                <w:bCs/>
                <w:i w:val="0"/>
                <w:iCs w:val="0"/>
                <w:color w:val="000000"/>
                <w:sz w:val="24"/>
                <w:szCs w:val="24"/>
                <w:highlight w:val="none"/>
                <w:u w:val="none"/>
              </w:rPr>
            </w:pPr>
            <w:r>
              <w:rPr>
                <w:rFonts w:hint="eastAsia" w:ascii="黑体" w:hAnsi="宋体" w:eastAsia="黑体" w:cs="黑体"/>
                <w:b/>
                <w:bCs/>
                <w:i w:val="0"/>
                <w:iCs w:val="0"/>
                <w:color w:val="000000"/>
                <w:kern w:val="0"/>
                <w:sz w:val="24"/>
                <w:szCs w:val="24"/>
                <w:highlight w:val="none"/>
                <w:u w:val="none"/>
                <w:lang w:val="en-US" w:eastAsia="zh-CN" w:bidi="ar"/>
              </w:rPr>
              <w:t>内容</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AAD6B">
            <w:pPr>
              <w:keepNext w:val="0"/>
              <w:keepLines w:val="0"/>
              <w:widowControl/>
              <w:suppressLineNumbers w:val="0"/>
              <w:jc w:val="center"/>
              <w:textAlignment w:val="center"/>
              <w:rPr>
                <w:rFonts w:hint="eastAsia" w:ascii="黑体" w:hAnsi="宋体" w:eastAsia="黑体" w:cs="黑体"/>
                <w:b/>
                <w:bCs/>
                <w:i w:val="0"/>
                <w:iCs w:val="0"/>
                <w:color w:val="000000"/>
                <w:sz w:val="24"/>
                <w:szCs w:val="24"/>
                <w:highlight w:val="none"/>
                <w:u w:val="none"/>
              </w:rPr>
            </w:pPr>
            <w:r>
              <w:rPr>
                <w:rFonts w:hint="eastAsia" w:ascii="黑体" w:hAnsi="宋体" w:eastAsia="黑体" w:cs="黑体"/>
                <w:b/>
                <w:bCs/>
                <w:i w:val="0"/>
                <w:iCs w:val="0"/>
                <w:color w:val="000000"/>
                <w:kern w:val="0"/>
                <w:sz w:val="24"/>
                <w:szCs w:val="24"/>
                <w:highlight w:val="none"/>
                <w:u w:val="none"/>
                <w:lang w:val="en-US" w:eastAsia="zh-CN" w:bidi="ar"/>
              </w:rPr>
              <w:t>建设参考标准</w:t>
            </w:r>
          </w:p>
        </w:tc>
      </w:tr>
      <w:tr w14:paraId="6D9CD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restart"/>
            <w:tcBorders>
              <w:top w:val="single" w:color="000000" w:sz="4" w:space="0"/>
              <w:left w:val="single" w:color="000000" w:sz="4" w:space="0"/>
              <w:right w:val="single" w:color="000000" w:sz="4" w:space="0"/>
            </w:tcBorders>
            <w:shd w:val="clear" w:color="auto" w:fill="auto"/>
            <w:vAlign w:val="center"/>
          </w:tcPr>
          <w:p w14:paraId="05ED1C5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建筑</w:t>
            </w:r>
          </w:p>
          <w:p w14:paraId="0F47FE3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设计</w:t>
            </w:r>
          </w:p>
          <w:p w14:paraId="569F82B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一般</w:t>
            </w:r>
          </w:p>
          <w:p w14:paraId="42DBB2B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规定</w:t>
            </w:r>
          </w:p>
          <w:p w14:paraId="10F5CC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要求</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9050A">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建筑窗的设计应符合下列规定：</w:t>
            </w:r>
          </w:p>
        </w:tc>
      </w:tr>
      <w:tr w14:paraId="52CC76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953" w:type="dxa"/>
            <w:vMerge w:val="continue"/>
            <w:tcBorders>
              <w:left w:val="single" w:color="000000" w:sz="4" w:space="0"/>
              <w:right w:val="single" w:color="000000" w:sz="4" w:space="0"/>
            </w:tcBorders>
            <w:shd w:val="clear" w:color="auto" w:fill="auto"/>
            <w:vAlign w:val="center"/>
          </w:tcPr>
          <w:p w14:paraId="7484FFA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4FDE0">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①活动室、多功能活动室的窗台面距地面</w:t>
            </w:r>
            <w:r>
              <w:rPr>
                <w:rStyle w:val="29"/>
                <w:highlight w:val="none"/>
                <w:lang w:val="en-US" w:eastAsia="zh-CN" w:bidi="ar"/>
              </w:rPr>
              <w:t>高</w:t>
            </w:r>
            <w:r>
              <w:rPr>
                <w:rStyle w:val="28"/>
                <w:highlight w:val="none"/>
                <w:lang w:val="en-US" w:eastAsia="zh-CN" w:bidi="ar"/>
              </w:rPr>
              <w:t>度不宜大于</w:t>
            </w:r>
            <w:r>
              <w:rPr>
                <w:rStyle w:val="29"/>
                <w:highlight w:val="none"/>
                <w:lang w:val="en-US" w:eastAsia="zh-CN" w:bidi="ar"/>
              </w:rPr>
              <w:t>O.60m；</w:t>
            </w:r>
          </w:p>
        </w:tc>
      </w:tr>
      <w:tr w14:paraId="5F86E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953" w:type="dxa"/>
            <w:vMerge w:val="continue"/>
            <w:tcBorders>
              <w:left w:val="single" w:color="000000" w:sz="4" w:space="0"/>
              <w:right w:val="single" w:color="000000" w:sz="4" w:space="0"/>
            </w:tcBorders>
            <w:shd w:val="clear" w:color="auto" w:fill="auto"/>
            <w:vAlign w:val="center"/>
          </w:tcPr>
          <w:p w14:paraId="7BD44E4B">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E9C62">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②窗台面距楼地面高度低于</w:t>
            </w:r>
            <w:r>
              <w:rPr>
                <w:rStyle w:val="29"/>
                <w:highlight w:val="none"/>
                <w:lang w:val="en-US" w:eastAsia="zh-CN" w:bidi="ar"/>
              </w:rPr>
              <w:t>0.9O</w:t>
            </w:r>
            <w:r>
              <w:rPr>
                <w:rStyle w:val="29"/>
                <w:rFonts w:hint="eastAsia"/>
                <w:highlight w:val="none"/>
                <w:lang w:val="en-US" w:eastAsia="zh-CN" w:bidi="ar"/>
              </w:rPr>
              <w:t>m</w:t>
            </w:r>
            <w:r>
              <w:rPr>
                <w:rStyle w:val="28"/>
                <w:highlight w:val="none"/>
                <w:lang w:val="en-US" w:eastAsia="zh-CN" w:bidi="ar"/>
              </w:rPr>
              <w:t>时，应采取防护措施，防护高度应从可踏部位顶面起算，不应低于</w:t>
            </w:r>
            <w:r>
              <w:rPr>
                <w:rStyle w:val="29"/>
                <w:highlight w:val="none"/>
                <w:lang w:val="en-US" w:eastAsia="zh-CN" w:bidi="ar"/>
              </w:rPr>
              <w:t>0.90m；</w:t>
            </w:r>
            <w:r>
              <w:rPr>
                <w:rStyle w:val="28"/>
                <w:highlight w:val="none"/>
                <w:lang w:val="en-US" w:eastAsia="zh-CN" w:bidi="ar"/>
              </w:rPr>
              <w:t>③窗距离楼地面的高度小于或等于</w:t>
            </w:r>
            <w:r>
              <w:rPr>
                <w:rStyle w:val="29"/>
                <w:rFonts w:hint="eastAsia"/>
                <w:highlight w:val="none"/>
                <w:lang w:val="en-US" w:eastAsia="zh-CN" w:bidi="ar"/>
              </w:rPr>
              <w:t>0.</w:t>
            </w:r>
            <w:r>
              <w:rPr>
                <w:rStyle w:val="29"/>
                <w:highlight w:val="none"/>
                <w:lang w:val="en-US" w:eastAsia="zh-CN" w:bidi="ar"/>
              </w:rPr>
              <w:t>80m</w:t>
            </w:r>
            <w:r>
              <w:rPr>
                <w:rStyle w:val="28"/>
                <w:highlight w:val="none"/>
                <w:lang w:val="en-US" w:eastAsia="zh-CN" w:bidi="ar"/>
              </w:rPr>
              <w:t>的部分，不应设内悬窗和内平开窗扇；外窗开启扇均应设纱窗。筑造型和室内设计应符合幼儿的心理和生理特点。</w:t>
            </w:r>
          </w:p>
        </w:tc>
      </w:tr>
      <w:tr w14:paraId="5D62C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589D1D31">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82623">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幼儿出入的门应符合下列规定：</w:t>
            </w:r>
          </w:p>
        </w:tc>
      </w:tr>
      <w:tr w14:paraId="5ACAC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953" w:type="dxa"/>
            <w:vMerge w:val="continue"/>
            <w:tcBorders>
              <w:left w:val="single" w:color="000000" w:sz="4" w:space="0"/>
              <w:right w:val="single" w:color="000000" w:sz="4" w:space="0"/>
            </w:tcBorders>
            <w:shd w:val="clear" w:color="auto" w:fill="auto"/>
            <w:vAlign w:val="center"/>
          </w:tcPr>
          <w:p w14:paraId="339EDC0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1203B">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①活动室、寝室、多功能活动室等幼儿使用的房间应设双扇平开门，门净宽不应小于</w:t>
            </w:r>
            <w:r>
              <w:rPr>
                <w:rStyle w:val="29"/>
                <w:highlight w:val="none"/>
                <w:lang w:val="en-US" w:eastAsia="zh-CN" w:bidi="ar"/>
              </w:rPr>
              <w:t>1.20m；</w:t>
            </w:r>
          </w:p>
        </w:tc>
      </w:tr>
      <w:tr w14:paraId="727B4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0EBE8B6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62DA8">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②当使用玻璃材料时，应采用安全玻璃；</w:t>
            </w:r>
          </w:p>
        </w:tc>
      </w:tr>
      <w:tr w14:paraId="6C7EA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953" w:type="dxa"/>
            <w:vMerge w:val="continue"/>
            <w:tcBorders>
              <w:left w:val="single" w:color="000000" w:sz="4" w:space="0"/>
              <w:right w:val="single" w:color="000000" w:sz="4" w:space="0"/>
            </w:tcBorders>
            <w:shd w:val="clear" w:color="auto" w:fill="auto"/>
            <w:vAlign w:val="center"/>
          </w:tcPr>
          <w:p w14:paraId="662C64D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E7131">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③距离地面</w:t>
            </w:r>
            <w:r>
              <w:rPr>
                <w:rStyle w:val="29"/>
                <w:highlight w:val="none"/>
                <w:lang w:val="en-US" w:eastAsia="zh-CN" w:bidi="ar"/>
              </w:rPr>
              <w:t>0.60m</w:t>
            </w:r>
            <w:r>
              <w:rPr>
                <w:rStyle w:val="28"/>
                <w:highlight w:val="none"/>
                <w:lang w:val="en-US" w:eastAsia="zh-CN" w:bidi="ar"/>
              </w:rPr>
              <w:t>处宜加设幼儿专用拉手；</w:t>
            </w:r>
          </w:p>
        </w:tc>
      </w:tr>
      <w:tr w14:paraId="5D71D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021E001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95A99">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④门的双面均应平滑、无棱角：</w:t>
            </w:r>
          </w:p>
        </w:tc>
      </w:tr>
      <w:tr w14:paraId="7E596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53" w:type="dxa"/>
            <w:vMerge w:val="continue"/>
            <w:tcBorders>
              <w:left w:val="single" w:color="000000" w:sz="4" w:space="0"/>
              <w:right w:val="single" w:color="000000" w:sz="4" w:space="0"/>
            </w:tcBorders>
            <w:shd w:val="clear" w:color="auto" w:fill="auto"/>
            <w:vAlign w:val="center"/>
          </w:tcPr>
          <w:p w14:paraId="2E417ED8">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BA44D">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⑤门下不应设门槛：</w:t>
            </w:r>
          </w:p>
        </w:tc>
      </w:tr>
      <w:tr w14:paraId="6BCEC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953" w:type="dxa"/>
            <w:vMerge w:val="continue"/>
            <w:tcBorders>
              <w:left w:val="single" w:color="000000" w:sz="4" w:space="0"/>
              <w:right w:val="single" w:color="000000" w:sz="4" w:space="0"/>
            </w:tcBorders>
            <w:shd w:val="clear" w:color="auto" w:fill="auto"/>
            <w:vAlign w:val="center"/>
          </w:tcPr>
          <w:p w14:paraId="31ECDE78">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A0C9D">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⑥平开门距离楼地面</w:t>
            </w:r>
            <w:r>
              <w:rPr>
                <w:rStyle w:val="29"/>
                <w:highlight w:val="none"/>
                <w:lang w:val="en-US" w:eastAsia="zh-CN" w:bidi="ar"/>
              </w:rPr>
              <w:t>1.2m</w:t>
            </w:r>
            <w:r>
              <w:rPr>
                <w:rStyle w:val="28"/>
                <w:highlight w:val="none"/>
                <w:lang w:val="en-US" w:eastAsia="zh-CN" w:bidi="ar"/>
              </w:rPr>
              <w:t>以下部分应设防止夹手设施；</w:t>
            </w:r>
          </w:p>
        </w:tc>
      </w:tr>
      <w:tr w14:paraId="3117D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953" w:type="dxa"/>
            <w:vMerge w:val="continue"/>
            <w:tcBorders>
              <w:left w:val="single" w:color="000000" w:sz="4" w:space="0"/>
              <w:right w:val="single" w:color="000000" w:sz="4" w:space="0"/>
            </w:tcBorders>
            <w:shd w:val="clear" w:color="auto" w:fill="auto"/>
            <w:vAlign w:val="center"/>
          </w:tcPr>
          <w:p w14:paraId="7E9EB4D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F8042">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⑦不应设置旋转门、弹簧门、推拉门，不宜设金属门；</w:t>
            </w:r>
          </w:p>
        </w:tc>
      </w:tr>
      <w:tr w14:paraId="76564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53" w:type="dxa"/>
            <w:vMerge w:val="continue"/>
            <w:tcBorders>
              <w:left w:val="single" w:color="000000" w:sz="4" w:space="0"/>
              <w:right w:val="single" w:color="000000" w:sz="4" w:space="0"/>
            </w:tcBorders>
            <w:shd w:val="clear" w:color="auto" w:fill="auto"/>
            <w:vAlign w:val="center"/>
          </w:tcPr>
          <w:p w14:paraId="0F82218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7864">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⑧生活用房开向疏散走道的门均应向人员疏散方向开启，开启的门扇不应妨碍走道疏散通行；⑨门上应设观察窗，观察窗应安装安全玻璃。</w:t>
            </w:r>
          </w:p>
        </w:tc>
      </w:tr>
      <w:tr w14:paraId="07A20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120EF11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B0982">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防护栏应符合下列规定：</w:t>
            </w:r>
          </w:p>
        </w:tc>
      </w:tr>
      <w:tr w14:paraId="4250E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53" w:type="dxa"/>
            <w:vMerge w:val="continue"/>
            <w:tcBorders>
              <w:left w:val="single" w:color="000000" w:sz="4" w:space="0"/>
              <w:right w:val="single" w:color="000000" w:sz="4" w:space="0"/>
            </w:tcBorders>
            <w:shd w:val="clear" w:color="auto" w:fill="auto"/>
            <w:vAlign w:val="center"/>
          </w:tcPr>
          <w:p w14:paraId="307368D4">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434A0">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①外廊、室内回廊、阳台等临空处应设置防护栏杆，栏杆应以坚固、耐久的材料制作；</w:t>
            </w:r>
          </w:p>
        </w:tc>
      </w:tr>
      <w:tr w14:paraId="355A5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53" w:type="dxa"/>
            <w:vMerge w:val="continue"/>
            <w:tcBorders>
              <w:left w:val="single" w:color="000000" w:sz="4" w:space="0"/>
              <w:right w:val="single" w:color="000000" w:sz="4" w:space="0"/>
            </w:tcBorders>
            <w:shd w:val="clear" w:color="auto" w:fill="auto"/>
            <w:vAlign w:val="center"/>
          </w:tcPr>
          <w:p w14:paraId="7CE77E7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82711">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②防护栏杆的高度应从可踏部位顶面起算，且净高不应小于</w:t>
            </w:r>
            <w:r>
              <w:rPr>
                <w:rStyle w:val="29"/>
                <w:highlight w:val="none"/>
                <w:lang w:val="en-US" w:eastAsia="zh-CN" w:bidi="ar"/>
              </w:rPr>
              <w:t>1.30m；</w:t>
            </w:r>
          </w:p>
        </w:tc>
      </w:tr>
      <w:tr w14:paraId="74FC4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953" w:type="dxa"/>
            <w:vMerge w:val="continue"/>
            <w:tcBorders>
              <w:left w:val="single" w:color="000000" w:sz="4" w:space="0"/>
              <w:right w:val="single" w:color="000000" w:sz="4" w:space="0"/>
            </w:tcBorders>
            <w:shd w:val="clear" w:color="auto" w:fill="auto"/>
            <w:vAlign w:val="center"/>
          </w:tcPr>
          <w:p w14:paraId="1CAF142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EC291">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③防护栏杆必须采用防止幼儿攀登和穿过的构造,当采用垂直杆件做栏杆时,其杆件净距离不应大于</w:t>
            </w:r>
            <w:r>
              <w:rPr>
                <w:rStyle w:val="29"/>
                <w:highlight w:val="none"/>
                <w:lang w:val="en-US" w:eastAsia="zh-CN" w:bidi="ar"/>
              </w:rPr>
              <w:t>0.09m；</w:t>
            </w:r>
          </w:p>
        </w:tc>
      </w:tr>
      <w:tr w14:paraId="7DF08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953" w:type="dxa"/>
            <w:vMerge w:val="continue"/>
            <w:tcBorders>
              <w:left w:val="single" w:color="000000" w:sz="4" w:space="0"/>
              <w:right w:val="single" w:color="000000" w:sz="4" w:space="0"/>
            </w:tcBorders>
            <w:shd w:val="clear" w:color="auto" w:fill="auto"/>
            <w:vAlign w:val="center"/>
          </w:tcPr>
          <w:p w14:paraId="2182CE7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3E00E">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④出入口台阶高度超过</w:t>
            </w:r>
            <w:r>
              <w:rPr>
                <w:rStyle w:val="29"/>
                <w:highlight w:val="none"/>
                <w:lang w:val="en-US" w:eastAsia="zh-CN" w:bidi="ar"/>
              </w:rPr>
              <w:t>0.3O</w:t>
            </w:r>
            <w:r>
              <w:rPr>
                <w:rStyle w:val="29"/>
                <w:rFonts w:hint="eastAsia"/>
                <w:highlight w:val="none"/>
                <w:lang w:val="en-US" w:eastAsia="zh-CN" w:bidi="ar"/>
              </w:rPr>
              <w:t>m</w:t>
            </w:r>
            <w:r>
              <w:rPr>
                <w:rStyle w:val="28"/>
                <w:highlight w:val="none"/>
                <w:lang w:val="en-US" w:eastAsia="zh-CN" w:bidi="ar"/>
              </w:rPr>
              <w:t>并侧面临空时，应设置防护设施，防护设施净高不应低于</w:t>
            </w:r>
            <w:r>
              <w:rPr>
                <w:rStyle w:val="29"/>
                <w:highlight w:val="none"/>
                <w:lang w:val="en-US" w:eastAsia="zh-CN" w:bidi="ar"/>
              </w:rPr>
              <w:t>1.05m</w:t>
            </w:r>
            <w:r>
              <w:rPr>
                <w:rStyle w:val="28"/>
                <w:highlight w:val="none"/>
                <w:lang w:val="en-US" w:eastAsia="zh-CN" w:bidi="ar"/>
              </w:rPr>
              <w:t>。</w:t>
            </w:r>
          </w:p>
        </w:tc>
      </w:tr>
      <w:tr w14:paraId="19FEF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72F4F7B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38E8C">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r>
              <w:rPr>
                <w:rStyle w:val="28"/>
                <w:highlight w:val="none"/>
                <w:lang w:val="en-US" w:eastAsia="zh-CN" w:bidi="ar"/>
              </w:rPr>
              <w:t>墙面符合下列规定：</w:t>
            </w:r>
          </w:p>
        </w:tc>
      </w:tr>
      <w:tr w14:paraId="797B8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2239B03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0B540">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①距离地面高度1.30</w:t>
            </w:r>
            <w:r>
              <w:rPr>
                <w:rStyle w:val="29"/>
                <w:highlight w:val="none"/>
                <w:lang w:val="en-US" w:eastAsia="zh-CN" w:bidi="ar"/>
              </w:rPr>
              <w:t>m</w:t>
            </w:r>
            <w:r>
              <w:rPr>
                <w:rStyle w:val="28"/>
                <w:highlight w:val="none"/>
                <w:lang w:val="en-US" w:eastAsia="zh-CN" w:bidi="ar"/>
              </w:rPr>
              <w:t>以下，幼儿经常接触的室内外墙面，宜采用光滑易清洁的材料；</w:t>
            </w:r>
          </w:p>
        </w:tc>
      </w:tr>
      <w:tr w14:paraId="7D9EA9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7D4C9260">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6B19">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②墙角、窗台、暖气罩、窗口竖边等阳角处应做成圆角；</w:t>
            </w:r>
          </w:p>
        </w:tc>
      </w:tr>
      <w:tr w14:paraId="5BC7D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073C1F3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67488">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③乳儿班和托小班活动区地面应做暖性、软质面层,距地</w:t>
            </w:r>
            <w:r>
              <w:rPr>
                <w:rStyle w:val="29"/>
                <w:highlight w:val="none"/>
                <w:lang w:val="en-US" w:eastAsia="zh-CN" w:bidi="ar"/>
              </w:rPr>
              <w:t>1.2m</w:t>
            </w:r>
            <w:r>
              <w:rPr>
                <w:rStyle w:val="28"/>
                <w:highlight w:val="none"/>
                <w:lang w:val="en-US" w:eastAsia="zh-CN" w:bidi="ar"/>
              </w:rPr>
              <w:t>的墙面应做软质面层。</w:t>
            </w:r>
          </w:p>
        </w:tc>
      </w:tr>
      <w:tr w14:paraId="3D0FE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44376A2B">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5395A">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r>
              <w:rPr>
                <w:rStyle w:val="28"/>
                <w:highlight w:val="none"/>
                <w:lang w:val="en-US" w:eastAsia="zh-CN" w:bidi="ar"/>
              </w:rPr>
              <w:t>走道符合下列规定：</w:t>
            </w:r>
          </w:p>
        </w:tc>
      </w:tr>
      <w:tr w14:paraId="2D23E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53" w:type="dxa"/>
            <w:vMerge w:val="continue"/>
            <w:tcBorders>
              <w:left w:val="single" w:color="000000" w:sz="4" w:space="0"/>
              <w:right w:val="single" w:color="000000" w:sz="4" w:space="0"/>
            </w:tcBorders>
            <w:shd w:val="clear" w:color="auto" w:fill="auto"/>
            <w:vAlign w:val="center"/>
          </w:tcPr>
          <w:p w14:paraId="30C3B6E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961AE">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①幼儿经常通行和安全疏散的走道不应设有台阶</w:t>
            </w:r>
            <w:r>
              <w:rPr>
                <w:rStyle w:val="28"/>
                <w:highlight w:val="none"/>
                <w:lang w:val="en-US" w:eastAsia="zh-CN" w:bidi="ar"/>
              </w:rPr>
              <w:t>，当有高差时，应设置防滑坡道，其坡度不应大于</w:t>
            </w:r>
            <w:r>
              <w:rPr>
                <w:rStyle w:val="29"/>
                <w:highlight w:val="none"/>
                <w:lang w:val="en-US" w:eastAsia="zh-CN" w:bidi="ar"/>
              </w:rPr>
              <w:t>1：12；</w:t>
            </w:r>
          </w:p>
        </w:tc>
      </w:tr>
      <w:tr w14:paraId="48186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953" w:type="dxa"/>
            <w:vMerge w:val="continue"/>
            <w:tcBorders>
              <w:left w:val="single" w:color="000000" w:sz="4" w:space="0"/>
              <w:right w:val="single" w:color="000000" w:sz="4" w:space="0"/>
            </w:tcBorders>
            <w:shd w:val="clear" w:color="auto" w:fill="auto"/>
            <w:vAlign w:val="center"/>
          </w:tcPr>
          <w:p w14:paraId="31B0C5D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2AE00">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②疏散走道的墙面距地面</w:t>
            </w:r>
            <w:r>
              <w:rPr>
                <w:rStyle w:val="29"/>
                <w:highlight w:val="none"/>
                <w:lang w:val="en-US" w:eastAsia="zh-CN" w:bidi="ar"/>
              </w:rPr>
              <w:t>2m</w:t>
            </w:r>
            <w:r>
              <w:rPr>
                <w:rStyle w:val="28"/>
                <w:highlight w:val="none"/>
                <w:lang w:val="en-US" w:eastAsia="zh-CN" w:bidi="ar"/>
              </w:rPr>
              <w:t>以下不应设有壁柱、管道、消火栓箱、灭火器、广告牌等突出物。</w:t>
            </w:r>
          </w:p>
        </w:tc>
      </w:tr>
      <w:tr w14:paraId="40D28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6280CEBA">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985C">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r>
              <w:rPr>
                <w:rStyle w:val="28"/>
                <w:highlight w:val="none"/>
                <w:lang w:val="en-US" w:eastAsia="zh-CN" w:bidi="ar"/>
              </w:rPr>
              <w:t>走廊符合下列规定：</w:t>
            </w:r>
          </w:p>
        </w:tc>
      </w:tr>
      <w:tr w14:paraId="64ACB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7526DD9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34E9E">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①建筑走廊最小净宽不应小于以下要求；</w:t>
            </w:r>
          </w:p>
        </w:tc>
      </w:tr>
      <w:tr w14:paraId="58C34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7E15BE2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4436C">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②生活用房中间走廊</w:t>
            </w:r>
            <w:r>
              <w:rPr>
                <w:rStyle w:val="29"/>
                <w:highlight w:val="none"/>
                <w:lang w:val="en-US" w:eastAsia="zh-CN" w:bidi="ar"/>
              </w:rPr>
              <w:t>2.4</w:t>
            </w:r>
            <w:r>
              <w:rPr>
                <w:rStyle w:val="28"/>
                <w:highlight w:val="none"/>
                <w:lang w:val="en-US" w:eastAsia="zh-CN" w:bidi="ar"/>
              </w:rPr>
              <w:t>米：</w:t>
            </w:r>
          </w:p>
        </w:tc>
      </w:tr>
      <w:tr w14:paraId="74449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45BDAAB4">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60926">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③生活用房单面走廊或外廊</w:t>
            </w:r>
            <w:r>
              <w:rPr>
                <w:rStyle w:val="29"/>
                <w:highlight w:val="none"/>
                <w:lang w:val="en-US" w:eastAsia="zh-CN" w:bidi="ar"/>
              </w:rPr>
              <w:t>1.8</w:t>
            </w:r>
            <w:r>
              <w:rPr>
                <w:rStyle w:val="28"/>
                <w:highlight w:val="none"/>
                <w:lang w:val="en-US" w:eastAsia="zh-CN" w:bidi="ar"/>
              </w:rPr>
              <w:t>米：</w:t>
            </w:r>
          </w:p>
        </w:tc>
      </w:tr>
      <w:tr w14:paraId="09E4D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left w:val="single" w:color="000000" w:sz="4" w:space="0"/>
              <w:right w:val="single" w:color="000000" w:sz="4" w:space="0"/>
            </w:tcBorders>
            <w:shd w:val="clear" w:color="auto" w:fill="auto"/>
            <w:vAlign w:val="center"/>
          </w:tcPr>
          <w:p w14:paraId="5B7C7C2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0DC49">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④服务、供应用房中间走廊</w:t>
            </w:r>
            <w:r>
              <w:rPr>
                <w:rStyle w:val="29"/>
                <w:highlight w:val="none"/>
                <w:lang w:val="en-US" w:eastAsia="zh-CN" w:bidi="ar"/>
              </w:rPr>
              <w:t>1.5</w:t>
            </w:r>
            <w:r>
              <w:rPr>
                <w:rStyle w:val="28"/>
                <w:highlight w:val="none"/>
                <w:lang w:val="en-US" w:eastAsia="zh-CN" w:bidi="ar"/>
              </w:rPr>
              <w:t>米：</w:t>
            </w:r>
          </w:p>
        </w:tc>
      </w:tr>
      <w:tr w14:paraId="7CC71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45F06491">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9D7D3">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⑤服务、供应用房单面走廊或外廊</w:t>
            </w:r>
            <w:r>
              <w:rPr>
                <w:rStyle w:val="29"/>
                <w:highlight w:val="none"/>
                <w:lang w:val="en-US" w:eastAsia="zh-CN" w:bidi="ar"/>
              </w:rPr>
              <w:t>1.3</w:t>
            </w:r>
            <w:r>
              <w:rPr>
                <w:rStyle w:val="28"/>
                <w:highlight w:val="none"/>
                <w:lang w:val="en-US" w:eastAsia="zh-CN" w:bidi="ar"/>
              </w:rPr>
              <w:t>米；</w:t>
            </w:r>
          </w:p>
        </w:tc>
      </w:tr>
      <w:tr w14:paraId="0EA89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6445F87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DFD38">
            <w:pPr>
              <w:keepNext w:val="0"/>
              <w:keepLines w:val="0"/>
              <w:widowControl/>
              <w:suppressLineNumbers w:val="0"/>
              <w:jc w:val="both"/>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7.生活用房符合下列规定：</w:t>
            </w:r>
          </w:p>
        </w:tc>
      </w:tr>
      <w:tr w14:paraId="04A5D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136A51B1">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A93A7">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①室内净高2.8-3.9m；</w:t>
            </w:r>
          </w:p>
        </w:tc>
      </w:tr>
      <w:tr w14:paraId="27FE5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44A777A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5B23C">
            <w:pPr>
              <w:keepNext w:val="0"/>
              <w:keepLines w:val="0"/>
              <w:widowControl/>
              <w:suppressLineNumbers w:val="0"/>
              <w:jc w:val="both"/>
              <w:textAlignment w:val="center"/>
              <w:rPr>
                <w:rFonts w:hint="default"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②乳儿班睡眠区不小于30㎡，活动区不小于15㎡，配餐区不小于6㎡，清洁区不小于6㎡，储藏区不小于4㎡，喂奶室不小于10㎡；</w:t>
            </w:r>
          </w:p>
        </w:tc>
      </w:tr>
      <w:tr w14:paraId="5AEAC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446D6CC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88A7C">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③托小班睡眠区不小于35㎡，活动区不小于35㎡，配餐区不小于6㎡，清洁区不小于6㎡，储藏区不小于4㎡，卫生间不小于8㎡，喂奶室不小于10㎡；</w:t>
            </w:r>
          </w:p>
        </w:tc>
      </w:tr>
      <w:tr w14:paraId="20FBF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122FEB4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8A588">
            <w:pPr>
              <w:keepNext w:val="0"/>
              <w:keepLines w:val="0"/>
              <w:widowControl/>
              <w:suppressLineNumbers w:val="0"/>
              <w:jc w:val="both"/>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④托大班活动室不小于70㎡，寝室不小于60㎡，衣帽储藏间不小于9㎡，厕所不小于12㎡，盥洗室不小于8㎡。</w:t>
            </w:r>
          </w:p>
        </w:tc>
      </w:tr>
      <w:tr w14:paraId="1A416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249DF31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7C5FD">
            <w:pPr>
              <w:keepNext w:val="0"/>
              <w:keepLines w:val="0"/>
              <w:widowControl/>
              <w:suppressLineNumbers w:val="0"/>
              <w:jc w:val="both"/>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8.服务管理用房要求：晨检室15㎡，保健观察室15㎡，警卫室10㎡，储藏室24㎡，园长室18㎡，财务室18㎡，教师办公室24㎡，会议室30㎡，教具制作室24㎡，感统训练室100㎡，亲子活动室100㎡。</w:t>
            </w:r>
          </w:p>
        </w:tc>
      </w:tr>
      <w:tr w14:paraId="4BA4F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7AE8435B">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4D678">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9.</w:t>
            </w:r>
            <w:r>
              <w:rPr>
                <w:rStyle w:val="28"/>
                <w:highlight w:val="none"/>
                <w:lang w:val="en-US" w:eastAsia="zh-CN" w:bidi="ar"/>
              </w:rPr>
              <w:t>四个班及以上的托育机构建筑应独立设置</w:t>
            </w:r>
            <w:r>
              <w:rPr>
                <w:rStyle w:val="28"/>
                <w:rFonts w:hint="eastAsia" w:eastAsia="宋体"/>
                <w:highlight w:val="none"/>
                <w:lang w:val="en-US" w:eastAsia="zh-CN" w:bidi="ar"/>
              </w:rPr>
              <w:t>，</w:t>
            </w:r>
            <w:r>
              <w:rPr>
                <w:rStyle w:val="28"/>
                <w:highlight w:val="none"/>
                <w:lang w:val="en-US" w:eastAsia="zh-CN" w:bidi="ar"/>
              </w:rPr>
              <w:t>应符合下列规定：</w:t>
            </w:r>
          </w:p>
        </w:tc>
      </w:tr>
      <w:tr w14:paraId="6EA28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69046D6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E30A0">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Style w:val="28"/>
                <w:rFonts w:hint="eastAsia"/>
                <w:highlight w:val="none"/>
                <w:lang w:val="en-US" w:eastAsia="zh-CN" w:bidi="ar"/>
              </w:rPr>
              <w:t>(1)</w:t>
            </w:r>
            <w:r>
              <w:rPr>
                <w:rStyle w:val="28"/>
                <w:highlight w:val="none"/>
                <w:lang w:val="en-US" w:eastAsia="zh-CN" w:bidi="ar"/>
              </w:rPr>
              <w:t>合建的既有建筑应经有关部门验收合格，符合抗震、防火等安全方面的规定：</w:t>
            </w:r>
          </w:p>
        </w:tc>
      </w:tr>
      <w:tr w14:paraId="3B5FB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36C7F5A1">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BB1F7">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应设独立的疏散口和安全出口；</w:t>
            </w:r>
          </w:p>
        </w:tc>
      </w:tr>
      <w:tr w14:paraId="28DE5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22AD81E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29629">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出入口处应设置人员安全集散和车辆停靠的空间，且不影响城市道路交通；</w:t>
            </w:r>
          </w:p>
        </w:tc>
      </w:tr>
      <w:tr w14:paraId="2DCF9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4D11E3E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2E979">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(4)</w:t>
            </w:r>
            <w:r>
              <w:rPr>
                <w:rStyle w:val="28"/>
                <w:highlight w:val="none"/>
                <w:lang w:val="en-US" w:eastAsia="zh-CN" w:bidi="ar"/>
              </w:rPr>
              <w:t>设独立的室外活动场地，场地周围采取安全隔离措施，防止走失、失足、物体坠落等风险；</w:t>
            </w:r>
          </w:p>
        </w:tc>
      </w:tr>
      <w:tr w14:paraId="5A5B7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73D4BEB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41EF4">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10.</w:t>
            </w:r>
            <w:r>
              <w:rPr>
                <w:rStyle w:val="28"/>
                <w:highlight w:val="none"/>
                <w:lang w:val="en-US" w:eastAsia="zh-CN" w:bidi="ar"/>
              </w:rPr>
              <w:t>婴幼儿生活用房由乳儿班、托小班、托大班、混合班组成，各班有独立或者共用的生活单元，如唾眠区、活动区、配餐区、清洁区、卫生间、盥洗室、储藏区等。</w:t>
            </w:r>
          </w:p>
        </w:tc>
      </w:tr>
      <w:tr w14:paraId="5F88FD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7B0E665B">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1A589">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11</w:t>
            </w:r>
            <w:r>
              <w:rPr>
                <w:rStyle w:val="28"/>
                <w:highlight w:val="none"/>
                <w:lang w:val="en-US" w:eastAsia="zh-CN" w:bidi="ar"/>
              </w:rPr>
              <w:t>.生活用房应当符合《建筑设计防火规范》要求外，还应当满足以下条件：</w:t>
            </w:r>
          </w:p>
        </w:tc>
      </w:tr>
      <w:tr w14:paraId="3E560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3100B1F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099A6">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设置在一、二级耐火等级的建筑内。</w:t>
            </w:r>
          </w:p>
        </w:tc>
      </w:tr>
      <w:tr w14:paraId="125C6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5AEEBBB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F56F9">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场所采用耐火极限不低于</w:t>
            </w:r>
            <w:r>
              <w:rPr>
                <w:rStyle w:val="29"/>
                <w:highlight w:val="none"/>
                <w:lang w:val="en-US" w:eastAsia="zh-CN" w:bidi="ar"/>
              </w:rPr>
              <w:t>2.OOh</w:t>
            </w:r>
            <w:r>
              <w:rPr>
                <w:rStyle w:val="28"/>
                <w:highlight w:val="none"/>
                <w:lang w:val="en-US" w:eastAsia="zh-CN" w:bidi="ar"/>
              </w:rPr>
              <w:t>的防火隔墙和</w:t>
            </w:r>
            <w:r>
              <w:rPr>
                <w:rStyle w:val="29"/>
                <w:highlight w:val="none"/>
                <w:lang w:val="en-US" w:eastAsia="zh-CN" w:bidi="ar"/>
              </w:rPr>
              <w:t>1.0Oh</w:t>
            </w:r>
            <w:r>
              <w:rPr>
                <w:rStyle w:val="28"/>
                <w:highlight w:val="none"/>
                <w:lang w:val="en-US" w:eastAsia="zh-CN" w:bidi="ar"/>
              </w:rPr>
              <w:t>的楼板与其他场所或部位分隔，墙上必须设置的门、窗应采用乙级防火门、窗。</w:t>
            </w:r>
          </w:p>
        </w:tc>
      </w:tr>
      <w:tr w14:paraId="1FC8D7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566B9F2F">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29BA1">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场所设置自动喷水灭火系统和火灾自动报警设施。</w:t>
            </w:r>
          </w:p>
        </w:tc>
      </w:tr>
      <w:tr w14:paraId="6CD1C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280F1BD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98BBD">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(4)</w:t>
            </w:r>
            <w:r>
              <w:rPr>
                <w:rStyle w:val="28"/>
                <w:highlight w:val="none"/>
                <w:lang w:val="en-US" w:eastAsia="zh-CN" w:bidi="ar"/>
              </w:rPr>
              <w:t>场所顶棚的内装修材料为</w:t>
            </w:r>
            <w:r>
              <w:rPr>
                <w:rStyle w:val="29"/>
                <w:highlight w:val="none"/>
                <w:lang w:val="en-US" w:eastAsia="zh-CN" w:bidi="ar"/>
              </w:rPr>
              <w:t>A</w:t>
            </w:r>
            <w:r>
              <w:rPr>
                <w:rStyle w:val="28"/>
                <w:highlight w:val="none"/>
                <w:lang w:val="en-US" w:eastAsia="zh-CN" w:bidi="ar"/>
              </w:rPr>
              <w:t>级，墙面、地面、隔断、装饰织物和其他装饰材料不低于</w:t>
            </w:r>
            <w:r>
              <w:rPr>
                <w:rStyle w:val="29"/>
                <w:highlight w:val="none"/>
                <w:lang w:val="en-US" w:eastAsia="zh-CN" w:bidi="ar"/>
              </w:rPr>
              <w:t>Bl</w:t>
            </w:r>
            <w:r>
              <w:rPr>
                <w:rStyle w:val="28"/>
                <w:highlight w:val="none"/>
                <w:lang w:val="en-US" w:eastAsia="zh-CN" w:bidi="ar"/>
              </w:rPr>
              <w:t>级。</w:t>
            </w:r>
          </w:p>
        </w:tc>
      </w:tr>
      <w:tr w14:paraId="157AB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7E53800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43F2C">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12</w:t>
            </w:r>
            <w:r>
              <w:rPr>
                <w:rStyle w:val="28"/>
                <w:highlight w:val="none"/>
                <w:lang w:val="en-US" w:eastAsia="zh-CN" w:bidi="ar"/>
              </w:rPr>
              <w:t>.乳儿班和托小班、混合班宜设喂奶室，使用面积不宜小于</w:t>
            </w:r>
            <w:r>
              <w:rPr>
                <w:rStyle w:val="29"/>
                <w:highlight w:val="none"/>
                <w:lang w:val="en-US" w:eastAsia="zh-CN" w:bidi="ar"/>
              </w:rPr>
              <w:t>10</w:t>
            </w:r>
            <w:r>
              <w:rPr>
                <w:rStyle w:val="28"/>
                <w:highlight w:val="none"/>
                <w:lang w:val="en-US" w:eastAsia="zh-CN" w:bidi="ar"/>
              </w:rPr>
              <w:t>平方米，并应符合下列规定：①应临近婴幼儿生活空间；</w:t>
            </w:r>
          </w:p>
        </w:tc>
      </w:tr>
      <w:tr w14:paraId="3EE42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4AA50798">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EF027">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②应设置开向疏散走道的门；</w:t>
            </w:r>
          </w:p>
        </w:tc>
      </w:tr>
      <w:tr w14:paraId="48186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6919757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FF2AC">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③应设尿布台、洗手池，宜设成人厕所；</w:t>
            </w:r>
          </w:p>
        </w:tc>
      </w:tr>
      <w:tr w14:paraId="2CFF1E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20720C0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00129">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④乳儿由保育员抱出到喂奶室交给母亲哺乳，防止母亲经过婴幼儿生活空间，造成环境污染。</w:t>
            </w:r>
          </w:p>
        </w:tc>
      </w:tr>
      <w:tr w14:paraId="0567F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1CCCA7F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9722C">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13.</w:t>
            </w:r>
            <w:r>
              <w:rPr>
                <w:rStyle w:val="28"/>
                <w:highlight w:val="none"/>
                <w:lang w:val="en-US" w:eastAsia="zh-CN" w:bidi="ar"/>
              </w:rPr>
              <w:t>乳儿班和托小班、混合班生活单元各功能分区应符合下列规定：</w:t>
            </w:r>
          </w:p>
        </w:tc>
      </w:tr>
      <w:tr w14:paraId="7948D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6919EC94">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D581D">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①唾眠区应布置供每个婴幼儿使用的床位，不应布置双层床。床位四周不宜贴靠外墙；</w:t>
            </w:r>
          </w:p>
        </w:tc>
      </w:tr>
      <w:tr w14:paraId="1A80B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08D87F3D">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15BDC">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②配餐区应临近对外出入口，并设有调理台、洗涤池、洗手池、储藏柜等，应设加热设施，宜设通风或排烟设施；</w:t>
            </w:r>
          </w:p>
        </w:tc>
      </w:tr>
      <w:tr w14:paraId="46260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65BB72F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23B8">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③清洁区应设淋浴、尿布台、洗涤池、洗手池、污水池、成人厕位等设施；</w:t>
            </w:r>
          </w:p>
        </w:tc>
      </w:tr>
      <w:tr w14:paraId="70653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26AC23A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54072">
            <w:pPr>
              <w:keepNext w:val="0"/>
              <w:keepLines w:val="0"/>
              <w:widowControl/>
              <w:suppressLineNumbers w:val="0"/>
              <w:jc w:val="both"/>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④成人厕位应与幼儿卫生间隔离。</w:t>
            </w:r>
          </w:p>
        </w:tc>
      </w:tr>
      <w:tr w14:paraId="7E14E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953" w:type="dxa"/>
            <w:vMerge w:val="continue"/>
            <w:tcBorders>
              <w:left w:val="single" w:color="000000" w:sz="4" w:space="0"/>
              <w:right w:val="single" w:color="000000" w:sz="4" w:space="0"/>
            </w:tcBorders>
            <w:shd w:val="clear" w:color="auto" w:fill="auto"/>
            <w:vAlign w:val="center"/>
          </w:tcPr>
          <w:p w14:paraId="38F23E3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DCE9D">
            <w:pPr>
              <w:keepNext w:val="0"/>
              <w:keepLines w:val="0"/>
              <w:widowControl/>
              <w:suppressLineNumbers w:val="0"/>
              <w:jc w:val="both"/>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14</w:t>
            </w:r>
            <w:r>
              <w:rPr>
                <w:rStyle w:val="28"/>
                <w:highlight w:val="none"/>
                <w:lang w:val="en-US" w:eastAsia="zh-CN" w:bidi="ar"/>
              </w:rPr>
              <w:t>.活动室、寝室及具有相同功能的区域，应布置在机构内最好朝向，西晒房间应采取遮阳措施。冬至日底层满窗日照不应小于</w:t>
            </w:r>
            <w:r>
              <w:rPr>
                <w:rStyle w:val="29"/>
                <w:highlight w:val="none"/>
                <w:lang w:val="en-US" w:eastAsia="zh-CN" w:bidi="ar"/>
              </w:rPr>
              <w:t>3h</w:t>
            </w:r>
            <w:r>
              <w:rPr>
                <w:rStyle w:val="28"/>
                <w:highlight w:val="none"/>
                <w:lang w:val="en-US" w:eastAsia="zh-CN" w:bidi="ar"/>
              </w:rPr>
              <w:t>。需要获得冬季日照的婴幼儿生活用房窗洞开口面积不应小于该房间面积的</w:t>
            </w:r>
            <w:r>
              <w:rPr>
                <w:rStyle w:val="29"/>
                <w:highlight w:val="none"/>
                <w:lang w:val="en-US" w:eastAsia="zh-CN" w:bidi="ar"/>
              </w:rPr>
              <w:t>20%</w:t>
            </w:r>
            <w:r>
              <w:rPr>
                <w:rStyle w:val="28"/>
                <w:highlight w:val="none"/>
                <w:lang w:val="en-US" w:eastAsia="zh-CN" w:bidi="ar"/>
              </w:rPr>
              <w:t>。</w:t>
            </w:r>
          </w:p>
        </w:tc>
      </w:tr>
      <w:tr w14:paraId="493A6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2" w:hRule="atLeast"/>
        </w:trPr>
        <w:tc>
          <w:tcPr>
            <w:tcW w:w="9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54E89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1661AAB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471DD31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06E9CA9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785DF7E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11EAC17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53080E9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06CE138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41ED24F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48972EA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343DC0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50ECD3E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21CD3E0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设施</w:t>
            </w:r>
          </w:p>
          <w:p w14:paraId="690535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要求</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D3607">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安防消防应急设施。消火栓系统、自动喷水灭火系统及气体系统灭火设计等，应符合国家现行有关防火标准的规定。当设置消火栓灭火设施时，消防立管阀门布置应避免幼儿碰撞，并应将消火栓箱暗装设置。单独配置的灭火器箱应设置在不妨碍通行处。安全技术防范系统的设置应符合下列规定：</w:t>
            </w:r>
          </w:p>
        </w:tc>
      </w:tr>
      <w:tr w14:paraId="08AE3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C9AE4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D5D79">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①园区大门、建筑物出入口、楼梯间、走廊、厨房等应设置视频安防监控系统，应设有监控视频观察区，对机构内所有场所（成人洗手间和更衣间除外）进行无死角监控；</w:t>
            </w:r>
          </w:p>
        </w:tc>
      </w:tr>
      <w:tr w14:paraId="2C9E6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AF41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2C4E4">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②周界宜设置入侵报警系统、电子巡查系统：</w:t>
            </w:r>
          </w:p>
        </w:tc>
      </w:tr>
      <w:tr w14:paraId="2068C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E14AC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CE7AC">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③财务室应设置入侵报警系统；</w:t>
            </w:r>
          </w:p>
        </w:tc>
      </w:tr>
      <w:tr w14:paraId="7E3E4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9D301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90FB1">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④建筑物出入口、楼梯间、厨房、配电间等处宜设置入侵报警系统；</w:t>
            </w:r>
          </w:p>
        </w:tc>
      </w:tr>
      <w:tr w14:paraId="2F802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1E26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9082E">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⑥园区大门、厨房宜设置出入口控制系统。</w:t>
            </w:r>
          </w:p>
        </w:tc>
      </w:tr>
      <w:tr w14:paraId="3FD1D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874E43">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33E9C">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应急照明设计、火灾自动报警系统设计、防雷与接地设计、供配电系统设计、安防设计等，应符合国家现行有关标准的规定。</w:t>
            </w:r>
          </w:p>
        </w:tc>
      </w:tr>
      <w:tr w14:paraId="29F99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4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6B339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CE907">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.生活设施。卫生间应配备流动水。托小班卫生间内应设适合幼儿使用的卫生器具，坐便器高度宜为</w:t>
            </w:r>
            <w:r>
              <w:rPr>
                <w:rStyle w:val="29"/>
                <w:highlight w:val="none"/>
                <w:lang w:val="en-US" w:eastAsia="zh-CN" w:bidi="ar"/>
              </w:rPr>
              <w:t>0.25m</w:t>
            </w:r>
            <w:r>
              <w:rPr>
                <w:rStyle w:val="28"/>
                <w:highlight w:val="none"/>
                <w:lang w:val="en-US" w:eastAsia="zh-CN" w:bidi="ar"/>
              </w:rPr>
              <w:t>以下，每班至少设</w:t>
            </w:r>
            <w:r>
              <w:rPr>
                <w:rStyle w:val="29"/>
                <w:highlight w:val="none"/>
                <w:lang w:val="en-US" w:eastAsia="zh-CN" w:bidi="ar"/>
              </w:rPr>
              <w:t>2</w:t>
            </w:r>
            <w:r>
              <w:rPr>
                <w:rStyle w:val="28"/>
                <w:highlight w:val="none"/>
                <w:lang w:val="en-US" w:eastAsia="zh-CN" w:bidi="ar"/>
              </w:rPr>
              <w:t>个大便器、</w:t>
            </w:r>
            <w:r>
              <w:rPr>
                <w:rStyle w:val="29"/>
                <w:highlight w:val="none"/>
                <w:lang w:val="en-US" w:eastAsia="zh-CN" w:bidi="ar"/>
              </w:rPr>
              <w:t>2</w:t>
            </w:r>
            <w:r>
              <w:rPr>
                <w:rStyle w:val="28"/>
                <w:highlight w:val="none"/>
                <w:lang w:val="en-US" w:eastAsia="zh-CN" w:bidi="ar"/>
              </w:rPr>
              <w:t>个小便器，便器之间应设隔断，隔板处加设幼儿扶手。每班至少设</w:t>
            </w:r>
            <w:r>
              <w:rPr>
                <w:rStyle w:val="29"/>
                <w:highlight w:val="none"/>
                <w:lang w:val="en-US" w:eastAsia="zh-CN" w:bidi="ar"/>
              </w:rPr>
              <w:t>3</w:t>
            </w:r>
            <w:r>
              <w:rPr>
                <w:rStyle w:val="28"/>
                <w:highlight w:val="none"/>
                <w:lang w:val="en-US" w:eastAsia="zh-CN" w:bidi="ar"/>
              </w:rPr>
              <w:t>个适合婴幼儿使用的洗手池，高度宜为</w:t>
            </w:r>
            <w:r>
              <w:rPr>
                <w:rStyle w:val="29"/>
                <w:highlight w:val="none"/>
                <w:lang w:val="en-US" w:eastAsia="zh-CN" w:bidi="ar"/>
              </w:rPr>
              <w:t>0.4~0.45m,</w:t>
            </w:r>
            <w:r>
              <w:rPr>
                <w:rStyle w:val="28"/>
                <w:highlight w:val="none"/>
                <w:lang w:val="en-US" w:eastAsia="zh-CN" w:bidi="ar"/>
              </w:rPr>
              <w:t>宽度宜为</w:t>
            </w:r>
            <w:r>
              <w:rPr>
                <w:rStyle w:val="29"/>
                <w:highlight w:val="none"/>
                <w:lang w:val="en-US" w:eastAsia="zh-CN" w:bidi="ar"/>
              </w:rPr>
              <w:t>O.35~0.4m；</w:t>
            </w:r>
            <w:r>
              <w:rPr>
                <w:rStyle w:val="28"/>
                <w:highlight w:val="none"/>
                <w:lang w:val="en-US" w:eastAsia="zh-CN" w:bidi="ar"/>
              </w:rPr>
              <w:t>托大班卫生间设施的配置、形式、尺寸均应符合幼儿人体尺度和卫生防疫的要求。卫生洁具布置大便器宜采用蹲式便器，大便器和小便器之间应设隔板，隔板处加设幼儿扶手。厕位的平面尺寸不应小于</w:t>
            </w:r>
            <w:r>
              <w:rPr>
                <w:rStyle w:val="29"/>
                <w:highlight w:val="none"/>
                <w:lang w:val="en-US" w:eastAsia="zh-CN" w:bidi="ar"/>
              </w:rPr>
              <w:t>0.70m*0.80m</w:t>
            </w:r>
            <w:r>
              <w:rPr>
                <w:rStyle w:val="28"/>
                <w:highlight w:val="none"/>
                <w:lang w:val="en-US" w:eastAsia="zh-CN" w:bidi="ar"/>
              </w:rPr>
              <w:t>（宽*深），坐式便器的高度宜为</w:t>
            </w:r>
            <w:r>
              <w:rPr>
                <w:rStyle w:val="29"/>
                <w:highlight w:val="none"/>
                <w:lang w:val="en-US" w:eastAsia="zh-CN" w:bidi="ar"/>
              </w:rPr>
              <w:t>0.25m~0.30m）</w:t>
            </w:r>
          </w:p>
        </w:tc>
      </w:tr>
      <w:tr w14:paraId="6A2B5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5"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BB73BD">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310AB">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.照护发展设施。配备满足婴幼儿心理发育所需的基本设施设备及玩具、图书和游戏材料；活动场地应设置游戏器具、沙坑、</w:t>
            </w:r>
            <w:r>
              <w:rPr>
                <w:rStyle w:val="29"/>
                <w:highlight w:val="none"/>
                <w:lang w:val="en-US" w:eastAsia="zh-CN" w:bidi="ar"/>
              </w:rPr>
              <w:t>30m</w:t>
            </w:r>
            <w:r>
              <w:rPr>
                <w:rStyle w:val="28"/>
                <w:highlight w:val="none"/>
                <w:lang w:val="en-US" w:eastAsia="zh-CN" w:bidi="ar"/>
              </w:rPr>
              <w:t>跑道等，宜设戏水池，储水深度不应超过</w:t>
            </w:r>
            <w:r>
              <w:rPr>
                <w:rStyle w:val="29"/>
                <w:highlight w:val="none"/>
                <w:lang w:val="en-US" w:eastAsia="zh-CN" w:bidi="ar"/>
              </w:rPr>
              <w:t>0.30m</w:t>
            </w:r>
            <w:r>
              <w:rPr>
                <w:rStyle w:val="28"/>
                <w:highlight w:val="none"/>
                <w:lang w:val="en-US" w:eastAsia="zh-CN" w:bidi="ar"/>
              </w:rPr>
              <w:t>。宜设洗手池、洗脚池；游戏器具设施安全性符合</w:t>
            </w:r>
            <w:r>
              <w:rPr>
                <w:rStyle w:val="29"/>
                <w:highlight w:val="none"/>
                <w:lang w:val="en-US" w:eastAsia="zh-CN" w:bidi="ar"/>
              </w:rPr>
              <w:t>GB6675</w:t>
            </w:r>
            <w:r>
              <w:rPr>
                <w:rStyle w:val="28"/>
                <w:highlight w:val="none"/>
                <w:lang w:val="en-US" w:eastAsia="zh-CN" w:bidi="ar"/>
              </w:rPr>
              <w:t>《玩具安全》系列国家标准。托大班应设多功能活动室，位置临近生活单元，配备多媒体设备其使用面积宜每人</w:t>
            </w:r>
            <w:r>
              <w:rPr>
                <w:rStyle w:val="29"/>
                <w:highlight w:val="none"/>
                <w:lang w:val="en-US" w:eastAsia="zh-CN" w:bidi="ar"/>
              </w:rPr>
              <w:t>0.65</w:t>
            </w:r>
            <w:r>
              <w:rPr>
                <w:rStyle w:val="31"/>
                <w:highlight w:val="none"/>
                <w:lang w:val="en-US" w:eastAsia="zh-CN" w:bidi="ar"/>
              </w:rPr>
              <w:t>㎡</w:t>
            </w:r>
            <w:r>
              <w:rPr>
                <w:rStyle w:val="29"/>
                <w:highlight w:val="none"/>
                <w:lang w:val="en-US" w:eastAsia="zh-CN" w:bidi="ar"/>
              </w:rPr>
              <w:t>,</w:t>
            </w:r>
            <w:r>
              <w:rPr>
                <w:rStyle w:val="28"/>
                <w:highlight w:val="none"/>
                <w:lang w:val="en-US" w:eastAsia="zh-CN" w:bidi="ar"/>
              </w:rPr>
              <w:t>且不应小于</w:t>
            </w:r>
            <w:r>
              <w:rPr>
                <w:rStyle w:val="29"/>
                <w:highlight w:val="none"/>
                <w:lang w:val="en-US" w:eastAsia="zh-CN" w:bidi="ar"/>
              </w:rPr>
              <w:t>90</w:t>
            </w:r>
            <w:r>
              <w:rPr>
                <w:rStyle w:val="31"/>
                <w:highlight w:val="none"/>
                <w:lang w:val="en-US" w:eastAsia="zh-CN" w:bidi="ar"/>
              </w:rPr>
              <w:t>㎡</w:t>
            </w:r>
            <w:r>
              <w:rPr>
                <w:rStyle w:val="32"/>
                <w:highlight w:val="none"/>
                <w:lang w:val="en-US" w:eastAsia="zh-CN" w:bidi="ar"/>
              </w:rPr>
              <w:t>o</w:t>
            </w:r>
          </w:p>
        </w:tc>
      </w:tr>
      <w:tr w14:paraId="0A91F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11E0B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B61A1">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r>
              <w:rPr>
                <w:rStyle w:val="28"/>
                <w:highlight w:val="none"/>
                <w:lang w:val="en-US" w:eastAsia="zh-CN" w:bidi="ar"/>
              </w:rPr>
              <w:t>.卫生保健设施。保健室配备电脑、办公座椅、档案柜、儿童杠杆式体重秤、量床</w:t>
            </w:r>
            <w:r>
              <w:rPr>
                <w:rStyle w:val="29"/>
                <w:highlight w:val="none"/>
                <w:lang w:val="en-US" w:eastAsia="zh-CN" w:bidi="ar"/>
              </w:rPr>
              <w:t>（2</w:t>
            </w:r>
            <w:r>
              <w:rPr>
                <w:rStyle w:val="28"/>
                <w:highlight w:val="none"/>
                <w:lang w:val="en-US" w:eastAsia="zh-CN" w:bidi="ar"/>
              </w:rPr>
              <w:t>岁以下儿童使用）、身高计</w:t>
            </w:r>
            <w:r>
              <w:rPr>
                <w:rStyle w:val="29"/>
                <w:highlight w:val="none"/>
                <w:lang w:val="en-US" w:eastAsia="zh-CN" w:bidi="ar"/>
              </w:rPr>
              <w:t>（2</w:t>
            </w:r>
            <w:r>
              <w:rPr>
                <w:rStyle w:val="28"/>
                <w:highlight w:val="none"/>
                <w:lang w:val="en-US" w:eastAsia="zh-CN" w:bidi="ar"/>
              </w:rPr>
              <w:t>岁以上儿童使用）、皮尺、额温枪、体温计、外用药品、消毒用品等；晨检车配备棉签、压舌板、免洗医用洗手液、手电筒、额温枪等；活动室、寝室、幼儿卫生间等婴幼儿用房宜安全型移动式紫外线杀菌消毒设备。紫外线杀菌灯功率参考值按每平方</w:t>
            </w:r>
            <w:r>
              <w:rPr>
                <w:rStyle w:val="29"/>
                <w:highlight w:val="none"/>
                <w:lang w:val="en-US" w:eastAsia="zh-CN" w:bidi="ar"/>
              </w:rPr>
              <w:t>1.5</w:t>
            </w:r>
            <w:r>
              <w:rPr>
                <w:rStyle w:val="28"/>
                <w:highlight w:val="none"/>
                <w:lang w:val="en-US" w:eastAsia="zh-CN" w:bidi="ar"/>
              </w:rPr>
              <w:t>瓦计算。紫外线杀菌灯的控制装置应单独设置，并应采取防误开措施。</w:t>
            </w:r>
          </w:p>
        </w:tc>
      </w:tr>
      <w:tr w14:paraId="3C69E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9263B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EF359">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r>
              <w:rPr>
                <w:rStyle w:val="28"/>
                <w:highlight w:val="none"/>
                <w:lang w:val="en-US" w:eastAsia="zh-CN" w:bidi="ar"/>
              </w:rPr>
              <w:t>食堂餐饮。有独立的食品库房；有独立的食品烹制、备餐、洗消等加工场所，布局合理；有洗荤菜池、水产品、果蔬类等食品的专用水池；有专用的保洁柜、食品留样冰箱；设置区域性的餐饮具、水杯、毛巾集中清洗消毒间，专用清洗池</w:t>
            </w:r>
            <w:r>
              <w:rPr>
                <w:rStyle w:val="29"/>
                <w:highlight w:val="none"/>
                <w:lang w:val="en-US" w:eastAsia="zh-CN" w:bidi="ar"/>
              </w:rPr>
              <w:t>2-3</w:t>
            </w:r>
            <w:r>
              <w:rPr>
                <w:rStyle w:val="28"/>
                <w:highlight w:val="none"/>
                <w:lang w:val="en-US" w:eastAsia="zh-CN" w:bidi="ar"/>
              </w:rPr>
              <w:t>个；有清洗污物的水池；有防蝇、防鼠设施。</w:t>
            </w:r>
          </w:p>
        </w:tc>
      </w:tr>
      <w:tr w14:paraId="10148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790417">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346E1">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r>
              <w:rPr>
                <w:rStyle w:val="28"/>
                <w:highlight w:val="none"/>
                <w:lang w:val="en-US" w:eastAsia="zh-CN" w:bidi="ar"/>
              </w:rPr>
              <w:t>.办公设施。办公室配备电脑、办公桌椅、打印扫描机、档案柜等办公用品。应设置电话系统、计算机网络系统，宜设置广播系统、有线电视系统等。</w:t>
            </w:r>
          </w:p>
        </w:tc>
      </w:tr>
      <w:tr w14:paraId="4CEC1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9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598E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环保</w:t>
            </w:r>
          </w:p>
          <w:p w14:paraId="6220CD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要求</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498B">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.噪音控制。环境噪声应符合现行国家标准《民用建筑隔声设计规范》</w:t>
            </w:r>
            <w:r>
              <w:rPr>
                <w:rStyle w:val="29"/>
                <w:highlight w:val="none"/>
                <w:lang w:val="en-US" w:eastAsia="zh-CN" w:bidi="ar"/>
              </w:rPr>
              <w:t>GB50118</w:t>
            </w:r>
            <w:r>
              <w:rPr>
                <w:rStyle w:val="28"/>
                <w:highlight w:val="none"/>
                <w:lang w:val="en-US" w:eastAsia="zh-CN" w:bidi="ar"/>
              </w:rPr>
              <w:t>的有关规定。建筑室内允许噪声级应符合以下规定：生活单元、健康观察室小于等于</w:t>
            </w:r>
            <w:r>
              <w:rPr>
                <w:rStyle w:val="29"/>
                <w:highlight w:val="none"/>
                <w:lang w:val="en-US" w:eastAsia="zh-CN" w:bidi="ar"/>
              </w:rPr>
              <w:t>45</w:t>
            </w:r>
            <w:r>
              <w:rPr>
                <w:rStyle w:val="28"/>
                <w:highlight w:val="none"/>
                <w:lang w:val="en-US" w:eastAsia="zh-CN" w:bidi="ar"/>
              </w:rPr>
              <w:t>（允许噪声级</w:t>
            </w:r>
            <w:r>
              <w:rPr>
                <w:rStyle w:val="28"/>
                <w:rFonts w:hint="eastAsia"/>
                <w:highlight w:val="none"/>
                <w:lang w:val="en-US" w:eastAsia="zh-CN" w:bidi="ar"/>
              </w:rPr>
              <w:t>[</w:t>
            </w:r>
            <w:r>
              <w:rPr>
                <w:rStyle w:val="29"/>
                <w:highlight w:val="none"/>
                <w:lang w:val="en-US" w:eastAsia="zh-CN" w:bidi="ar"/>
              </w:rPr>
              <w:t>A</w:t>
            </w:r>
            <w:r>
              <w:rPr>
                <w:rStyle w:val="28"/>
                <w:highlight w:val="none"/>
                <w:lang w:val="en-US" w:eastAsia="zh-CN" w:bidi="ar"/>
              </w:rPr>
              <w:t>声级，</w:t>
            </w:r>
            <w:r>
              <w:rPr>
                <w:rStyle w:val="29"/>
                <w:highlight w:val="none"/>
                <w:lang w:val="en-US" w:eastAsia="zh-CN" w:bidi="ar"/>
              </w:rPr>
              <w:t>dB</w:t>
            </w:r>
            <w:r>
              <w:rPr>
                <w:rStyle w:val="29"/>
                <w:rFonts w:hint="eastAsia"/>
                <w:highlight w:val="none"/>
                <w:lang w:val="en-US" w:eastAsia="zh-CN" w:bidi="ar"/>
              </w:rPr>
              <w:t>]</w:t>
            </w:r>
            <w:r>
              <w:rPr>
                <w:rStyle w:val="29"/>
                <w:highlight w:val="none"/>
                <w:lang w:val="en-US" w:eastAsia="zh-CN" w:bidi="ar"/>
              </w:rPr>
              <w:t>）</w:t>
            </w:r>
            <w:r>
              <w:rPr>
                <w:rStyle w:val="28"/>
                <w:highlight w:val="none"/>
                <w:lang w:val="en-US" w:eastAsia="zh-CN" w:bidi="ar"/>
              </w:rPr>
              <w:t>；多功能活动室、办公室小于等于</w:t>
            </w:r>
            <w:r>
              <w:rPr>
                <w:rStyle w:val="29"/>
                <w:highlight w:val="none"/>
                <w:lang w:val="en-US" w:eastAsia="zh-CN" w:bidi="ar"/>
              </w:rPr>
              <w:t>50</w:t>
            </w:r>
            <w:r>
              <w:rPr>
                <w:rStyle w:val="28"/>
                <w:highlight w:val="none"/>
                <w:lang w:val="en-US" w:eastAsia="zh-CN" w:bidi="ar"/>
              </w:rPr>
              <w:t>（允许噪声级</w:t>
            </w:r>
            <w:r>
              <w:rPr>
                <w:rStyle w:val="28"/>
                <w:rFonts w:hint="eastAsia"/>
                <w:highlight w:val="none"/>
                <w:lang w:val="en-US" w:eastAsia="zh-CN" w:bidi="ar"/>
              </w:rPr>
              <w:t>[</w:t>
            </w:r>
            <w:r>
              <w:rPr>
                <w:rStyle w:val="29"/>
                <w:highlight w:val="none"/>
                <w:lang w:val="en-US" w:eastAsia="zh-CN" w:bidi="ar"/>
              </w:rPr>
              <w:t>A</w:t>
            </w:r>
            <w:r>
              <w:rPr>
                <w:rStyle w:val="28"/>
                <w:highlight w:val="none"/>
                <w:lang w:val="en-US" w:eastAsia="zh-CN" w:bidi="ar"/>
              </w:rPr>
              <w:t>声级，</w:t>
            </w:r>
            <w:r>
              <w:rPr>
                <w:rStyle w:val="29"/>
                <w:highlight w:val="none"/>
                <w:lang w:val="en-US" w:eastAsia="zh-CN" w:bidi="ar"/>
              </w:rPr>
              <w:t>dB</w:t>
            </w:r>
            <w:r>
              <w:rPr>
                <w:rStyle w:val="29"/>
                <w:rFonts w:hint="eastAsia"/>
                <w:highlight w:val="none"/>
                <w:lang w:val="en-US" w:eastAsia="zh-CN" w:bidi="ar"/>
              </w:rPr>
              <w:t>]</w:t>
            </w:r>
            <w:r>
              <w:rPr>
                <w:rStyle w:val="29"/>
                <w:highlight w:val="none"/>
                <w:lang w:val="en-US" w:eastAsia="zh-CN" w:bidi="ar"/>
              </w:rPr>
              <w:t>）。</w:t>
            </w:r>
          </w:p>
        </w:tc>
      </w:tr>
      <w:tr w14:paraId="4FE0D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A1C22D">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79D0B">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.空气质量。室内空气质量应符合现行国家标准《室内空气质量标准》</w:t>
            </w:r>
            <w:r>
              <w:rPr>
                <w:rStyle w:val="29"/>
                <w:highlight w:val="none"/>
                <w:lang w:val="en-US" w:eastAsia="zh-CN" w:bidi="ar"/>
              </w:rPr>
              <w:t>GB/T18883</w:t>
            </w:r>
            <w:r>
              <w:rPr>
                <w:rStyle w:val="28"/>
                <w:highlight w:val="none"/>
                <w:lang w:val="en-US" w:eastAsia="zh-CN" w:bidi="ar"/>
              </w:rPr>
              <w:t>的有关规定。幼儿用房应有良好的自然通风，其通风口面积不应小于房间地板面积的</w:t>
            </w:r>
            <w:r>
              <w:rPr>
                <w:rStyle w:val="29"/>
                <w:highlight w:val="none"/>
                <w:lang w:val="en-US" w:eastAsia="zh-CN" w:bidi="ar"/>
              </w:rPr>
              <w:t>1/20,</w:t>
            </w:r>
            <w:r>
              <w:rPr>
                <w:rStyle w:val="28"/>
                <w:highlight w:val="none"/>
                <w:lang w:val="en-US" w:eastAsia="zh-CN" w:bidi="ar"/>
              </w:rPr>
              <w:t>同时配备有效的通风设施。建筑使用的建筑材料、装修材料和室内设施应符合现行国家标准《民用建筑工程室内环境污染控制规范》</w:t>
            </w:r>
            <w:r>
              <w:rPr>
                <w:rStyle w:val="29"/>
                <w:highlight w:val="none"/>
                <w:lang w:val="en-US" w:eastAsia="zh-CN" w:bidi="ar"/>
              </w:rPr>
              <w:t>GB50325</w:t>
            </w:r>
            <w:r>
              <w:rPr>
                <w:rStyle w:val="28"/>
                <w:highlight w:val="none"/>
                <w:lang w:val="en-US" w:eastAsia="zh-CN" w:bidi="ar"/>
              </w:rPr>
              <w:t>的有关规定。</w:t>
            </w:r>
          </w:p>
        </w:tc>
      </w:tr>
      <w:tr w14:paraId="66F8E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9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4FEE3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服务</w:t>
            </w:r>
          </w:p>
          <w:p w14:paraId="554D3CB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管理</w:t>
            </w:r>
          </w:p>
          <w:p w14:paraId="2B5DC6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用房</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E2B1E">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宜包括晨检室（厅）、保健观察室、教师值班室、警卫室、储藏室、园长室、所长室、财务室、教师办公室、会议室、教具制作室等房间，各房间可合用。</w:t>
            </w:r>
          </w:p>
        </w:tc>
      </w:tr>
      <w:tr w14:paraId="4259C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7F21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79F15">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.应设门厅，门厅内应设置晨检室（厅）和收发室，宜设置展示区、婴幼儿和成年人使用的洗手池、婴幼儿车存储等空间，宜设卫生间。</w:t>
            </w:r>
          </w:p>
        </w:tc>
      </w:tr>
      <w:tr w14:paraId="21B39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621BF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81231">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晨检室（厅）应设在建筑物的主入口处，设置过道式走向，并应靠近卫生保健室。卫生保健室设置符合下列规定：</w:t>
            </w:r>
          </w:p>
        </w:tc>
      </w:tr>
      <w:tr w14:paraId="71C77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BDF7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119EF">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应与幼儿生活用房有适当的距离，并应与幼儿活动路线分开；</w:t>
            </w:r>
          </w:p>
        </w:tc>
      </w:tr>
      <w:tr w14:paraId="52765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A00CF">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BE454">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室内设有相对独立、放置一张幼儿床的空间：</w:t>
            </w:r>
          </w:p>
        </w:tc>
      </w:tr>
      <w:tr w14:paraId="55DA8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6F7BB">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A0202">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宜设单独出入口；</w:t>
            </w:r>
          </w:p>
        </w:tc>
      </w:tr>
      <w:tr w14:paraId="20D8B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3B3A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1B617">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r>
              <w:rPr>
                <w:rStyle w:val="28"/>
                <w:highlight w:val="none"/>
                <w:lang w:val="en-US" w:eastAsia="zh-CN" w:bidi="ar"/>
              </w:rPr>
              <w:t>应设给水、排水设施；</w:t>
            </w:r>
          </w:p>
        </w:tc>
      </w:tr>
      <w:tr w14:paraId="3D2EC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D5225D">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AB5B8">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r>
              <w:rPr>
                <w:rStyle w:val="28"/>
                <w:highlight w:val="none"/>
                <w:lang w:val="en-US" w:eastAsia="zh-CN" w:bidi="ar"/>
              </w:rPr>
              <w:t>安装紫外线灯。</w:t>
            </w:r>
          </w:p>
        </w:tc>
      </w:tr>
      <w:tr w14:paraId="3DC7A1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9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C712F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7D23AC1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7291BF7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1254C2C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4082542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0D17FC0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p w14:paraId="2E8876A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供应</w:t>
            </w:r>
          </w:p>
          <w:p w14:paraId="50B304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用房</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DF853">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宜包括厨房、消毒室、洗衣间、开水间等房间，厨房应自成一区，并与幼儿生活用房应有一定距离。厨房应按工艺流程合理布局，并应符合国家现行有关卫生标准和现行行业标准《饮食建筑设计规范》</w:t>
            </w:r>
            <w:r>
              <w:rPr>
                <w:rStyle w:val="29"/>
                <w:highlight w:val="none"/>
                <w:lang w:val="en-US" w:eastAsia="zh-CN" w:bidi="ar"/>
              </w:rPr>
              <w:t>JGJ</w:t>
            </w:r>
            <w:r>
              <w:rPr>
                <w:rStyle w:val="29"/>
                <w:rFonts w:hint="eastAsia"/>
                <w:highlight w:val="none"/>
                <w:lang w:val="en-US" w:eastAsia="zh-CN" w:bidi="ar"/>
              </w:rPr>
              <w:t xml:space="preserve"> </w:t>
            </w:r>
            <w:r>
              <w:rPr>
                <w:rStyle w:val="29"/>
                <w:highlight w:val="none"/>
                <w:lang w:val="en-US" w:eastAsia="zh-CN" w:bidi="ar"/>
              </w:rPr>
              <w:t>64</w:t>
            </w:r>
            <w:r>
              <w:rPr>
                <w:rStyle w:val="28"/>
                <w:highlight w:val="none"/>
                <w:lang w:val="en-US" w:eastAsia="zh-CN" w:bidi="ar"/>
              </w:rPr>
              <w:t>的规定。</w:t>
            </w:r>
          </w:p>
        </w:tc>
      </w:tr>
      <w:tr w14:paraId="4F7B3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085542">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B7755">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①厨房使用面积宜</w:t>
            </w:r>
            <w:r>
              <w:rPr>
                <w:rStyle w:val="29"/>
                <w:highlight w:val="none"/>
                <w:lang w:val="en-US" w:eastAsia="zh-CN" w:bidi="ar"/>
              </w:rPr>
              <w:t>0.4</w:t>
            </w:r>
            <w:r>
              <w:rPr>
                <w:rStyle w:val="29"/>
                <w:rFonts w:hint="eastAsia" w:ascii="宋体" w:hAnsi="宋体" w:eastAsia="宋体" w:cs="宋体"/>
                <w:highlight w:val="none"/>
                <w:lang w:val="en-US" w:eastAsia="zh-CN" w:bidi="ar"/>
              </w:rPr>
              <w:t>㎡</w:t>
            </w:r>
            <w:r>
              <w:rPr>
                <w:rStyle w:val="29"/>
                <w:highlight w:val="none"/>
                <w:lang w:val="en-US" w:eastAsia="zh-CN" w:bidi="ar"/>
              </w:rPr>
              <w:t>∕</w:t>
            </w:r>
            <w:r>
              <w:rPr>
                <w:rStyle w:val="28"/>
                <w:highlight w:val="none"/>
                <w:lang w:val="en-US" w:eastAsia="zh-CN" w:bidi="ar"/>
              </w:rPr>
              <w:t>每人，且不应小于</w:t>
            </w:r>
            <w:r>
              <w:rPr>
                <w:rStyle w:val="29"/>
                <w:highlight w:val="none"/>
                <w:lang w:val="en-US" w:eastAsia="zh-CN" w:bidi="ar"/>
              </w:rPr>
              <w:t>12</w:t>
            </w:r>
            <w:r>
              <w:rPr>
                <w:rStyle w:val="29"/>
                <w:rFonts w:hint="eastAsia" w:ascii="宋体" w:hAnsi="宋体" w:eastAsia="宋体" w:cs="宋体"/>
                <w:highlight w:val="none"/>
                <w:lang w:val="en-US" w:eastAsia="zh-CN" w:bidi="ar"/>
              </w:rPr>
              <w:t>㎡</w:t>
            </w:r>
            <w:r>
              <w:rPr>
                <w:rStyle w:val="28"/>
                <w:highlight w:val="none"/>
                <w:lang w:val="en-US" w:eastAsia="zh-CN" w:bidi="ar"/>
              </w:rPr>
              <w:t>。</w:t>
            </w:r>
          </w:p>
        </w:tc>
      </w:tr>
      <w:tr w14:paraId="0740C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AE653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2E94C">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②厨房加工间室内净高不应低于</w:t>
            </w:r>
            <w:r>
              <w:rPr>
                <w:rStyle w:val="29"/>
                <w:highlight w:val="none"/>
                <w:lang w:val="en-US" w:eastAsia="zh-CN" w:bidi="ar"/>
              </w:rPr>
              <w:t>3.0m</w:t>
            </w:r>
            <w:r>
              <w:rPr>
                <w:rStyle w:val="28"/>
                <w:highlight w:val="none"/>
                <w:lang w:val="en-US" w:eastAsia="zh-CN" w:bidi="ar"/>
              </w:rPr>
              <w:t>。</w:t>
            </w:r>
          </w:p>
        </w:tc>
      </w:tr>
      <w:tr w14:paraId="75EFD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AB02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D8C34">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③厨房室内墙面、隔断及各种工作台、水池等设施的表面应采用无毒、无污染、光滑和易清洁的材料：墙面阴角宜做弧形：地面应防滑，并应设排水设施。</w:t>
            </w:r>
          </w:p>
        </w:tc>
      </w:tr>
      <w:tr w14:paraId="3457B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370FF">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29E2A">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.供应用房符合下列规定：</w:t>
            </w:r>
          </w:p>
        </w:tc>
      </w:tr>
      <w:tr w14:paraId="27558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2FEF4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68D0">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①寄宿制托儿所、幼儿园建筑应设置集中洗衣房；</w:t>
            </w:r>
          </w:p>
        </w:tc>
      </w:tr>
      <w:tr w14:paraId="5D534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F12C7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1F405">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②设玩具、图书、衣被等物品专用消毒间；</w:t>
            </w:r>
          </w:p>
        </w:tc>
      </w:tr>
      <w:tr w14:paraId="6AFE8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DAA151">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EBFF4">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③当场地内设汽车库时，汽车库应与儿童活动区域分开，应设置单独的车道和出入口，并应符合现行行业标准《车库建筑设计规范》</w:t>
            </w:r>
            <w:r>
              <w:rPr>
                <w:rStyle w:val="29"/>
                <w:highlight w:val="none"/>
                <w:lang w:val="en-US" w:eastAsia="zh-CN" w:bidi="ar"/>
              </w:rPr>
              <w:t>JGJ100</w:t>
            </w:r>
            <w:r>
              <w:rPr>
                <w:rStyle w:val="28"/>
                <w:highlight w:val="none"/>
                <w:lang w:val="en-US" w:eastAsia="zh-CN" w:bidi="ar"/>
              </w:rPr>
              <w:t>和现行国家标准《汽车库、修车库、停车场设计防火规范》</w:t>
            </w:r>
            <w:r>
              <w:rPr>
                <w:rStyle w:val="29"/>
                <w:highlight w:val="none"/>
                <w:lang w:val="en-US" w:eastAsia="zh-CN" w:bidi="ar"/>
              </w:rPr>
              <w:t>GB50067</w:t>
            </w:r>
            <w:r>
              <w:rPr>
                <w:rStyle w:val="28"/>
                <w:highlight w:val="none"/>
                <w:lang w:val="en-US" w:eastAsia="zh-CN" w:bidi="ar"/>
              </w:rPr>
              <w:t>的规定。</w:t>
            </w:r>
          </w:p>
        </w:tc>
      </w:tr>
      <w:tr w14:paraId="21D38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6B310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5445B">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④在供应区内宜设杂物院/间，并应与其他部分相隔离。杂物院/间应有单独的对外出入口；</w:t>
            </w:r>
          </w:p>
        </w:tc>
      </w:tr>
      <w:tr w14:paraId="488CAE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C97A35">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7A391">
            <w:pPr>
              <w:keepNext w:val="0"/>
              <w:keepLines w:val="0"/>
              <w:widowControl/>
              <w:suppressLineNumbers w:val="0"/>
              <w:jc w:val="both"/>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⑤教职工的卫生间、淋浴室应单独设置，不应与幼儿合用。</w:t>
            </w:r>
          </w:p>
        </w:tc>
      </w:tr>
      <w:tr w14:paraId="614E8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0" w:hRule="atLeast"/>
        </w:trPr>
        <w:tc>
          <w:tcPr>
            <w:tcW w:w="9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69C2D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户外</w:t>
            </w:r>
          </w:p>
          <w:p w14:paraId="62B3D3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场地</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49DE8">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r>
              <w:rPr>
                <w:rStyle w:val="28"/>
                <w:highlight w:val="none"/>
                <w:lang w:val="en-US" w:eastAsia="zh-CN" w:bidi="ar"/>
              </w:rPr>
              <w:t>户外场地婴幼儿人均建筑面积不低于</w:t>
            </w:r>
            <w:r>
              <w:rPr>
                <w:rStyle w:val="29"/>
                <w:highlight w:val="none"/>
                <w:lang w:val="en-US" w:eastAsia="zh-CN" w:bidi="ar"/>
              </w:rPr>
              <w:t>3</w:t>
            </w:r>
            <w:r>
              <w:rPr>
                <w:rStyle w:val="29"/>
                <w:rFonts w:hint="eastAsia" w:ascii="宋体" w:hAnsi="宋体" w:eastAsia="宋体" w:cs="宋体"/>
                <w:highlight w:val="none"/>
                <w:lang w:val="en-US" w:eastAsia="zh-CN" w:bidi="ar"/>
              </w:rPr>
              <w:t>㎡</w:t>
            </w:r>
            <w:r>
              <w:rPr>
                <w:rStyle w:val="29"/>
                <w:highlight w:val="none"/>
                <w:lang w:val="en-US" w:eastAsia="zh-CN" w:bidi="ar"/>
              </w:rPr>
              <w:t>，</w:t>
            </w:r>
            <w:r>
              <w:rPr>
                <w:rStyle w:val="28"/>
                <w:highlight w:val="none"/>
                <w:lang w:val="en-US" w:eastAsia="zh-CN" w:bidi="ar"/>
              </w:rPr>
              <w:t>城市人口密集地区改、扩建的，设置室外活动场地确有困难时，室外活动场地人均面积不应小于</w:t>
            </w:r>
            <w:r>
              <w:rPr>
                <w:rStyle w:val="29"/>
                <w:highlight w:val="none"/>
                <w:lang w:val="en-US" w:eastAsia="zh-CN" w:bidi="ar"/>
              </w:rPr>
              <w:t>2</w:t>
            </w:r>
            <w:r>
              <w:rPr>
                <w:rStyle w:val="29"/>
                <w:rFonts w:hint="eastAsia" w:ascii="宋体" w:hAnsi="宋体" w:eastAsia="宋体" w:cs="宋体"/>
                <w:highlight w:val="none"/>
                <w:lang w:val="en-US" w:eastAsia="zh-CN" w:bidi="ar"/>
              </w:rPr>
              <w:t>㎡，</w:t>
            </w:r>
            <w:r>
              <w:rPr>
                <w:rStyle w:val="28"/>
                <w:highlight w:val="none"/>
                <w:lang w:val="en-US" w:eastAsia="zh-CN" w:bidi="ar"/>
              </w:rPr>
              <w:t>地面应平整、防滑、无障碍、无尖锐突出物，并宜采用软质地坪，游戏器具下地面及周围应设软质铺装；室外活动场地应有</w:t>
            </w:r>
            <w:r>
              <w:rPr>
                <w:rStyle w:val="29"/>
                <w:highlight w:val="none"/>
                <w:lang w:val="en-US" w:eastAsia="zh-CN" w:bidi="ar"/>
              </w:rPr>
              <w:t>1/2</w:t>
            </w:r>
            <w:r>
              <w:rPr>
                <w:rStyle w:val="28"/>
                <w:highlight w:val="none"/>
                <w:lang w:val="en-US" w:eastAsia="zh-CN" w:bidi="ar"/>
              </w:rPr>
              <w:t>以上的面积在标准建筑日照阴影线之外。</w:t>
            </w:r>
          </w:p>
        </w:tc>
      </w:tr>
      <w:tr w14:paraId="439FA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9878CD">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69F1">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r>
              <w:rPr>
                <w:rStyle w:val="28"/>
                <w:highlight w:val="none"/>
                <w:lang w:val="en-US" w:eastAsia="zh-CN" w:bidi="ar"/>
              </w:rPr>
              <w:t>.基地周围应设围护设施，围护设施应安全、美观，并应防止幼儿穿过和攀爬。</w:t>
            </w:r>
          </w:p>
        </w:tc>
      </w:tr>
      <w:tr w14:paraId="0D93F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9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662656">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26698">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r>
              <w:rPr>
                <w:rStyle w:val="28"/>
                <w:highlight w:val="none"/>
                <w:lang w:val="en-US" w:eastAsia="zh-CN" w:bidi="ar"/>
              </w:rPr>
              <w:t>.出入口不应直接设置在城市干道一侧，出入口应设置供车辆和人员停留的场地，且不应影响城市道路交通。在出入口处应设大门和警卫室，警卫室对外应有良好的视野。出入口应设雨篷，雨篷挑出长度宜超过首级踏步</w:t>
            </w:r>
            <w:r>
              <w:rPr>
                <w:rStyle w:val="29"/>
                <w:highlight w:val="none"/>
                <w:lang w:val="en-US" w:eastAsia="zh-CN" w:bidi="ar"/>
              </w:rPr>
              <w:t>0.50m</w:t>
            </w:r>
            <w:r>
              <w:rPr>
                <w:rStyle w:val="28"/>
                <w:highlight w:val="none"/>
                <w:lang w:val="en-US" w:eastAsia="zh-CN" w:bidi="ar"/>
              </w:rPr>
              <w:t>以上。</w:t>
            </w:r>
          </w:p>
        </w:tc>
      </w:tr>
      <w:tr w14:paraId="10FB3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953" w:type="dxa"/>
            <w:vMerge w:val="restart"/>
            <w:tcBorders>
              <w:top w:val="single" w:color="000000" w:sz="4" w:space="0"/>
              <w:left w:val="single" w:color="000000" w:sz="4" w:space="0"/>
              <w:right w:val="single" w:color="000000" w:sz="4" w:space="0"/>
            </w:tcBorders>
            <w:shd w:val="clear" w:color="auto" w:fill="auto"/>
            <w:vAlign w:val="center"/>
          </w:tcPr>
          <w:p w14:paraId="6366B8E7">
            <w:pPr>
              <w:jc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建筑</w:t>
            </w:r>
          </w:p>
          <w:p w14:paraId="26AE11E1">
            <w:pPr>
              <w:jc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设备</w:t>
            </w: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BBB7A">
            <w:pPr>
              <w:keepNext w:val="0"/>
              <w:keepLines w:val="0"/>
              <w:widowControl/>
              <w:suppressLineNumbers w:val="0"/>
              <w:jc w:val="both"/>
              <w:textAlignment w:val="center"/>
              <w:rPr>
                <w:rStyle w:val="28"/>
                <w:rFonts w:hint="default"/>
                <w:highlight w:val="none"/>
                <w:lang w:val="en-US" w:eastAsia="zh-CN" w:bidi="ar"/>
              </w:rPr>
            </w:pPr>
            <w:r>
              <w:rPr>
                <w:rStyle w:val="28"/>
                <w:rFonts w:hint="eastAsia"/>
                <w:highlight w:val="none"/>
                <w:lang w:val="en-US" w:eastAsia="zh-CN" w:bidi="ar"/>
              </w:rPr>
              <w:t>1.给水排水</w:t>
            </w:r>
          </w:p>
        </w:tc>
      </w:tr>
      <w:tr w14:paraId="2F089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2341EC75">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41DB1">
            <w:pPr>
              <w:keepNext w:val="0"/>
              <w:keepLines w:val="0"/>
              <w:widowControl/>
              <w:suppressLineNumbers w:val="0"/>
              <w:jc w:val="both"/>
              <w:textAlignment w:val="center"/>
              <w:rPr>
                <w:rStyle w:val="28"/>
                <w:rFonts w:hint="eastAsia" w:eastAsia="宋体"/>
                <w:highlight w:val="none"/>
                <w:lang w:val="en-US" w:eastAsia="zh-CN" w:bidi="ar"/>
              </w:rPr>
            </w:pPr>
            <w:r>
              <w:rPr>
                <w:rStyle w:val="28"/>
                <w:rFonts w:hint="eastAsia"/>
                <w:highlight w:val="none"/>
                <w:lang w:val="en-US" w:eastAsia="zh-CN" w:bidi="ar"/>
              </w:rPr>
              <w:t>①</w:t>
            </w:r>
            <w:r>
              <w:rPr>
                <w:rStyle w:val="28"/>
                <w:rFonts w:hint="eastAsia" w:eastAsia="宋体"/>
                <w:highlight w:val="none"/>
                <w:lang w:val="en-US" w:eastAsia="zh-CN" w:bidi="ar"/>
              </w:rPr>
              <w:t>水表宜设置在室内便于抄表位置，供水总进口管道可设置紫外线消毒设备。</w:t>
            </w:r>
          </w:p>
        </w:tc>
      </w:tr>
      <w:tr w14:paraId="01867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2A4120F5">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71C90">
            <w:pPr>
              <w:keepNext w:val="0"/>
              <w:keepLines w:val="0"/>
              <w:widowControl/>
              <w:suppressLineNumbers w:val="0"/>
              <w:jc w:val="both"/>
              <w:textAlignment w:val="center"/>
              <w:rPr>
                <w:rStyle w:val="28"/>
                <w:rFonts w:hint="default"/>
                <w:highlight w:val="none"/>
                <w:lang w:val="en-US" w:eastAsia="zh-CN" w:bidi="ar"/>
              </w:rPr>
            </w:pPr>
            <w:r>
              <w:rPr>
                <w:rStyle w:val="28"/>
                <w:rFonts w:hint="eastAsia"/>
                <w:highlight w:val="none"/>
                <w:lang w:val="en-US" w:eastAsia="zh-CN" w:bidi="ar"/>
              </w:rPr>
              <w:t>②给水系统的压力应满足给水用水点配水器具的最低工作压力要求。给水系统入户管的给水压力不应大于0.35MPa，当水压大于0.35MPa时应设置减压设施。</w:t>
            </w:r>
          </w:p>
        </w:tc>
      </w:tr>
      <w:tr w14:paraId="381A0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31007405">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FB8F3">
            <w:pPr>
              <w:keepNext w:val="0"/>
              <w:keepLines w:val="0"/>
              <w:widowControl/>
              <w:suppressLineNumbers w:val="0"/>
              <w:jc w:val="both"/>
              <w:textAlignment w:val="center"/>
              <w:rPr>
                <w:rStyle w:val="28"/>
                <w:rFonts w:hint="eastAsia"/>
                <w:highlight w:val="none"/>
                <w:lang w:val="en-US" w:eastAsia="zh-CN" w:bidi="ar"/>
              </w:rPr>
            </w:pPr>
            <w:r>
              <w:rPr>
                <w:rStyle w:val="28"/>
                <w:rFonts w:hint="eastAsia"/>
                <w:highlight w:val="none"/>
                <w:lang w:val="en-US" w:eastAsia="zh-CN" w:bidi="ar"/>
              </w:rPr>
              <w:t>③当设有二次供水设施时，不应对水质产生污染；设置水箱时应设置紫外线消毒设备；加压水泵应选用低噪声节能型产品，加压泵组及泵房影采取减震防噪措施。</w:t>
            </w:r>
          </w:p>
        </w:tc>
      </w:tr>
      <w:tr w14:paraId="0F8B2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51517CF7">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61E45">
            <w:pPr>
              <w:keepNext w:val="0"/>
              <w:keepLines w:val="0"/>
              <w:widowControl/>
              <w:suppressLineNumbers w:val="0"/>
              <w:jc w:val="both"/>
              <w:textAlignment w:val="center"/>
              <w:rPr>
                <w:rStyle w:val="28"/>
                <w:rFonts w:hint="default"/>
                <w:highlight w:val="none"/>
                <w:lang w:val="en-US" w:eastAsia="zh-CN" w:bidi="ar"/>
              </w:rPr>
            </w:pPr>
            <w:r>
              <w:rPr>
                <w:rStyle w:val="28"/>
                <w:rFonts w:hint="eastAsia"/>
                <w:highlight w:val="none"/>
                <w:lang w:val="en-US" w:eastAsia="zh-CN" w:bidi="ar"/>
              </w:rPr>
              <w:t>④盥洗室、淋浴室、厕所、公共洗衣房应设置地漏，其水封深度不得小于50mm,洗衣机排水应设置专用地漏或洗衣机排水存水弯。便池设置感应冲洗装置。</w:t>
            </w:r>
          </w:p>
        </w:tc>
      </w:tr>
      <w:tr w14:paraId="1C1F1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621418CC">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4346E">
            <w:pPr>
              <w:keepNext w:val="0"/>
              <w:keepLines w:val="0"/>
              <w:widowControl/>
              <w:suppressLineNumbers w:val="0"/>
              <w:jc w:val="both"/>
              <w:textAlignment w:val="center"/>
              <w:rPr>
                <w:rStyle w:val="28"/>
                <w:rFonts w:hint="eastAsia"/>
                <w:highlight w:val="none"/>
                <w:lang w:val="en-US" w:eastAsia="zh-CN" w:bidi="ar"/>
              </w:rPr>
            </w:pPr>
            <w:r>
              <w:rPr>
                <w:rStyle w:val="28"/>
                <w:rFonts w:hint="eastAsia"/>
                <w:highlight w:val="none"/>
                <w:lang w:val="en-US" w:eastAsia="zh-CN" w:bidi="ar"/>
              </w:rPr>
              <w:t>⑤清扫间、消毒间配备给水排水设施；厨房的含油污水应经除油装置处理后再排入户外污水管道。</w:t>
            </w:r>
          </w:p>
        </w:tc>
      </w:tr>
      <w:tr w14:paraId="72E06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953" w:type="dxa"/>
            <w:vMerge w:val="continue"/>
            <w:tcBorders>
              <w:left w:val="single" w:color="000000" w:sz="4" w:space="0"/>
              <w:right w:val="single" w:color="000000" w:sz="4" w:space="0"/>
            </w:tcBorders>
            <w:shd w:val="clear" w:color="auto" w:fill="auto"/>
            <w:vAlign w:val="center"/>
          </w:tcPr>
          <w:p w14:paraId="095116FB">
            <w:pPr>
              <w:jc w:val="center"/>
              <w:rPr>
                <w:rFonts w:hint="eastAsia" w:ascii="宋体" w:hAnsi="宋体" w:eastAsia="宋体" w:cs="宋体"/>
                <w:i w:val="0"/>
                <w:iCs w:val="0"/>
                <w:color w:val="000000"/>
                <w:sz w:val="20"/>
                <w:szCs w:val="20"/>
                <w:highlight w:val="none"/>
                <w:u w:val="none"/>
                <w:lang w:eastAsia="zh-CN"/>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737A9">
            <w:pPr>
              <w:keepNext w:val="0"/>
              <w:keepLines w:val="0"/>
              <w:widowControl/>
              <w:suppressLineNumbers w:val="0"/>
              <w:jc w:val="both"/>
              <w:textAlignment w:val="center"/>
              <w:rPr>
                <w:rStyle w:val="28"/>
                <w:rFonts w:hint="eastAsia"/>
                <w:highlight w:val="none"/>
                <w:lang w:val="en-US" w:eastAsia="zh-CN" w:bidi="ar"/>
              </w:rPr>
            </w:pPr>
            <w:r>
              <w:rPr>
                <w:rStyle w:val="28"/>
                <w:rFonts w:hint="eastAsia"/>
                <w:highlight w:val="none"/>
                <w:lang w:val="en-US" w:eastAsia="zh-CN" w:bidi="ar"/>
              </w:rPr>
              <w:t>⑥消火栓系统、自动喷水灭火系统及气体系统灭火设计等，应符合国家现行有关防火标准的规定。园内不应设置中水系统及管道直饮水系统。</w:t>
            </w:r>
          </w:p>
        </w:tc>
      </w:tr>
      <w:tr w14:paraId="383F8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5" w:hRule="atLeast"/>
        </w:trPr>
        <w:tc>
          <w:tcPr>
            <w:tcW w:w="953" w:type="dxa"/>
            <w:vMerge w:val="continue"/>
            <w:tcBorders>
              <w:left w:val="single" w:color="000000" w:sz="4" w:space="0"/>
              <w:right w:val="single" w:color="000000" w:sz="4" w:space="0"/>
            </w:tcBorders>
            <w:shd w:val="clear" w:color="auto" w:fill="auto"/>
            <w:vAlign w:val="center"/>
          </w:tcPr>
          <w:p w14:paraId="6B09FD3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50C7C">
            <w:pPr>
              <w:keepNext w:val="0"/>
              <w:keepLines w:val="0"/>
              <w:widowControl/>
              <w:suppressLineNumbers w:val="0"/>
              <w:jc w:val="both"/>
              <w:textAlignment w:val="center"/>
              <w:rPr>
                <w:rStyle w:val="28"/>
                <w:rFonts w:hint="default"/>
                <w:highlight w:val="none"/>
                <w:lang w:val="en-US" w:eastAsia="zh-CN" w:bidi="ar"/>
              </w:rPr>
            </w:pPr>
            <w:r>
              <w:rPr>
                <w:rStyle w:val="28"/>
                <w:rFonts w:hint="eastAsia"/>
                <w:highlight w:val="none"/>
                <w:lang w:val="en-US" w:eastAsia="zh-CN" w:bidi="ar"/>
              </w:rPr>
              <w:t>2.建筑电气</w:t>
            </w:r>
          </w:p>
        </w:tc>
      </w:tr>
      <w:tr w14:paraId="4F501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953" w:type="dxa"/>
            <w:vMerge w:val="continue"/>
            <w:tcBorders>
              <w:left w:val="single" w:color="000000" w:sz="4" w:space="0"/>
              <w:right w:val="single" w:color="000000" w:sz="4" w:space="0"/>
            </w:tcBorders>
            <w:shd w:val="clear" w:color="auto" w:fill="auto"/>
            <w:vAlign w:val="center"/>
          </w:tcPr>
          <w:p w14:paraId="645C3FE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308C0">
            <w:pPr>
              <w:keepNext w:val="0"/>
              <w:keepLines w:val="0"/>
              <w:widowControl/>
              <w:suppressLineNumbers w:val="0"/>
              <w:jc w:val="both"/>
              <w:textAlignment w:val="center"/>
              <w:rPr>
                <w:rFonts w:hint="default" w:ascii="宋体" w:hAnsi="宋体" w:eastAsia="宋体" w:cs="宋体"/>
                <w:color w:val="000000"/>
                <w:kern w:val="2"/>
                <w:sz w:val="20"/>
                <w:szCs w:val="20"/>
                <w:highlight w:val="none"/>
                <w:u w:val="none"/>
                <w:lang w:val="en-US" w:eastAsia="zh-CN" w:bidi="ar"/>
              </w:rPr>
            </w:pPr>
            <w:r>
              <w:rPr>
                <w:rStyle w:val="28"/>
                <w:rFonts w:hint="eastAsia"/>
                <w:highlight w:val="none"/>
                <w:lang w:val="en-US" w:eastAsia="zh-CN" w:bidi="ar"/>
              </w:rPr>
              <w:t>①园内不宜采用裸管荧光灯灯具。睡眠区、活动区、喂奶室应采用漫光型灯具，光源应采用防频闪性能好的节能光源。</w:t>
            </w:r>
          </w:p>
        </w:tc>
      </w:tr>
      <w:tr w14:paraId="7B4F70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953" w:type="dxa"/>
            <w:vMerge w:val="continue"/>
            <w:tcBorders>
              <w:left w:val="single" w:color="000000" w:sz="4" w:space="0"/>
              <w:right w:val="single" w:color="000000" w:sz="4" w:space="0"/>
            </w:tcBorders>
            <w:shd w:val="clear" w:color="auto" w:fill="auto"/>
            <w:vAlign w:val="center"/>
          </w:tcPr>
          <w:p w14:paraId="0DAB15E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80A31">
            <w:pPr>
              <w:keepNext w:val="0"/>
              <w:keepLines w:val="0"/>
              <w:widowControl/>
              <w:suppressLineNumbers w:val="0"/>
              <w:jc w:val="both"/>
              <w:textAlignment w:val="center"/>
              <w:rPr>
                <w:rFonts w:hint="default" w:ascii="宋体" w:hAnsi="宋体" w:eastAsia="宋体" w:cs="宋体"/>
                <w:color w:val="000000"/>
                <w:kern w:val="2"/>
                <w:sz w:val="20"/>
                <w:szCs w:val="20"/>
                <w:highlight w:val="none"/>
                <w:u w:val="none"/>
                <w:lang w:val="en-US" w:eastAsia="zh-CN" w:bidi="ar"/>
              </w:rPr>
            </w:pPr>
            <w:r>
              <w:rPr>
                <w:rStyle w:val="28"/>
                <w:rFonts w:hint="eastAsia"/>
                <w:highlight w:val="none"/>
                <w:lang w:val="en-US" w:eastAsia="zh-CN" w:bidi="ar"/>
              </w:rPr>
              <w:t>②园内的紫外线杀菌灯的控制装置应单独设置，并应采取防误开措施。</w:t>
            </w:r>
          </w:p>
        </w:tc>
      </w:tr>
      <w:tr w14:paraId="57392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4" w:hRule="atLeast"/>
        </w:trPr>
        <w:tc>
          <w:tcPr>
            <w:tcW w:w="953" w:type="dxa"/>
            <w:vMerge w:val="continue"/>
            <w:tcBorders>
              <w:left w:val="single" w:color="000000" w:sz="4" w:space="0"/>
              <w:right w:val="single" w:color="000000" w:sz="4" w:space="0"/>
            </w:tcBorders>
            <w:shd w:val="clear" w:color="auto" w:fill="auto"/>
            <w:vAlign w:val="center"/>
          </w:tcPr>
          <w:p w14:paraId="3C14CAC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23B1D">
            <w:pPr>
              <w:keepNext w:val="0"/>
              <w:keepLines w:val="0"/>
              <w:widowControl/>
              <w:suppressLineNumbers w:val="0"/>
              <w:jc w:val="both"/>
              <w:textAlignment w:val="center"/>
              <w:rPr>
                <w:rStyle w:val="28"/>
                <w:rFonts w:hint="default"/>
                <w:highlight w:val="none"/>
                <w:lang w:val="en-US" w:eastAsia="zh-CN" w:bidi="ar"/>
              </w:rPr>
            </w:pPr>
            <w:r>
              <w:rPr>
                <w:rStyle w:val="28"/>
                <w:rFonts w:hint="eastAsia"/>
                <w:highlight w:val="none"/>
                <w:lang w:val="en-US" w:eastAsia="zh-CN" w:bidi="ar"/>
              </w:rPr>
              <w:t>③房间照明标准值应符合JGJ 39《托儿所、幼儿园建筑设计规范》（2019年版）6.3.4的规定。</w:t>
            </w:r>
          </w:p>
        </w:tc>
      </w:tr>
      <w:tr w14:paraId="62B74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953" w:type="dxa"/>
            <w:vMerge w:val="continue"/>
            <w:tcBorders>
              <w:left w:val="single" w:color="000000" w:sz="4" w:space="0"/>
              <w:right w:val="single" w:color="000000" w:sz="4" w:space="0"/>
            </w:tcBorders>
            <w:shd w:val="clear" w:color="auto" w:fill="auto"/>
            <w:vAlign w:val="center"/>
          </w:tcPr>
          <w:p w14:paraId="6FBF6A3E">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061F3">
            <w:pPr>
              <w:keepNext w:val="0"/>
              <w:keepLines w:val="0"/>
              <w:widowControl/>
              <w:suppressLineNumbers w:val="0"/>
              <w:jc w:val="both"/>
              <w:textAlignment w:val="center"/>
              <w:rPr>
                <w:rFonts w:hint="default" w:ascii="宋体" w:hAnsi="宋体" w:eastAsia="宋体" w:cs="宋体"/>
                <w:color w:val="000000"/>
                <w:kern w:val="2"/>
                <w:sz w:val="20"/>
                <w:szCs w:val="20"/>
                <w:highlight w:val="none"/>
                <w:u w:val="none"/>
                <w:lang w:val="en-US" w:eastAsia="zh-CN" w:bidi="ar"/>
              </w:rPr>
            </w:pPr>
            <w:r>
              <w:rPr>
                <w:rStyle w:val="28"/>
                <w:rFonts w:hint="eastAsia"/>
                <w:highlight w:val="none"/>
                <w:lang w:val="en-US" w:eastAsia="zh-CN" w:bidi="ar"/>
              </w:rPr>
              <w:t>④活动室内插座不应少于四组，寝室插座不应少于二组。安装高度不应低于1.8m，插座回路与照明回路应分开设置，插座回路应设置剩余电流动作保护，其额定动作电流不应大于30mA。</w:t>
            </w:r>
          </w:p>
        </w:tc>
      </w:tr>
      <w:tr w14:paraId="1F7FA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953" w:type="dxa"/>
            <w:vMerge w:val="continue"/>
            <w:tcBorders>
              <w:left w:val="single" w:color="000000" w:sz="4" w:space="0"/>
              <w:right w:val="single" w:color="000000" w:sz="4" w:space="0"/>
            </w:tcBorders>
            <w:shd w:val="clear" w:color="auto" w:fill="auto"/>
            <w:vAlign w:val="center"/>
          </w:tcPr>
          <w:p w14:paraId="7EAEBC6C">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0209D">
            <w:pPr>
              <w:keepNext w:val="0"/>
              <w:keepLines w:val="0"/>
              <w:widowControl/>
              <w:suppressLineNumbers w:val="0"/>
              <w:jc w:val="both"/>
              <w:textAlignment w:val="center"/>
              <w:rPr>
                <w:rFonts w:hint="default" w:ascii="宋体" w:hAnsi="宋体" w:eastAsia="宋体" w:cs="宋体"/>
                <w:color w:val="000000"/>
                <w:kern w:val="2"/>
                <w:sz w:val="20"/>
                <w:szCs w:val="20"/>
                <w:highlight w:val="none"/>
                <w:u w:val="none"/>
                <w:lang w:val="en-US" w:eastAsia="zh-CN" w:bidi="ar"/>
              </w:rPr>
            </w:pPr>
            <w:r>
              <w:rPr>
                <w:rStyle w:val="28"/>
                <w:rFonts w:hint="eastAsia"/>
                <w:highlight w:val="none"/>
                <w:lang w:val="en-US" w:eastAsia="zh-CN" w:bidi="ar"/>
              </w:rPr>
              <w:t>⑤园内安全技术防范系统的设置应符合JGJ 39《托儿所、幼儿园建筑设计规范》（2019年版）6.3.7的规定。</w:t>
            </w:r>
          </w:p>
        </w:tc>
      </w:tr>
      <w:tr w14:paraId="65E3D7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953" w:type="dxa"/>
            <w:tcBorders>
              <w:left w:val="single" w:color="000000" w:sz="4" w:space="0"/>
              <w:bottom w:val="single" w:color="000000" w:sz="4" w:space="0"/>
              <w:right w:val="single" w:color="000000" w:sz="4" w:space="0"/>
            </w:tcBorders>
            <w:shd w:val="clear" w:color="auto" w:fill="auto"/>
            <w:vAlign w:val="center"/>
          </w:tcPr>
          <w:p w14:paraId="1A42A4C9">
            <w:pPr>
              <w:jc w:val="center"/>
              <w:rPr>
                <w:rFonts w:hint="eastAsia" w:ascii="宋体" w:hAnsi="宋体" w:eastAsia="宋体" w:cs="宋体"/>
                <w:i w:val="0"/>
                <w:iCs w:val="0"/>
                <w:color w:val="000000"/>
                <w:sz w:val="20"/>
                <w:szCs w:val="20"/>
                <w:highlight w:val="none"/>
                <w:u w:val="none"/>
              </w:rPr>
            </w:pPr>
          </w:p>
        </w:tc>
        <w:tc>
          <w:tcPr>
            <w:tcW w:w="8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57305">
            <w:pPr>
              <w:keepNext w:val="0"/>
              <w:keepLines w:val="0"/>
              <w:widowControl/>
              <w:suppressLineNumbers w:val="0"/>
              <w:jc w:val="both"/>
              <w:textAlignment w:val="center"/>
              <w:rPr>
                <w:rStyle w:val="28"/>
                <w:rFonts w:hint="eastAsia"/>
                <w:highlight w:val="none"/>
                <w:lang w:val="en-US" w:eastAsia="zh-CN" w:bidi="ar"/>
              </w:rPr>
            </w:pPr>
            <w:r>
              <w:rPr>
                <w:rStyle w:val="28"/>
                <w:rFonts w:hint="eastAsia"/>
                <w:highlight w:val="none"/>
                <w:lang w:val="en-US" w:eastAsia="zh-CN" w:bidi="ar"/>
              </w:rPr>
              <w:t>⑥园内应设置电话系统、计算机网络系统、广播系统、有线电视系统、教学多媒体设施。</w:t>
            </w:r>
          </w:p>
        </w:tc>
      </w:tr>
    </w:tbl>
    <w:p w14:paraId="6300CD64">
      <w:pPr>
        <w:pStyle w:val="24"/>
        <w:numPr>
          <w:ilvl w:val="0"/>
          <w:numId w:val="0"/>
        </w:numPr>
        <w:ind w:firstLine="640" w:firstLineChars="200"/>
        <w:rPr>
          <w:rFonts w:hint="eastAsia" w:ascii="宋体" w:hAnsi="宋体" w:eastAsia="宋体" w:cs="宋体"/>
          <w:b w:val="0"/>
          <w:bCs w:val="0"/>
          <w:kern w:val="2"/>
          <w:sz w:val="32"/>
          <w:szCs w:val="32"/>
          <w:highlight w:val="none"/>
          <w:lang w:val="en-US" w:eastAsia="zh-CN" w:bidi="ar-SA"/>
        </w:rPr>
      </w:pPr>
      <w:r>
        <w:rPr>
          <w:rFonts w:hint="default" w:ascii="宋体" w:hAnsi="宋体" w:eastAsia="宋体" w:cs="宋体"/>
          <w:b w:val="0"/>
          <w:bCs w:val="0"/>
          <w:kern w:val="2"/>
          <w:sz w:val="32"/>
          <w:szCs w:val="32"/>
          <w:highlight w:val="none"/>
          <w:lang w:val="en-US" w:eastAsia="zh-CN" w:bidi="ar-SA"/>
        </w:rPr>
        <w:t>3、设计依据、规范</w:t>
      </w:r>
      <w:r>
        <w:rPr>
          <w:rFonts w:hint="eastAsia" w:ascii="宋体" w:hAnsi="宋体" w:eastAsia="宋体" w:cs="宋体"/>
          <w:b w:val="0"/>
          <w:bCs w:val="0"/>
          <w:kern w:val="2"/>
          <w:sz w:val="32"/>
          <w:szCs w:val="32"/>
          <w:highlight w:val="none"/>
          <w:lang w:val="en-US" w:eastAsia="zh-CN" w:bidi="ar-SA"/>
        </w:rPr>
        <w:t>（范围包含但不限于以下内容）：</w:t>
      </w:r>
    </w:p>
    <w:p w14:paraId="07E64671">
      <w:pPr>
        <w:pStyle w:val="26"/>
        <w:keepNext w:val="0"/>
        <w:keepLines w:val="0"/>
        <w:pageBreakBefore w:val="0"/>
        <w:kinsoku/>
        <w:wordWrap/>
        <w:overflowPunct/>
        <w:topLinePunct w:val="0"/>
        <w:autoSpaceDE/>
        <w:autoSpaceDN/>
        <w:bidi w:val="0"/>
        <w:adjustRightInd w:val="0"/>
        <w:snapToGrid w:val="0"/>
        <w:spacing w:before="120"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（1）《托儿所、幼儿园建筑设计规范》JGJ39（2019年版）</w:t>
      </w:r>
    </w:p>
    <w:p w14:paraId="4779B036">
      <w:pPr>
        <w:pStyle w:val="24"/>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生活饮用水卫生标准GB 5749</w:t>
      </w:r>
    </w:p>
    <w:p w14:paraId="45CD906A">
      <w:pPr>
        <w:pStyle w:val="24"/>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室内空气质量标准GB/T 18883</w:t>
      </w:r>
    </w:p>
    <w:p w14:paraId="12BD7DEA">
      <w:pPr>
        <w:pStyle w:val="24"/>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托育机构质量评估标准WS/T821</w:t>
      </w:r>
    </w:p>
    <w:p w14:paraId="745D47F8">
      <w:pPr>
        <w:pStyle w:val="24"/>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《托育机构设置标准(试行)》(国卫人口发(2019)58号附件1)</w:t>
      </w:r>
    </w:p>
    <w:p w14:paraId="33755AC5">
      <w:pPr>
        <w:pStyle w:val="24"/>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《托育机构消防安全指南(试行)》(国卫办人口函〔2022〕21号)</w:t>
      </w:r>
    </w:p>
    <w:p w14:paraId="7EC98514">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（7）</w:t>
      </w:r>
      <w:r>
        <w:rPr>
          <w:rFonts w:hint="eastAsia" w:asciiTheme="minorEastAsia" w:hAnsiTheme="minorEastAsia" w:eastAsiaTheme="minorEastAsia" w:cstheme="minorEastAsia"/>
          <w:b w:val="0"/>
          <w:bCs w:val="0"/>
          <w:kern w:val="2"/>
          <w:sz w:val="32"/>
          <w:szCs w:val="32"/>
          <w:highlight w:val="none"/>
          <w:lang w:val="en-US" w:eastAsia="zh-CN" w:bidi="ar-SA"/>
        </w:rPr>
        <w:t xml:space="preserve">玩具安全GB 6675  </w:t>
      </w:r>
    </w:p>
    <w:p w14:paraId="283DB517">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（8）</w:t>
      </w:r>
      <w:r>
        <w:rPr>
          <w:rFonts w:hint="default" w:asciiTheme="minorEastAsia" w:hAnsiTheme="minorEastAsia" w:eastAsiaTheme="minorEastAsia" w:cstheme="minorEastAsia"/>
          <w:b w:val="0"/>
          <w:bCs w:val="0"/>
          <w:kern w:val="2"/>
          <w:sz w:val="32"/>
          <w:szCs w:val="32"/>
          <w:highlight w:val="none"/>
          <w:lang w:val="en-US" w:eastAsia="zh-CN" w:bidi="ar-SA"/>
        </w:rPr>
        <w:t xml:space="preserve">学校课桌椅功能尺寸及技术要求GB/T3976 </w:t>
      </w:r>
    </w:p>
    <w:p w14:paraId="3CDAB13A">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（9）</w:t>
      </w:r>
      <w:r>
        <w:rPr>
          <w:rFonts w:hint="default" w:asciiTheme="minorEastAsia" w:hAnsiTheme="minorEastAsia" w:eastAsiaTheme="minorEastAsia" w:cstheme="minorEastAsia"/>
          <w:b w:val="0"/>
          <w:bCs w:val="0"/>
          <w:kern w:val="2"/>
          <w:sz w:val="32"/>
          <w:szCs w:val="32"/>
          <w:highlight w:val="none"/>
          <w:lang w:val="en-US" w:eastAsia="zh-CN" w:bidi="ar-SA"/>
        </w:rPr>
        <w:t>中小学合成材料面层运动场地 GB 36246</w:t>
      </w:r>
    </w:p>
    <w:p w14:paraId="5D48C9E1">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（10）</w:t>
      </w:r>
      <w:r>
        <w:rPr>
          <w:rFonts w:hint="default" w:asciiTheme="minorEastAsia" w:hAnsiTheme="minorEastAsia" w:eastAsiaTheme="minorEastAsia" w:cstheme="minorEastAsia"/>
          <w:b w:val="0"/>
          <w:bCs w:val="0"/>
          <w:kern w:val="2"/>
          <w:sz w:val="32"/>
          <w:szCs w:val="32"/>
          <w:highlight w:val="none"/>
          <w:lang w:val="en-US" w:eastAsia="zh-CN" w:bidi="ar-SA"/>
        </w:rPr>
        <w:t>《建筑设计防火规范》GB</w:t>
      </w:r>
      <w:r>
        <w:rPr>
          <w:rFonts w:hint="eastAsia" w:asciiTheme="minorEastAsia" w:hAnsiTheme="minorEastAsia" w:cstheme="minorEastAsia"/>
          <w:b w:val="0"/>
          <w:bCs w:val="0"/>
          <w:kern w:val="2"/>
          <w:sz w:val="32"/>
          <w:szCs w:val="32"/>
          <w:highlight w:val="none"/>
          <w:lang w:val="en-US" w:eastAsia="zh-CN" w:bidi="ar-SA"/>
        </w:rPr>
        <w:t xml:space="preserve"> </w:t>
      </w:r>
      <w:r>
        <w:rPr>
          <w:rFonts w:hint="default" w:asciiTheme="minorEastAsia" w:hAnsiTheme="minorEastAsia" w:eastAsiaTheme="minorEastAsia" w:cstheme="minorEastAsia"/>
          <w:b w:val="0"/>
          <w:bCs w:val="0"/>
          <w:kern w:val="2"/>
          <w:sz w:val="32"/>
          <w:szCs w:val="32"/>
          <w:highlight w:val="none"/>
          <w:lang w:val="en-US" w:eastAsia="zh-CN" w:bidi="ar-SA"/>
        </w:rPr>
        <w:t>50016</w:t>
      </w:r>
    </w:p>
    <w:p w14:paraId="0BD9423D">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heme="minorEastAsia" w:hAnsiTheme="minorEastAsia" w:eastAsia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（11）</w:t>
      </w:r>
      <w:r>
        <w:rPr>
          <w:rFonts w:hint="default" w:asciiTheme="minorEastAsia" w:hAnsiTheme="minorEastAsia" w:eastAsiaTheme="minorEastAsia" w:cstheme="minorEastAsia"/>
          <w:b w:val="0"/>
          <w:bCs w:val="0"/>
          <w:kern w:val="2"/>
          <w:sz w:val="32"/>
          <w:szCs w:val="32"/>
          <w:highlight w:val="none"/>
          <w:lang w:val="en-US" w:eastAsia="zh-CN" w:bidi="ar-SA"/>
        </w:rPr>
        <w:t>《建筑室内装修设计防火规范》GB</w:t>
      </w:r>
      <w:r>
        <w:rPr>
          <w:rFonts w:hint="eastAsia" w:asciiTheme="minorEastAsia" w:hAnsiTheme="minorEastAsia" w:cstheme="minorEastAsia"/>
          <w:b w:val="0"/>
          <w:bCs w:val="0"/>
          <w:kern w:val="2"/>
          <w:sz w:val="32"/>
          <w:szCs w:val="32"/>
          <w:highlight w:val="none"/>
          <w:lang w:val="en-US" w:eastAsia="zh-CN" w:bidi="ar-SA"/>
        </w:rPr>
        <w:t xml:space="preserve"> </w:t>
      </w:r>
      <w:r>
        <w:rPr>
          <w:rFonts w:hint="default" w:asciiTheme="minorEastAsia" w:hAnsiTheme="minorEastAsia" w:eastAsiaTheme="minorEastAsia" w:cstheme="minorEastAsia"/>
          <w:b w:val="0"/>
          <w:bCs w:val="0"/>
          <w:kern w:val="2"/>
          <w:sz w:val="32"/>
          <w:szCs w:val="32"/>
          <w:highlight w:val="none"/>
          <w:lang w:val="en-US" w:eastAsia="zh-CN" w:bidi="ar-SA"/>
        </w:rPr>
        <w:t>50222</w:t>
      </w:r>
    </w:p>
    <w:p w14:paraId="1457B952">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cstheme="minorEastAsia"/>
          <w:b w:val="0"/>
          <w:bCs w:val="0"/>
          <w:kern w:val="2"/>
          <w:sz w:val="32"/>
          <w:szCs w:val="32"/>
          <w:highlight w:val="none"/>
          <w:lang w:val="en-US" w:eastAsia="zh-CN" w:bidi="ar-SA"/>
        </w:rPr>
      </w:pPr>
      <w:r>
        <w:rPr>
          <w:rFonts w:hint="eastAsia" w:asciiTheme="minorEastAsia" w:hAnsiTheme="minorEastAsia" w:eastAsiaTheme="minorEastAsia" w:cstheme="minorEastAsia"/>
          <w:b w:val="0"/>
          <w:bCs w:val="0"/>
          <w:kern w:val="2"/>
          <w:sz w:val="32"/>
          <w:szCs w:val="32"/>
          <w:highlight w:val="none"/>
          <w:lang w:val="en-US" w:eastAsia="zh-CN" w:bidi="ar-SA"/>
        </w:rPr>
        <w:t>（12）《民用建筑隔声设计规范》</w:t>
      </w:r>
      <w:r>
        <w:rPr>
          <w:rFonts w:hint="eastAsia" w:asciiTheme="minorEastAsia" w:hAnsiTheme="minorEastAsia" w:cstheme="minorEastAsia"/>
          <w:b w:val="0"/>
          <w:bCs w:val="0"/>
          <w:kern w:val="2"/>
          <w:sz w:val="32"/>
          <w:szCs w:val="32"/>
          <w:highlight w:val="none"/>
          <w:lang w:val="en-US" w:eastAsia="zh-CN" w:bidi="ar-SA"/>
        </w:rPr>
        <w:t>（</w:t>
      </w:r>
      <w:r>
        <w:rPr>
          <w:rFonts w:hint="eastAsia" w:asciiTheme="minorEastAsia" w:hAnsiTheme="minorEastAsia" w:eastAsiaTheme="minorEastAsia" w:cstheme="minorEastAsia"/>
          <w:b w:val="0"/>
          <w:bCs w:val="0"/>
          <w:kern w:val="2"/>
          <w:sz w:val="32"/>
          <w:szCs w:val="32"/>
          <w:highlight w:val="none"/>
          <w:lang w:val="en-US" w:eastAsia="en-US" w:bidi="ar-SA"/>
        </w:rPr>
        <w:t>GB50118</w:t>
      </w:r>
      <w:r>
        <w:rPr>
          <w:rFonts w:hint="eastAsia" w:asciiTheme="minorEastAsia" w:hAnsiTheme="minorEastAsia" w:cstheme="minorEastAsia"/>
          <w:b w:val="0"/>
          <w:bCs w:val="0"/>
          <w:kern w:val="2"/>
          <w:sz w:val="32"/>
          <w:szCs w:val="32"/>
          <w:highlight w:val="none"/>
          <w:lang w:val="en-US" w:eastAsia="zh-CN" w:bidi="ar-SA"/>
        </w:rPr>
        <w:t>）</w:t>
      </w:r>
    </w:p>
    <w:p w14:paraId="044F0250">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（13）《饮食建筑设计规范》</w:t>
      </w:r>
      <w:r>
        <w:rPr>
          <w:rFonts w:hint="eastAsia" w:asciiTheme="minorEastAsia" w:hAnsiTheme="minorEastAsia" w:cstheme="minorEastAsia"/>
          <w:b w:val="0"/>
          <w:bCs w:val="0"/>
          <w:kern w:val="2"/>
          <w:sz w:val="32"/>
          <w:szCs w:val="32"/>
          <w:highlight w:val="none"/>
          <w:lang w:val="en-US" w:eastAsia="en-US" w:bidi="ar-SA"/>
        </w:rPr>
        <w:t>JGJ</w:t>
      </w:r>
      <w:r>
        <w:rPr>
          <w:rFonts w:hint="eastAsia" w:asciiTheme="minorEastAsia" w:hAnsiTheme="minorEastAsia" w:cstheme="minorEastAsia"/>
          <w:b w:val="0"/>
          <w:bCs w:val="0"/>
          <w:kern w:val="2"/>
          <w:sz w:val="32"/>
          <w:szCs w:val="32"/>
          <w:highlight w:val="none"/>
          <w:lang w:val="en-US" w:eastAsia="zh-CN" w:bidi="ar-SA"/>
        </w:rPr>
        <w:t xml:space="preserve"> </w:t>
      </w:r>
      <w:r>
        <w:rPr>
          <w:rFonts w:hint="eastAsia" w:asciiTheme="minorEastAsia" w:hAnsiTheme="minorEastAsia" w:cstheme="minorEastAsia"/>
          <w:b w:val="0"/>
          <w:bCs w:val="0"/>
          <w:kern w:val="2"/>
          <w:sz w:val="32"/>
          <w:szCs w:val="32"/>
          <w:highlight w:val="none"/>
          <w:lang w:val="en-US" w:eastAsia="en-US" w:bidi="ar-SA"/>
        </w:rPr>
        <w:t>6</w:t>
      </w:r>
      <w:r>
        <w:rPr>
          <w:rFonts w:hint="eastAsia" w:asciiTheme="minorEastAsia" w:hAnsiTheme="minorEastAsia" w:cstheme="minorEastAsia"/>
          <w:b w:val="0"/>
          <w:bCs w:val="0"/>
          <w:kern w:val="2"/>
          <w:sz w:val="32"/>
          <w:szCs w:val="32"/>
          <w:highlight w:val="none"/>
          <w:lang w:val="en-US" w:eastAsia="zh-CN" w:bidi="ar-SA"/>
        </w:rPr>
        <w:t>4</w:t>
      </w:r>
    </w:p>
    <w:p w14:paraId="157036D8">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（14）《建筑采光设计标准》GB 50033</w:t>
      </w:r>
    </w:p>
    <w:p w14:paraId="41A96669">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（15）《民用建筑工程室内环境污染控制规范》GB 50325</w:t>
      </w:r>
    </w:p>
    <w:p w14:paraId="07993365">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Theme="minorEastAsia" w:hAnsi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（16）《建筑给水排水设计规范》GB 50015</w:t>
      </w:r>
    </w:p>
    <w:p w14:paraId="6CDA8F42">
      <w:pPr>
        <w:keepNext w:val="0"/>
        <w:keepLines w:val="0"/>
        <w:pageBreakBefore w:val="0"/>
        <w:widowControl/>
        <w:suppressLineNumbers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heme="minorEastAsia" w:hAnsiTheme="minorEastAsia" w:cstheme="minorEastAsia"/>
          <w:b w:val="0"/>
          <w:bCs w:val="0"/>
          <w:kern w:val="2"/>
          <w:sz w:val="32"/>
          <w:szCs w:val="32"/>
          <w:highlight w:val="none"/>
          <w:lang w:val="en-US" w:eastAsia="zh-CN" w:bidi="ar-SA"/>
        </w:rPr>
      </w:pPr>
      <w:r>
        <w:rPr>
          <w:rFonts w:hint="eastAsia" w:asciiTheme="minorEastAsia" w:hAnsiTheme="minorEastAsia" w:cstheme="minorEastAsia"/>
          <w:b w:val="0"/>
          <w:bCs w:val="0"/>
          <w:kern w:val="2"/>
          <w:sz w:val="32"/>
          <w:szCs w:val="32"/>
          <w:highlight w:val="none"/>
          <w:lang w:val="en-US" w:eastAsia="zh-CN" w:bidi="ar-SA"/>
        </w:rPr>
        <w:t>（17）《&lt;城市儿童友好空间建设导则（试行）&gt;实施手册》</w:t>
      </w:r>
    </w:p>
    <w:p w14:paraId="2716F5CF">
      <w:pPr>
        <w:keepNext w:val="0"/>
        <w:keepLines w:val="0"/>
        <w:pageBreakBefore w:val="0"/>
        <w:kinsoku/>
        <w:wordWrap/>
        <w:overflowPunct/>
        <w:topLinePunct w:val="0"/>
        <w:autoSpaceDE/>
        <w:autoSpaceDN/>
        <w:bidi w:val="0"/>
        <w:adjustRightInd w:val="0"/>
        <w:snapToGrid w:val="0"/>
        <w:spacing w:line="560" w:lineRule="exact"/>
        <w:ind w:firstLine="640" w:firstLineChars="200"/>
        <w:jc w:val="both"/>
        <w:textAlignment w:val="auto"/>
        <w:rPr>
          <w:rFonts w:hint="default" w:ascii="宋体" w:hAnsi="宋体" w:eastAsia="宋体" w:cs="宋体"/>
          <w:b w:val="0"/>
          <w:bCs w:val="0"/>
          <w:kern w:val="2"/>
          <w:sz w:val="32"/>
          <w:szCs w:val="32"/>
          <w:highlight w:val="none"/>
          <w:lang w:val="en-US" w:eastAsia="zh-CN" w:bidi="ar-SA"/>
        </w:rPr>
      </w:pPr>
      <w:r>
        <w:rPr>
          <w:rFonts w:hint="eastAsia" w:asciiTheme="minorEastAsia" w:hAnsiTheme="minorEastAsia" w:eastAsiaTheme="minorEastAsia" w:cstheme="minorEastAsia"/>
          <w:sz w:val="32"/>
          <w:szCs w:val="32"/>
          <w:highlight w:val="none"/>
        </w:rPr>
        <w:t>同时，还需参考地方性的托育服务相关法规和标准，确保设计符合当地的要求。</w:t>
      </w:r>
    </w:p>
    <w:p w14:paraId="36B5EA02">
      <w:pPr>
        <w:keepNext w:val="0"/>
        <w:keepLines w:val="0"/>
        <w:pageBreakBefore w:val="0"/>
        <w:numPr>
          <w:ilvl w:val="0"/>
          <w:numId w:val="2"/>
        </w:numPr>
        <w:kinsoku/>
        <w:wordWrap/>
        <w:overflowPunct/>
        <w:topLinePunct w:val="0"/>
        <w:autoSpaceDE/>
        <w:autoSpaceDN/>
        <w:bidi w:val="0"/>
        <w:spacing w:line="560" w:lineRule="exact"/>
        <w:ind w:left="0" w:firstLine="643" w:firstLineChars="200"/>
        <w:textAlignment w:val="auto"/>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lang w:eastAsia="zh-CN"/>
        </w:rPr>
        <w:t>采购预算金额：</w:t>
      </w:r>
    </w:p>
    <w:p w14:paraId="1E9D7DEC">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default" w:ascii="宋体" w:hAnsi="宋体" w:eastAsia="宋体" w:cs="宋体"/>
          <w:sz w:val="32"/>
          <w:szCs w:val="32"/>
          <w:highlight w:val="none"/>
          <w:lang w:val="en-US" w:eastAsia="zh-CN"/>
        </w:rPr>
      </w:pPr>
      <w:r>
        <w:rPr>
          <w:rFonts w:hint="eastAsia" w:ascii="宋体" w:hAnsi="宋体" w:eastAsia="宋体" w:cs="宋体"/>
          <w:kern w:val="2"/>
          <w:sz w:val="32"/>
          <w:szCs w:val="32"/>
          <w:highlight w:val="none"/>
          <w:lang w:val="en-US" w:eastAsia="zh-CN" w:bidi="ar-SA"/>
        </w:rPr>
        <w:t>服务费按计价格〔2002〕10 号、湘价服〔2009〕81号及株财发〔2023〕2号，</w:t>
      </w:r>
      <w:r>
        <w:rPr>
          <w:rFonts w:hint="eastAsia" w:ascii="宋体" w:hAnsi="宋体" w:eastAsia="宋体" w:cs="宋体"/>
          <w:sz w:val="32"/>
          <w:szCs w:val="32"/>
          <w:highlight w:val="none"/>
          <w:lang w:val="en-US" w:eastAsia="zh-CN"/>
        </w:rPr>
        <w:t>各项服务费不超过株洲市发改委批复的各单项上限，最终根据相关招标文件、合同进行计算，其中设计上限值</w:t>
      </w:r>
      <w:r>
        <w:rPr>
          <w:rFonts w:hint="eastAsia" w:ascii="宋体" w:hAnsi="宋体" w:eastAsia="宋体" w:cs="宋体"/>
          <w:sz w:val="32"/>
          <w:szCs w:val="32"/>
          <w:highlight w:val="none"/>
          <w:u w:val="single"/>
          <w:lang w:val="en-US" w:eastAsia="zh-CN"/>
        </w:rPr>
        <w:t>16.74</w:t>
      </w:r>
      <w:r>
        <w:rPr>
          <w:rFonts w:hint="eastAsia" w:ascii="宋体" w:hAnsi="宋体" w:eastAsia="宋体" w:cs="宋体"/>
          <w:sz w:val="32"/>
          <w:szCs w:val="32"/>
          <w:highlight w:val="none"/>
          <w:lang w:val="en-US" w:eastAsia="zh-CN"/>
        </w:rPr>
        <w:t>万元，造价咨询上限值</w:t>
      </w:r>
      <w:r>
        <w:rPr>
          <w:rFonts w:hint="eastAsia" w:ascii="宋体" w:hAnsi="宋体" w:eastAsia="宋体" w:cs="宋体"/>
          <w:sz w:val="32"/>
          <w:szCs w:val="32"/>
          <w:highlight w:val="none"/>
          <w:u w:val="single"/>
          <w:lang w:val="en-US" w:eastAsia="zh-CN"/>
        </w:rPr>
        <w:t>1.84</w:t>
      </w:r>
      <w:r>
        <w:rPr>
          <w:rFonts w:hint="eastAsia" w:ascii="宋体" w:hAnsi="宋体" w:eastAsia="宋体" w:cs="宋体"/>
          <w:sz w:val="32"/>
          <w:szCs w:val="32"/>
          <w:highlight w:val="none"/>
          <w:lang w:val="en-US" w:eastAsia="zh-CN"/>
        </w:rPr>
        <w:t>万元，项目上限值合计</w:t>
      </w:r>
      <w:r>
        <w:rPr>
          <w:rFonts w:hint="eastAsia" w:ascii="宋体" w:hAnsi="宋体" w:eastAsia="宋体" w:cs="宋体"/>
          <w:sz w:val="32"/>
          <w:szCs w:val="32"/>
          <w:highlight w:val="none"/>
          <w:u w:val="single"/>
          <w:lang w:val="en-US" w:eastAsia="zh-CN"/>
        </w:rPr>
        <w:t>18.58</w:t>
      </w:r>
      <w:r>
        <w:rPr>
          <w:rFonts w:hint="eastAsia" w:ascii="宋体" w:hAnsi="宋体" w:eastAsia="宋体" w:cs="宋体"/>
          <w:sz w:val="32"/>
          <w:szCs w:val="32"/>
          <w:highlight w:val="none"/>
          <w:lang w:val="en-US" w:eastAsia="zh-CN"/>
        </w:rPr>
        <w:t>万元。</w:t>
      </w:r>
    </w:p>
    <w:p w14:paraId="77B52E45">
      <w:pPr>
        <w:keepNext w:val="0"/>
        <w:keepLines w:val="0"/>
        <w:pageBreakBefore w:val="0"/>
        <w:numPr>
          <w:ilvl w:val="0"/>
          <w:numId w:val="0"/>
        </w:numPr>
        <w:kinsoku/>
        <w:overflowPunct/>
        <w:topLinePunct w:val="0"/>
        <w:autoSpaceDE/>
        <w:autoSpaceDN/>
        <w:bidi w:val="0"/>
        <w:spacing w:line="560" w:lineRule="exact"/>
        <w:ind w:firstLine="643" w:firstLineChars="200"/>
        <w:textAlignment w:val="auto"/>
        <w:rPr>
          <w:rFonts w:hint="eastAsia" w:ascii="宋体" w:hAnsi="宋体" w:eastAsia="宋体" w:cs="宋体"/>
          <w:b/>
          <w:bCs/>
          <w:sz w:val="32"/>
          <w:szCs w:val="32"/>
          <w:highlight w:val="none"/>
        </w:rPr>
      </w:pPr>
      <w:r>
        <w:rPr>
          <w:rFonts w:hint="eastAsia" w:ascii="宋体" w:hAnsi="宋体" w:eastAsia="宋体" w:cs="宋体"/>
          <w:b/>
          <w:bCs/>
          <w:sz w:val="32"/>
          <w:szCs w:val="32"/>
          <w:highlight w:val="none"/>
          <w:lang w:eastAsia="zh-CN"/>
        </w:rPr>
        <w:t>注：（本次服务所产生的差旅、住宿等其他所有费用由中选中介单位自行负责，委托人不再支付其他任何费用）</w:t>
      </w:r>
    </w:p>
    <w:p w14:paraId="4D5B8BAB">
      <w:pPr>
        <w:keepNext w:val="0"/>
        <w:keepLines w:val="0"/>
        <w:pageBreakBefore w:val="0"/>
        <w:kinsoku/>
        <w:wordWrap/>
        <w:overflowPunct/>
        <w:topLinePunct w:val="0"/>
        <w:autoSpaceDE/>
        <w:autoSpaceDN/>
        <w:bidi w:val="0"/>
        <w:spacing w:line="560" w:lineRule="exact"/>
        <w:ind w:left="0" w:firstLine="643" w:firstLineChars="200"/>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五、供应商资格要求：</w:t>
      </w:r>
    </w:p>
    <w:p w14:paraId="067DE95D">
      <w:pPr>
        <w:keepNext w:val="0"/>
        <w:keepLines w:val="0"/>
        <w:pageBreakBefore w:val="0"/>
        <w:kinsoku/>
        <w:wordWrap/>
        <w:overflowPunct/>
        <w:topLinePunct w:val="0"/>
        <w:autoSpaceDE/>
        <w:autoSpaceDN/>
        <w:bidi w:val="0"/>
        <w:spacing w:line="560" w:lineRule="exact"/>
        <w:ind w:left="0" w:firstLine="640" w:firstLineChars="200"/>
        <w:textAlignment w:val="auto"/>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w:t>
      </w:r>
      <w:r>
        <w:rPr>
          <w:rFonts w:hint="default" w:ascii="宋体" w:hAnsi="宋体" w:eastAsia="宋体" w:cs="宋体"/>
          <w:sz w:val="32"/>
          <w:szCs w:val="32"/>
          <w:highlight w:val="none"/>
          <w:lang w:val="en-US" w:eastAsia="zh-CN"/>
        </w:rPr>
        <w:t>具有独立承担民事责任能力，并依法取得营业执照。</w:t>
      </w:r>
    </w:p>
    <w:p w14:paraId="3B580BDD">
      <w:pPr>
        <w:keepNext w:val="0"/>
        <w:keepLines w:val="0"/>
        <w:pageBreakBefore w:val="0"/>
        <w:kinsoku/>
        <w:wordWrap/>
        <w:overflowPunct/>
        <w:topLinePunct w:val="0"/>
        <w:autoSpaceDE/>
        <w:autoSpaceDN/>
        <w:bidi w:val="0"/>
        <w:spacing w:line="560" w:lineRule="exact"/>
        <w:ind w:left="0" w:firstLine="640" w:firstLineChars="200"/>
        <w:textAlignment w:val="auto"/>
        <w:rPr>
          <w:rFonts w:hint="default" w:ascii="宋体" w:hAnsi="宋体" w:eastAsia="宋体" w:cs="宋体"/>
          <w:color w:val="FF0000"/>
          <w:sz w:val="32"/>
          <w:szCs w:val="32"/>
          <w:highlight w:val="none"/>
          <w:lang w:val="en-US" w:eastAsia="zh-CN"/>
        </w:rPr>
      </w:pPr>
      <w:r>
        <w:rPr>
          <w:rFonts w:hint="eastAsia" w:ascii="宋体" w:hAnsi="宋体" w:eastAsia="宋体" w:cs="宋体"/>
          <w:sz w:val="32"/>
          <w:szCs w:val="32"/>
          <w:highlight w:val="none"/>
          <w:lang w:val="en-US" w:eastAsia="zh-CN"/>
        </w:rPr>
        <w:t>2、设计</w:t>
      </w:r>
      <w:r>
        <w:rPr>
          <w:rFonts w:hint="default" w:ascii="宋体" w:hAnsi="宋体" w:eastAsia="宋体" w:cs="宋体"/>
          <w:sz w:val="32"/>
          <w:szCs w:val="32"/>
          <w:highlight w:val="none"/>
          <w:lang w:val="en-US" w:eastAsia="zh-CN"/>
        </w:rPr>
        <w:t>供应商应具有建筑装饰工程设计</w:t>
      </w:r>
      <w:r>
        <w:rPr>
          <w:rFonts w:hint="eastAsia" w:ascii="宋体" w:hAnsi="宋体" w:eastAsia="宋体" w:cs="宋体"/>
          <w:sz w:val="32"/>
          <w:szCs w:val="32"/>
          <w:highlight w:val="none"/>
          <w:lang w:val="en-US" w:eastAsia="zh-CN"/>
        </w:rPr>
        <w:t>甲</w:t>
      </w:r>
      <w:r>
        <w:rPr>
          <w:rFonts w:hint="default" w:ascii="宋体" w:hAnsi="宋体" w:eastAsia="宋体" w:cs="宋体"/>
          <w:sz w:val="32"/>
          <w:szCs w:val="32"/>
          <w:highlight w:val="none"/>
          <w:lang w:val="en-US" w:eastAsia="zh-CN"/>
        </w:rPr>
        <w:t>级资</w:t>
      </w:r>
      <w:r>
        <w:rPr>
          <w:rFonts w:hint="default" w:ascii="宋体" w:hAnsi="宋体" w:eastAsia="宋体" w:cs="宋体"/>
          <w:color w:val="auto"/>
          <w:sz w:val="32"/>
          <w:szCs w:val="32"/>
          <w:highlight w:val="none"/>
          <w:lang w:val="en-US" w:eastAsia="zh-CN"/>
        </w:rPr>
        <w:t>质</w:t>
      </w:r>
      <w:r>
        <w:rPr>
          <w:rFonts w:hint="eastAsia" w:ascii="宋体" w:hAnsi="宋体" w:eastAsia="宋体" w:cs="宋体"/>
          <w:color w:val="auto"/>
          <w:sz w:val="32"/>
          <w:szCs w:val="32"/>
          <w:highlight w:val="none"/>
          <w:lang w:val="en-US" w:eastAsia="zh-CN"/>
        </w:rPr>
        <w:t>或同等建筑行业（建筑工程）专业设计甲级及以上资质</w:t>
      </w:r>
      <w:r>
        <w:rPr>
          <w:rFonts w:hint="default" w:ascii="宋体" w:hAnsi="宋体" w:eastAsia="宋体" w:cs="宋体"/>
          <w:color w:val="auto"/>
          <w:sz w:val="32"/>
          <w:szCs w:val="32"/>
          <w:highlight w:val="none"/>
          <w:lang w:val="en-US" w:eastAsia="zh-CN"/>
        </w:rPr>
        <w:t>并在有</w:t>
      </w:r>
      <w:r>
        <w:rPr>
          <w:rFonts w:hint="default" w:ascii="宋体" w:hAnsi="宋体" w:eastAsia="宋体" w:cs="宋体"/>
          <w:sz w:val="32"/>
          <w:szCs w:val="32"/>
          <w:highlight w:val="none"/>
          <w:lang w:val="en-US" w:eastAsia="zh-CN"/>
        </w:rPr>
        <w:t>效期内技术资质证书</w:t>
      </w:r>
      <w:r>
        <w:rPr>
          <w:rFonts w:hint="default" w:ascii="宋体" w:hAnsi="宋体" w:eastAsia="宋体" w:cs="宋体"/>
          <w:color w:val="auto"/>
          <w:sz w:val="32"/>
          <w:szCs w:val="32"/>
          <w:highlight w:val="none"/>
          <w:lang w:val="en-US" w:eastAsia="zh-CN"/>
        </w:rPr>
        <w:t>。</w:t>
      </w:r>
      <w:r>
        <w:rPr>
          <w:rFonts w:hint="default" w:ascii="宋体" w:hAnsi="宋体" w:eastAsia="宋体" w:cs="宋体"/>
          <w:color w:val="FF0000"/>
          <w:sz w:val="32"/>
          <w:szCs w:val="32"/>
          <w:highlight w:val="none"/>
          <w:lang w:val="en-US" w:eastAsia="zh-CN"/>
        </w:rPr>
        <w:t xml:space="preserve"> </w:t>
      </w:r>
    </w:p>
    <w:p w14:paraId="16CB9DC6">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color w:val="auto"/>
          <w:sz w:val="32"/>
          <w:szCs w:val="32"/>
          <w:highlight w:val="none"/>
          <w:lang w:val="en-US" w:eastAsia="zh-CN"/>
        </w:rPr>
      </w:pPr>
      <w:r>
        <w:rPr>
          <w:rFonts w:hint="eastAsia" w:ascii="宋体" w:hAnsi="宋体" w:eastAsia="宋体" w:cs="宋体"/>
          <w:sz w:val="32"/>
          <w:szCs w:val="32"/>
          <w:highlight w:val="none"/>
          <w:lang w:val="en-US" w:eastAsia="zh-CN"/>
        </w:rPr>
        <w:t>3、近5</w:t>
      </w:r>
      <w:r>
        <w:rPr>
          <w:rFonts w:hint="eastAsia" w:ascii="宋体" w:hAnsi="宋体" w:eastAsia="宋体" w:cs="宋体"/>
          <w:color w:val="auto"/>
          <w:sz w:val="32"/>
          <w:szCs w:val="32"/>
          <w:highlight w:val="none"/>
          <w:lang w:val="en-US" w:eastAsia="zh-CN"/>
        </w:rPr>
        <w:t>年承担过</w:t>
      </w:r>
      <w:r>
        <w:rPr>
          <w:rFonts w:hint="eastAsia" w:ascii="宋体" w:hAnsi="宋体" w:eastAsia="宋体" w:cs="宋体"/>
          <w:color w:val="auto"/>
          <w:sz w:val="32"/>
          <w:szCs w:val="32"/>
          <w:highlight w:val="none"/>
          <w:u w:val="none"/>
          <w:lang w:val="en-US" w:eastAsia="zh-CN"/>
        </w:rPr>
        <w:t>3</w:t>
      </w:r>
      <w:r>
        <w:rPr>
          <w:rFonts w:hint="eastAsia" w:ascii="宋体" w:hAnsi="宋体" w:eastAsia="宋体" w:cs="宋体"/>
          <w:color w:val="auto"/>
          <w:sz w:val="32"/>
          <w:szCs w:val="32"/>
          <w:highlight w:val="none"/>
          <w:lang w:val="en-US" w:eastAsia="zh-CN"/>
        </w:rPr>
        <w:t>个及以上市级同类型项目的</w:t>
      </w:r>
      <w:r>
        <w:rPr>
          <w:rFonts w:hint="eastAsia" w:ascii="宋体" w:hAnsi="宋体" w:eastAsia="宋体" w:cs="宋体"/>
          <w:color w:val="000000" w:themeColor="text1"/>
          <w:sz w:val="32"/>
          <w:szCs w:val="32"/>
          <w:highlight w:val="none"/>
          <w:lang w:val="en-US" w:eastAsia="zh-CN"/>
          <w14:textFill>
            <w14:solidFill>
              <w14:schemeClr w14:val="tx1"/>
            </w14:solidFill>
          </w14:textFill>
        </w:rPr>
        <w:t>装饰装修设计</w:t>
      </w:r>
      <w:r>
        <w:rPr>
          <w:rFonts w:hint="eastAsia" w:ascii="宋体" w:hAnsi="宋体" w:eastAsia="宋体" w:cs="宋体"/>
          <w:color w:val="auto"/>
          <w:sz w:val="32"/>
          <w:szCs w:val="32"/>
          <w:highlight w:val="none"/>
          <w:lang w:val="en-US" w:eastAsia="zh-CN"/>
        </w:rPr>
        <w:t>工作。</w:t>
      </w:r>
    </w:p>
    <w:p w14:paraId="0249D003">
      <w:pPr>
        <w:keepNext w:val="0"/>
        <w:keepLines w:val="0"/>
        <w:pageBreakBefore w:val="0"/>
        <w:kinsoku/>
        <w:wordWrap/>
        <w:overflowPunct/>
        <w:topLinePunct w:val="0"/>
        <w:autoSpaceDE/>
        <w:autoSpaceDN/>
        <w:bidi w:val="0"/>
        <w:spacing w:line="560" w:lineRule="exact"/>
        <w:ind w:left="0" w:firstLine="640" w:firstLineChars="200"/>
        <w:textAlignment w:val="auto"/>
        <w:rPr>
          <w:rFonts w:hint="default"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4、造价咨询供应商应具有需取得乙级工程造价咨询企业资质证书，对服务所在地的相关物资、服务市场价格及政策能够做到充分了解并掌握。</w:t>
      </w:r>
    </w:p>
    <w:p w14:paraId="5BDEA295">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5、列入失信被执行人、重大税收违法案件当事人名单，列入政府采购严重违法失信行为记录名单的，拒绝其参与政府采购活动。</w:t>
      </w:r>
    </w:p>
    <w:p w14:paraId="2843CD71">
      <w:pPr>
        <w:keepNext w:val="0"/>
        <w:keepLines w:val="0"/>
        <w:pageBreakBefore w:val="0"/>
        <w:kinsoku/>
        <w:wordWrap/>
        <w:overflowPunct/>
        <w:topLinePunct w:val="0"/>
        <w:autoSpaceDE/>
        <w:autoSpaceDN/>
        <w:bidi w:val="0"/>
        <w:spacing w:line="560" w:lineRule="exact"/>
        <w:ind w:left="0" w:firstLine="640" w:firstLineChars="200"/>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6、竞价单位不得恶意低价竞价，成交后，不得拒绝提供服务或放弃，违者提请相关部门追究责任。竞价成功后，请于24小时内与我单位项目负责人进行工作衔接，逾期视为违约。</w:t>
      </w:r>
    </w:p>
    <w:p w14:paraId="0ECA310B">
      <w:pPr>
        <w:pStyle w:val="7"/>
        <w:keepNext w:val="0"/>
        <w:keepLines w:val="0"/>
        <w:pageBreakBefore w:val="0"/>
        <w:widowControl w:val="0"/>
        <w:kinsoku/>
        <w:wordWrap/>
        <w:overflowPunct/>
        <w:topLinePunct w:val="0"/>
        <w:autoSpaceDE/>
        <w:autoSpaceDN/>
        <w:bidi w:val="0"/>
        <w:adjustRightInd w:val="0"/>
        <w:snapToGrid w:val="0"/>
        <w:spacing w:line="560" w:lineRule="exact"/>
        <w:ind w:left="0" w:leftChars="0" w:firstLine="640" w:firstLineChars="200"/>
        <w:textAlignment w:val="auto"/>
        <w:rPr>
          <w:rFonts w:hint="eastAsia" w:ascii="宋体" w:hAnsi="宋体" w:eastAsia="宋体" w:cs="宋体"/>
          <w:kern w:val="2"/>
          <w:sz w:val="32"/>
          <w:szCs w:val="32"/>
          <w:highlight w:val="none"/>
          <w:lang w:val="en-US" w:eastAsia="zh-CN" w:bidi="ar-SA"/>
        </w:rPr>
      </w:pPr>
      <w:r>
        <w:rPr>
          <w:rFonts w:hint="eastAsia" w:ascii="宋体" w:hAnsi="宋体" w:eastAsia="宋体" w:cs="宋体"/>
          <w:kern w:val="2"/>
          <w:sz w:val="32"/>
          <w:szCs w:val="32"/>
          <w:highlight w:val="none"/>
          <w:lang w:val="en-US" w:eastAsia="zh-CN" w:bidi="ar-SA"/>
        </w:rPr>
        <w:t>7、竞价完成后，设计服务供应商需协助采购单位于合同签订后45天内完成服务内容。逾期未完成罚300元/天；造价咨询供应商需在取得施工图后于15天内完成服务内容。逾期未完成罚300元/天。</w:t>
      </w:r>
    </w:p>
    <w:p w14:paraId="05826863">
      <w:pPr>
        <w:ind w:firstLine="640" w:firstLineChars="200"/>
        <w:rPr>
          <w:rFonts w:hint="default"/>
          <w:highlight w:val="none"/>
          <w:lang w:val="en-US" w:eastAsia="zh-CN"/>
        </w:rPr>
      </w:pPr>
      <w:r>
        <w:rPr>
          <w:rFonts w:hint="eastAsia" w:ascii="宋体" w:hAnsi="宋体" w:eastAsia="宋体" w:cs="宋体"/>
          <w:kern w:val="2"/>
          <w:sz w:val="32"/>
          <w:szCs w:val="32"/>
          <w:highlight w:val="none"/>
          <w:lang w:val="en-US" w:eastAsia="zh-CN" w:bidi="ar-SA"/>
        </w:rPr>
        <w:t>8、本次招标接受联合体投标。以联合体投标的，应满足下列要求：本项目只接受具有设计资质的单位作为联合体牵头人，联合体成员家数须不超过2家，同一专项服务不允许两家及以上单位联合承担。联合体各方须签订联合体投标协议书，明确联合体牵头人和各方权利义务，并满足其承担的相应工作的资格要求。联合体中各方不得再以自己名义单独或参加其他联合体在同一合同段中投标。</w:t>
      </w:r>
    </w:p>
    <w:p w14:paraId="676E7C3E">
      <w:pPr>
        <w:pStyle w:val="25"/>
        <w:keepNext w:val="0"/>
        <w:keepLines w:val="0"/>
        <w:pageBreakBefore w:val="0"/>
        <w:widowControl w:val="0"/>
        <w:numPr>
          <w:ilvl w:val="0"/>
          <w:numId w:val="3"/>
        </w:numPr>
        <w:kinsoku/>
        <w:wordWrap/>
        <w:overflowPunct/>
        <w:topLinePunct w:val="0"/>
        <w:autoSpaceDE/>
        <w:autoSpaceDN/>
        <w:bidi w:val="0"/>
        <w:adjustRightInd w:val="0"/>
        <w:snapToGrid w:val="0"/>
        <w:spacing w:line="560" w:lineRule="exact"/>
        <w:ind w:left="-223" w:leftChars="0" w:firstLine="643" w:firstLineChars="0"/>
        <w:textAlignment w:val="auto"/>
        <w:rPr>
          <w:rFonts w:hint="eastAsia" w:ascii="宋体" w:hAnsi="宋体" w:eastAsia="宋体" w:cs="宋体"/>
          <w:b/>
          <w:bCs/>
          <w:kern w:val="2"/>
          <w:sz w:val="32"/>
          <w:szCs w:val="32"/>
          <w:highlight w:val="none"/>
          <w:lang w:val="en-US" w:eastAsia="zh-CN" w:bidi="ar-SA"/>
        </w:rPr>
      </w:pPr>
      <w:r>
        <w:rPr>
          <w:rFonts w:hint="eastAsia" w:ascii="宋体" w:hAnsi="宋体" w:eastAsia="宋体" w:cs="宋体"/>
          <w:b/>
          <w:bCs/>
          <w:kern w:val="2"/>
          <w:sz w:val="32"/>
          <w:szCs w:val="32"/>
          <w:highlight w:val="none"/>
          <w:lang w:val="en-US" w:eastAsia="zh-CN" w:bidi="ar-SA"/>
        </w:rPr>
        <w:t>响应要求：</w:t>
      </w:r>
    </w:p>
    <w:p w14:paraId="7667DF69">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rPr>
          <w:rFonts w:hint="eastAsia" w:ascii="宋体" w:hAnsi="宋体" w:eastAsia="宋体" w:cs="宋体"/>
          <w:kern w:val="2"/>
          <w:sz w:val="32"/>
          <w:szCs w:val="32"/>
          <w:highlight w:val="none"/>
          <w:lang w:val="en-US" w:eastAsia="zh-CN" w:bidi="ar-SA"/>
        </w:rPr>
      </w:pPr>
      <w:r>
        <w:rPr>
          <w:rFonts w:hint="eastAsia" w:ascii="宋体" w:hAnsi="宋体" w:eastAsia="宋体" w:cs="宋体"/>
          <w:kern w:val="2"/>
          <w:sz w:val="32"/>
          <w:szCs w:val="32"/>
          <w:highlight w:val="none"/>
          <w:lang w:val="en-US" w:eastAsia="zh-CN" w:bidi="ar-SA"/>
        </w:rPr>
        <w:t>1、鉴于该项目为株洲市妇幼保健院示范性托育服务，示范要求高、工期紧，有意向的投标人需在提交报价前进行现场与采购方沟通,投标人参与投标，即认为已经充分了解了采购方需求。</w:t>
      </w:r>
    </w:p>
    <w:p w14:paraId="230FE405">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rPr>
          <w:rFonts w:hint="default" w:ascii="宋体" w:hAnsi="宋体" w:eastAsia="宋体" w:cs="宋体"/>
          <w:kern w:val="2"/>
          <w:sz w:val="32"/>
          <w:szCs w:val="32"/>
          <w:highlight w:val="none"/>
          <w:lang w:val="en-US" w:eastAsia="zh-CN" w:bidi="ar-SA"/>
        </w:rPr>
      </w:pPr>
      <w:r>
        <w:rPr>
          <w:rFonts w:hint="default" w:ascii="宋体" w:hAnsi="宋体" w:eastAsia="宋体" w:cs="宋体"/>
          <w:kern w:val="2"/>
          <w:sz w:val="32"/>
          <w:szCs w:val="32"/>
          <w:highlight w:val="none"/>
          <w:lang w:val="en-US" w:eastAsia="zh-CN" w:bidi="ar-SA"/>
        </w:rPr>
        <w:t>2、投标人须满足采购方功能设计需求，否则视为无效投标。</w:t>
      </w:r>
    </w:p>
    <w:p w14:paraId="2A22887D">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rPr>
          <w:rFonts w:hint="default" w:ascii="宋体" w:hAnsi="宋体" w:eastAsia="宋体" w:cs="宋体"/>
          <w:kern w:val="2"/>
          <w:sz w:val="32"/>
          <w:szCs w:val="32"/>
          <w:highlight w:val="none"/>
          <w:lang w:val="en-US" w:eastAsia="zh-CN" w:bidi="ar-SA"/>
        </w:rPr>
      </w:pPr>
      <w:r>
        <w:rPr>
          <w:rFonts w:hint="eastAsia" w:ascii="宋体" w:hAnsi="宋体" w:eastAsia="宋体" w:cs="宋体"/>
          <w:kern w:val="2"/>
          <w:sz w:val="32"/>
          <w:szCs w:val="32"/>
          <w:highlight w:val="none"/>
          <w:lang w:val="en-US" w:eastAsia="zh-CN" w:bidi="ar-SA"/>
        </w:rPr>
        <w:t>3、投标报价除合计价格外，还需列明分项价格。</w:t>
      </w:r>
    </w:p>
    <w:p w14:paraId="0D109155">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rPr>
          <w:rFonts w:hint="eastAsia" w:ascii="宋体" w:hAnsi="宋体" w:eastAsia="宋体" w:cs="宋体"/>
          <w:kern w:val="2"/>
          <w:sz w:val="32"/>
          <w:szCs w:val="32"/>
          <w:highlight w:val="none"/>
          <w:lang w:val="en-US" w:eastAsia="zh-CN" w:bidi="ar-SA"/>
        </w:rPr>
      </w:pPr>
      <w:r>
        <w:rPr>
          <w:rFonts w:hint="eastAsia" w:ascii="宋体" w:hAnsi="宋体" w:eastAsia="宋体" w:cs="宋体"/>
          <w:kern w:val="2"/>
          <w:sz w:val="32"/>
          <w:szCs w:val="32"/>
          <w:highlight w:val="none"/>
          <w:lang w:val="en-US" w:eastAsia="zh-CN" w:bidi="ar-SA"/>
        </w:rPr>
        <w:t>4、投标文件包括但不限于：营业执照、资信证书、服务方案、类似业绩以及投标人认为需提供的其他资料，否则视为无效投标。</w:t>
      </w:r>
    </w:p>
    <w:p w14:paraId="3C902DF5">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left="-223" w:leftChars="0" w:firstLine="643" w:firstLineChars="0"/>
        <w:textAlignment w:val="auto"/>
        <w:rPr>
          <w:rFonts w:hint="default" w:ascii="宋体" w:hAnsi="宋体" w:eastAsia="宋体" w:cs="宋体"/>
          <w:b/>
          <w:bCs/>
          <w:kern w:val="2"/>
          <w:sz w:val="32"/>
          <w:szCs w:val="32"/>
          <w:highlight w:val="none"/>
          <w:lang w:val="en-US" w:eastAsia="zh-CN" w:bidi="ar-SA"/>
        </w:rPr>
      </w:pPr>
      <w:r>
        <w:rPr>
          <w:rFonts w:hint="eastAsia" w:ascii="宋体" w:hAnsi="宋体" w:eastAsia="宋体" w:cs="宋体"/>
          <w:b/>
          <w:bCs/>
          <w:kern w:val="2"/>
          <w:sz w:val="32"/>
          <w:szCs w:val="32"/>
          <w:highlight w:val="none"/>
          <w:lang w:val="en-US" w:eastAsia="zh-CN" w:bidi="ar-SA"/>
        </w:rPr>
        <w:t>七、采购项目联系方式:</w:t>
      </w:r>
    </w:p>
    <w:p w14:paraId="60573107">
      <w:pPr>
        <w:pStyle w:val="25"/>
        <w:keepNext w:val="0"/>
        <w:keepLines w:val="0"/>
        <w:pageBreakBefore w:val="0"/>
        <w:numPr>
          <w:ilvl w:val="0"/>
          <w:numId w:val="0"/>
        </w:numPr>
        <w:kinsoku/>
        <w:wordWrap/>
        <w:overflowPunct/>
        <w:topLinePunct w:val="0"/>
        <w:autoSpaceDE/>
        <w:autoSpaceDN/>
        <w:bidi w:val="0"/>
        <w:spacing w:line="560" w:lineRule="exact"/>
        <w:ind w:left="-223" w:leftChars="0" w:firstLine="643" w:firstLineChars="0"/>
        <w:textAlignment w:val="auto"/>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 xml:space="preserve"> 1、名  称：株洲市妇幼保健院项目办</w:t>
      </w:r>
    </w:p>
    <w:p w14:paraId="3F90A929">
      <w:pPr>
        <w:pStyle w:val="25"/>
        <w:keepNext w:val="0"/>
        <w:keepLines w:val="0"/>
        <w:pageBreakBefore w:val="0"/>
        <w:numPr>
          <w:ilvl w:val="0"/>
          <w:numId w:val="0"/>
        </w:numPr>
        <w:kinsoku/>
        <w:wordWrap/>
        <w:overflowPunct/>
        <w:topLinePunct w:val="0"/>
        <w:autoSpaceDE/>
        <w:autoSpaceDN/>
        <w:bidi w:val="0"/>
        <w:spacing w:line="560" w:lineRule="exact"/>
        <w:ind w:left="-223" w:leftChars="0" w:firstLine="643" w:firstLineChars="0"/>
        <w:textAlignment w:val="auto"/>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 xml:space="preserve"> 2、地  址：芦淞区车站路128号</w:t>
      </w:r>
    </w:p>
    <w:p w14:paraId="7CCBF978">
      <w:pPr>
        <w:pStyle w:val="25"/>
        <w:keepNext w:val="0"/>
        <w:keepLines w:val="0"/>
        <w:pageBreakBefore w:val="0"/>
        <w:numPr>
          <w:ilvl w:val="0"/>
          <w:numId w:val="0"/>
        </w:numPr>
        <w:kinsoku/>
        <w:wordWrap/>
        <w:overflowPunct/>
        <w:topLinePunct w:val="0"/>
        <w:autoSpaceDE/>
        <w:autoSpaceDN/>
        <w:bidi w:val="0"/>
        <w:spacing w:line="560" w:lineRule="exact"/>
        <w:ind w:left="-223" w:leftChars="0" w:firstLine="643" w:firstLineChars="0"/>
        <w:textAlignment w:val="auto"/>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 xml:space="preserve"> 3、联系人：贺先生</w:t>
      </w:r>
    </w:p>
    <w:p w14:paraId="0EBCCB7A">
      <w:pPr>
        <w:pStyle w:val="25"/>
        <w:keepNext w:val="0"/>
        <w:keepLines w:val="0"/>
        <w:pageBreakBefore w:val="0"/>
        <w:numPr>
          <w:ilvl w:val="0"/>
          <w:numId w:val="0"/>
        </w:numPr>
        <w:kinsoku/>
        <w:wordWrap/>
        <w:overflowPunct/>
        <w:topLinePunct w:val="0"/>
        <w:autoSpaceDE/>
        <w:autoSpaceDN/>
        <w:bidi w:val="0"/>
        <w:spacing w:line="560" w:lineRule="exact"/>
        <w:ind w:left="-223" w:leftChars="0" w:firstLine="643" w:firstLineChars="0"/>
        <w:textAlignment w:val="auto"/>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 xml:space="preserve"> 4、电  话：18570239911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小标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87CE85"/>
    <w:multiLevelType w:val="singleLevel"/>
    <w:tmpl w:val="0787CE85"/>
    <w:lvl w:ilvl="0" w:tentative="0">
      <w:start w:val="6"/>
      <w:numFmt w:val="chineseCounting"/>
      <w:suff w:val="nothing"/>
      <w:lvlText w:val="%1、"/>
      <w:lvlJc w:val="left"/>
      <w:rPr>
        <w:rFonts w:hint="eastAsia"/>
      </w:rPr>
    </w:lvl>
  </w:abstractNum>
  <w:abstractNum w:abstractNumId="1">
    <w:nsid w:val="14B99807"/>
    <w:multiLevelType w:val="singleLevel"/>
    <w:tmpl w:val="14B99807"/>
    <w:lvl w:ilvl="0" w:tentative="0">
      <w:start w:val="2"/>
      <w:numFmt w:val="decimal"/>
      <w:suff w:val="nothing"/>
      <w:lvlText w:val="（%1）"/>
      <w:lvlJc w:val="left"/>
    </w:lvl>
  </w:abstractNum>
  <w:abstractNum w:abstractNumId="2">
    <w:nsid w:val="42719771"/>
    <w:multiLevelType w:val="singleLevel"/>
    <w:tmpl w:val="42719771"/>
    <w:lvl w:ilvl="0" w:tentative="0">
      <w:start w:val="4"/>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MGNlN2I3NzEwYmQ0M2UyMjUyMzRjYmE0OTMzMzIifQ=="/>
  </w:docVars>
  <w:rsids>
    <w:rsidRoot w:val="06FA695B"/>
    <w:rsid w:val="014337D5"/>
    <w:rsid w:val="031C69F7"/>
    <w:rsid w:val="034F0B7A"/>
    <w:rsid w:val="03886E2D"/>
    <w:rsid w:val="046E3282"/>
    <w:rsid w:val="04F22B18"/>
    <w:rsid w:val="05020298"/>
    <w:rsid w:val="06E718C8"/>
    <w:rsid w:val="06FA695B"/>
    <w:rsid w:val="073360BD"/>
    <w:rsid w:val="0B626F71"/>
    <w:rsid w:val="0BBE689D"/>
    <w:rsid w:val="0DCB5C68"/>
    <w:rsid w:val="103822D9"/>
    <w:rsid w:val="103F330D"/>
    <w:rsid w:val="1222117D"/>
    <w:rsid w:val="12514CCD"/>
    <w:rsid w:val="12635CAF"/>
    <w:rsid w:val="13A71FD2"/>
    <w:rsid w:val="1433594E"/>
    <w:rsid w:val="14C2379C"/>
    <w:rsid w:val="15853F88"/>
    <w:rsid w:val="168C72CE"/>
    <w:rsid w:val="16BD5485"/>
    <w:rsid w:val="174C019F"/>
    <w:rsid w:val="1784278F"/>
    <w:rsid w:val="17970BF6"/>
    <w:rsid w:val="17CF26E7"/>
    <w:rsid w:val="17E2616F"/>
    <w:rsid w:val="19B47F77"/>
    <w:rsid w:val="19CA465F"/>
    <w:rsid w:val="1B0E4A1F"/>
    <w:rsid w:val="1C4A1FDE"/>
    <w:rsid w:val="1DD0420E"/>
    <w:rsid w:val="1E0B0F5F"/>
    <w:rsid w:val="1E6B640B"/>
    <w:rsid w:val="1ED94CC5"/>
    <w:rsid w:val="1F9E45C4"/>
    <w:rsid w:val="21E93EF0"/>
    <w:rsid w:val="22D27028"/>
    <w:rsid w:val="249530A8"/>
    <w:rsid w:val="28931BEF"/>
    <w:rsid w:val="298419E8"/>
    <w:rsid w:val="2A5F2BA2"/>
    <w:rsid w:val="2A995F44"/>
    <w:rsid w:val="2A9B2C06"/>
    <w:rsid w:val="2B55529B"/>
    <w:rsid w:val="2BEF3275"/>
    <w:rsid w:val="2C6113F3"/>
    <w:rsid w:val="2CDE1189"/>
    <w:rsid w:val="2ED40806"/>
    <w:rsid w:val="30704B24"/>
    <w:rsid w:val="30F73B34"/>
    <w:rsid w:val="3171507C"/>
    <w:rsid w:val="317A4C94"/>
    <w:rsid w:val="336E3D50"/>
    <w:rsid w:val="33DD4970"/>
    <w:rsid w:val="350F0F57"/>
    <w:rsid w:val="35B21721"/>
    <w:rsid w:val="37540ACE"/>
    <w:rsid w:val="385A3D6D"/>
    <w:rsid w:val="386F6DA8"/>
    <w:rsid w:val="38E961F5"/>
    <w:rsid w:val="3CB67FA8"/>
    <w:rsid w:val="3CCA2A44"/>
    <w:rsid w:val="3CE62995"/>
    <w:rsid w:val="3D2165B3"/>
    <w:rsid w:val="3E1C5D56"/>
    <w:rsid w:val="3F25382F"/>
    <w:rsid w:val="40187B27"/>
    <w:rsid w:val="403666A1"/>
    <w:rsid w:val="4049150C"/>
    <w:rsid w:val="40583EC3"/>
    <w:rsid w:val="40AD2461"/>
    <w:rsid w:val="42CF153C"/>
    <w:rsid w:val="43201FC8"/>
    <w:rsid w:val="45092985"/>
    <w:rsid w:val="45E64E83"/>
    <w:rsid w:val="482917B5"/>
    <w:rsid w:val="484C07B1"/>
    <w:rsid w:val="4A161550"/>
    <w:rsid w:val="4AE33A6B"/>
    <w:rsid w:val="4B33171B"/>
    <w:rsid w:val="4B805976"/>
    <w:rsid w:val="4BBF4B77"/>
    <w:rsid w:val="4BDE2C9A"/>
    <w:rsid w:val="4D896C70"/>
    <w:rsid w:val="4E10402F"/>
    <w:rsid w:val="50962F12"/>
    <w:rsid w:val="51E15B62"/>
    <w:rsid w:val="523F4F7E"/>
    <w:rsid w:val="52406796"/>
    <w:rsid w:val="52592449"/>
    <w:rsid w:val="527209DE"/>
    <w:rsid w:val="528B438C"/>
    <w:rsid w:val="52D77A77"/>
    <w:rsid w:val="53F47B4C"/>
    <w:rsid w:val="554D5F88"/>
    <w:rsid w:val="55B67367"/>
    <w:rsid w:val="57D243DC"/>
    <w:rsid w:val="58B01484"/>
    <w:rsid w:val="59055C98"/>
    <w:rsid w:val="59AC3B11"/>
    <w:rsid w:val="5ADD1889"/>
    <w:rsid w:val="5B8C6DE6"/>
    <w:rsid w:val="5C277BE8"/>
    <w:rsid w:val="5CEE2BB2"/>
    <w:rsid w:val="5FED5F7E"/>
    <w:rsid w:val="60416A0B"/>
    <w:rsid w:val="61EA26CD"/>
    <w:rsid w:val="63524D5B"/>
    <w:rsid w:val="65967C57"/>
    <w:rsid w:val="67FD104D"/>
    <w:rsid w:val="68121007"/>
    <w:rsid w:val="684769DD"/>
    <w:rsid w:val="6850354E"/>
    <w:rsid w:val="69801DCE"/>
    <w:rsid w:val="6B3727A3"/>
    <w:rsid w:val="6C5628F4"/>
    <w:rsid w:val="6C6C18D4"/>
    <w:rsid w:val="6C847C6A"/>
    <w:rsid w:val="6D605FE2"/>
    <w:rsid w:val="6DDF381D"/>
    <w:rsid w:val="6EB2165A"/>
    <w:rsid w:val="6F715E6C"/>
    <w:rsid w:val="70200A8D"/>
    <w:rsid w:val="74F3335B"/>
    <w:rsid w:val="760805F4"/>
    <w:rsid w:val="76962A74"/>
    <w:rsid w:val="76CD220E"/>
    <w:rsid w:val="772B73CD"/>
    <w:rsid w:val="77FB04BD"/>
    <w:rsid w:val="785E31C0"/>
    <w:rsid w:val="790D4E42"/>
    <w:rsid w:val="7A387374"/>
    <w:rsid w:val="7A8C09CB"/>
    <w:rsid w:val="7C8163D0"/>
    <w:rsid w:val="7DED0E30"/>
    <w:rsid w:val="7EC23324"/>
    <w:rsid w:val="7ED503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firstLineChars="200"/>
    </w:pPr>
  </w:style>
  <w:style w:type="paragraph" w:styleId="3">
    <w:name w:val="Body Text Indent"/>
    <w:basedOn w:val="1"/>
    <w:next w:val="1"/>
    <w:autoRedefine/>
    <w:qFormat/>
    <w:uiPriority w:val="0"/>
    <w:pPr>
      <w:spacing w:after="120" w:afterLines="0" w:afterAutospacing="0"/>
      <w:ind w:left="420" w:leftChars="200"/>
    </w:pPr>
  </w:style>
  <w:style w:type="paragraph" w:styleId="4">
    <w:name w:val="Block Text"/>
    <w:basedOn w:val="1"/>
    <w:autoRedefine/>
    <w:qFormat/>
    <w:uiPriority w:val="0"/>
    <w:pPr>
      <w:spacing w:after="120" w:afterLines="0" w:afterAutospacing="0"/>
      <w:ind w:left="1440" w:leftChars="700" w:rightChars="700"/>
    </w:pPr>
  </w:style>
  <w:style w:type="paragraph" w:styleId="5">
    <w:name w:val="Body Text Indent 2"/>
    <w:basedOn w:val="1"/>
    <w:autoRedefine/>
    <w:qFormat/>
    <w:uiPriority w:val="0"/>
    <w:pPr>
      <w:spacing w:after="120" w:afterLines="0" w:afterAutospacing="0" w:line="480" w:lineRule="auto"/>
      <w:ind w:left="420" w:leftChars="2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Body Text First Indent 2"/>
    <w:basedOn w:val="3"/>
    <w:next w:val="1"/>
    <w:autoRedefine/>
    <w:qFormat/>
    <w:uiPriority w:val="0"/>
    <w:pPr>
      <w:ind w:firstLine="420" w:firstLineChars="200"/>
    </w:p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autoRedefine/>
    <w:qFormat/>
    <w:uiPriority w:val="0"/>
    <w:rPr>
      <w:b/>
    </w:rPr>
  </w:style>
  <w:style w:type="character" w:styleId="12">
    <w:name w:val="page number"/>
    <w:basedOn w:val="10"/>
    <w:qFormat/>
    <w:uiPriority w:val="0"/>
  </w:style>
  <w:style w:type="character" w:styleId="13">
    <w:name w:val="FollowedHyperlink"/>
    <w:basedOn w:val="10"/>
    <w:autoRedefine/>
    <w:qFormat/>
    <w:uiPriority w:val="0"/>
    <w:rPr>
      <w:color w:val="800080"/>
      <w:u w:val="single"/>
    </w:rPr>
  </w:style>
  <w:style w:type="character" w:styleId="14">
    <w:name w:val="Emphasis"/>
    <w:basedOn w:val="10"/>
    <w:autoRedefine/>
    <w:qFormat/>
    <w:uiPriority w:val="0"/>
    <w:rPr>
      <w:i/>
    </w:rPr>
  </w:style>
  <w:style w:type="character" w:styleId="15">
    <w:name w:val="HTML Definition"/>
    <w:basedOn w:val="10"/>
    <w:autoRedefine/>
    <w:qFormat/>
    <w:uiPriority w:val="0"/>
    <w:rPr>
      <w:i/>
    </w:rPr>
  </w:style>
  <w:style w:type="character" w:styleId="16">
    <w:name w:val="HTML Typewriter"/>
    <w:basedOn w:val="10"/>
    <w:autoRedefine/>
    <w:qFormat/>
    <w:uiPriority w:val="0"/>
    <w:rPr>
      <w:rFonts w:ascii="Courier New" w:hAnsi="Courier New"/>
      <w:sz w:val="20"/>
    </w:rPr>
  </w:style>
  <w:style w:type="character" w:styleId="17">
    <w:name w:val="HTML Acronym"/>
    <w:basedOn w:val="10"/>
    <w:autoRedefine/>
    <w:qFormat/>
    <w:uiPriority w:val="0"/>
  </w:style>
  <w:style w:type="character" w:styleId="18">
    <w:name w:val="HTML Variable"/>
    <w:basedOn w:val="10"/>
    <w:autoRedefine/>
    <w:qFormat/>
    <w:uiPriority w:val="0"/>
    <w:rPr>
      <w:i/>
    </w:rPr>
  </w:style>
  <w:style w:type="character" w:styleId="19">
    <w:name w:val="Hyperlink"/>
    <w:basedOn w:val="10"/>
    <w:autoRedefine/>
    <w:qFormat/>
    <w:uiPriority w:val="0"/>
    <w:rPr>
      <w:color w:val="0000FF"/>
      <w:u w:val="single"/>
    </w:rPr>
  </w:style>
  <w:style w:type="character" w:styleId="20">
    <w:name w:val="HTML Code"/>
    <w:basedOn w:val="10"/>
    <w:autoRedefine/>
    <w:qFormat/>
    <w:uiPriority w:val="0"/>
    <w:rPr>
      <w:rFonts w:ascii="Courier New" w:hAnsi="Courier New"/>
      <w:sz w:val="20"/>
    </w:rPr>
  </w:style>
  <w:style w:type="character" w:styleId="21">
    <w:name w:val="HTML Cite"/>
    <w:basedOn w:val="10"/>
    <w:autoRedefine/>
    <w:qFormat/>
    <w:uiPriority w:val="0"/>
    <w:rPr>
      <w:i/>
    </w:rPr>
  </w:style>
  <w:style w:type="character" w:styleId="22">
    <w:name w:val="HTML Keyboard"/>
    <w:basedOn w:val="10"/>
    <w:autoRedefine/>
    <w:qFormat/>
    <w:uiPriority w:val="0"/>
    <w:rPr>
      <w:rFonts w:ascii="Courier New" w:hAnsi="Courier New"/>
      <w:sz w:val="20"/>
    </w:rPr>
  </w:style>
  <w:style w:type="character" w:styleId="23">
    <w:name w:val="HTML Sample"/>
    <w:basedOn w:val="10"/>
    <w:autoRedefine/>
    <w:qFormat/>
    <w:uiPriority w:val="0"/>
    <w:rPr>
      <w:rFonts w:ascii="Courier New" w:hAnsi="Courier New"/>
    </w:rPr>
  </w:style>
  <w:style w:type="paragraph" w:customStyle="1" w:styleId="24">
    <w:name w:val="列出段落1"/>
    <w:basedOn w:val="1"/>
    <w:autoRedefine/>
    <w:qFormat/>
    <w:uiPriority w:val="99"/>
    <w:pPr>
      <w:ind w:firstLine="420" w:firstLineChars="200"/>
    </w:pPr>
    <w:rPr>
      <w:szCs w:val="22"/>
    </w:rPr>
  </w:style>
  <w:style w:type="paragraph" w:styleId="25">
    <w:name w:val="List Paragraph"/>
    <w:basedOn w:val="1"/>
    <w:autoRedefine/>
    <w:qFormat/>
    <w:uiPriority w:val="34"/>
    <w:pPr>
      <w:ind w:firstLine="420" w:firstLineChars="200"/>
    </w:pPr>
  </w:style>
  <w:style w:type="paragraph" w:customStyle="1" w:styleId="26">
    <w:name w:val="1级标题"/>
    <w:next w:val="1"/>
    <w:qFormat/>
    <w:uiPriority w:val="0"/>
    <w:pPr>
      <w:spacing w:before="480" w:after="120"/>
      <w:outlineLvl w:val="0"/>
    </w:pPr>
    <w:rPr>
      <w:rFonts w:ascii="黑体" w:hAnsi="Times New Roman" w:eastAsia="黑体" w:cstheme="minorBidi"/>
      <w:bCs/>
      <w:kern w:val="2"/>
      <w:sz w:val="30"/>
      <w:szCs w:val="30"/>
      <w:lang w:val="en-US" w:eastAsia="zh-CN" w:bidi="ar-SA"/>
    </w:rPr>
  </w:style>
  <w:style w:type="paragraph" w:customStyle="1" w:styleId="27">
    <w:name w:val="其他"/>
    <w:basedOn w:val="1"/>
    <w:qFormat/>
    <w:uiPriority w:val="0"/>
    <w:pPr>
      <w:widowControl w:val="0"/>
      <w:shd w:val="clear" w:color="auto" w:fill="auto"/>
      <w:spacing w:line="312" w:lineRule="exact"/>
    </w:pPr>
    <w:rPr>
      <w:rFonts w:ascii="宋体" w:hAnsi="宋体" w:eastAsia="宋体" w:cs="宋体"/>
      <w:sz w:val="20"/>
      <w:szCs w:val="20"/>
      <w:u w:val="none"/>
      <w:lang w:val="zh-CN" w:eastAsia="zh-CN" w:bidi="zh-CN"/>
    </w:rPr>
  </w:style>
  <w:style w:type="character" w:customStyle="1" w:styleId="28">
    <w:name w:val="font21"/>
    <w:basedOn w:val="10"/>
    <w:qFormat/>
    <w:uiPriority w:val="0"/>
    <w:rPr>
      <w:rFonts w:hint="eastAsia" w:ascii="宋体" w:hAnsi="宋体" w:eastAsia="宋体" w:cs="宋体"/>
      <w:color w:val="000000"/>
      <w:sz w:val="20"/>
      <w:szCs w:val="20"/>
      <w:u w:val="none"/>
    </w:rPr>
  </w:style>
  <w:style w:type="character" w:customStyle="1" w:styleId="29">
    <w:name w:val="font31"/>
    <w:basedOn w:val="10"/>
    <w:qFormat/>
    <w:uiPriority w:val="0"/>
    <w:rPr>
      <w:rFonts w:hint="eastAsia" w:ascii="宋体" w:hAnsi="宋体" w:eastAsia="宋体" w:cs="宋体"/>
      <w:color w:val="000000"/>
      <w:sz w:val="22"/>
      <w:szCs w:val="22"/>
      <w:u w:val="none"/>
    </w:rPr>
  </w:style>
  <w:style w:type="character" w:customStyle="1" w:styleId="30">
    <w:name w:val="font41"/>
    <w:basedOn w:val="10"/>
    <w:qFormat/>
    <w:uiPriority w:val="0"/>
    <w:rPr>
      <w:rFonts w:hint="default" w:ascii="Times New Roman" w:hAnsi="Times New Roman" w:cs="Times New Roman"/>
      <w:color w:val="000000"/>
      <w:sz w:val="22"/>
      <w:szCs w:val="22"/>
      <w:u w:val="none"/>
    </w:rPr>
  </w:style>
  <w:style w:type="character" w:customStyle="1" w:styleId="31">
    <w:name w:val="font51"/>
    <w:basedOn w:val="10"/>
    <w:qFormat/>
    <w:uiPriority w:val="0"/>
    <w:rPr>
      <w:rFonts w:ascii="宋体" w:hAnsi="宋体" w:eastAsia="宋体" w:cs="宋体"/>
      <w:color w:val="000000"/>
      <w:sz w:val="22"/>
      <w:szCs w:val="22"/>
      <w:u w:val="none"/>
    </w:rPr>
  </w:style>
  <w:style w:type="character" w:customStyle="1" w:styleId="32">
    <w:name w:val="font61"/>
    <w:basedOn w:val="10"/>
    <w:qFormat/>
    <w:uiPriority w:val="0"/>
    <w:rPr>
      <w:rFonts w:hint="eastAsia" w:ascii="宋体" w:hAnsi="宋体" w:eastAsia="宋体" w:cs="宋体"/>
      <w:color w:val="000000"/>
      <w:sz w:val="22"/>
      <w:szCs w:val="22"/>
      <w:u w:val="none"/>
      <w:vertAlign w:val="subscript"/>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1961</Words>
  <Characters>2182</Characters>
  <Lines>0</Lines>
  <Paragraphs>0</Paragraphs>
  <TotalTime>75</TotalTime>
  <ScaleCrop>false</ScaleCrop>
  <LinksUpToDate>false</LinksUpToDate>
  <CharactersWithSpaces>2306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2024-03-18T01:57:00Z</dcterms:created>
  <dc:creator>回首</dc:creator>
  <cp:lastModifiedBy>Ordinary Road</cp:lastModifiedBy>
  <cp:lastPrinted>2025-01-06T01:39:00Z</cp:lastPrinted>
  <dcterms:modified xsi:type="dcterms:W3CDTF">2025-02-27T01:24:18Z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2263DABDF6904F208B0AF723072298D0_13</vt:lpwstr>
  </property>
  <property fmtid="{D5CDD505-2E9C-101B-9397-08002B2CF9AE}" pid="4" name="KSOTemplateDocerSaveRecord">
    <vt:lpwstr>eyJoZGlkIjoiMjI1ODQyZmQzYWRmYmM2YTdiMjhjNjI4ZjU3MTFiMjciLCJ1c2VySWQiOiI0NzI4ODMwNDMifQ==</vt:lpwstr>
  </property>
</Properties>
</file>