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94B7">
      <w:pPr>
        <w:rPr>
          <w:rFonts w:ascii="宋体" w:hAnsi="宋体" w:eastAsia="宋体"/>
          <w:sz w:val="25"/>
          <w:lang w:eastAsia="zh-CN"/>
        </w:rPr>
      </w:pPr>
      <w:bookmarkStart w:id="0" w:name="bookmark0"/>
    </w:p>
    <w:p w14:paraId="7BB2FB9B"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第一章竞价公告</w:t>
      </w:r>
      <w:bookmarkEnd w:id="0"/>
    </w:p>
    <w:p w14:paraId="3545F7E7">
      <w:pPr>
        <w:pStyle w:val="2"/>
      </w:pPr>
    </w:p>
    <w:p w14:paraId="61F1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一、采购项目名称</w:t>
      </w:r>
    </w:p>
    <w:p w14:paraId="25304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sz w:val="25"/>
        </w:rPr>
        <w:t>1</w:t>
      </w:r>
      <w:r>
        <w:rPr>
          <w:rFonts w:hint="eastAsia" w:ascii="宋体" w:hAnsi="宋体" w:eastAsia="宋体"/>
          <w:sz w:val="25"/>
        </w:rPr>
        <w:t>、采购项目名称</w:t>
      </w:r>
      <w:r>
        <w:rPr>
          <w:rFonts w:hint="eastAsia" w:ascii="宋体" w:hAnsi="宋体" w:eastAsia="宋体"/>
          <w:sz w:val="25"/>
          <w:lang w:eastAsia="zh-CN"/>
        </w:rPr>
        <w:t>：</w:t>
      </w:r>
      <w:r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  <w:t>《醴陵市2025年度国有建设用地供应计划》</w:t>
      </w:r>
    </w:p>
    <w:p w14:paraId="12D22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ascii="宋体" w:hAnsi="宋体" w:eastAsia="宋体"/>
          <w:color w:val="000000" w:themeColor="text1"/>
          <w:sz w:val="2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5"/>
          <w14:textFill>
            <w14:solidFill>
              <w14:schemeClr w14:val="tx1"/>
            </w14:solidFill>
          </w14:textFill>
        </w:rPr>
        <w:t>二、采购人的采购</w:t>
      </w:r>
      <w:r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color w:val="000000" w:themeColor="text1"/>
          <w:sz w:val="25"/>
          <w14:textFill>
            <w14:solidFill>
              <w14:schemeClr w14:val="tx1"/>
            </w14:solidFill>
          </w14:textFill>
        </w:rPr>
        <w:t>求</w:t>
      </w:r>
    </w:p>
    <w:tbl>
      <w:tblPr>
        <w:tblStyle w:val="8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141"/>
        <w:gridCol w:w="1878"/>
        <w:gridCol w:w="1102"/>
        <w:gridCol w:w="1335"/>
        <w:gridCol w:w="1519"/>
      </w:tblGrid>
      <w:tr w14:paraId="4B6A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728" w:type="dxa"/>
            <w:shd w:val="clear" w:color="auto" w:fill="FFFFFF"/>
            <w:vAlign w:val="center"/>
          </w:tcPr>
          <w:p w14:paraId="1954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665D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41" w:type="dxa"/>
            <w:shd w:val="clear" w:color="auto" w:fill="FFFFFF"/>
            <w:vAlign w:val="center"/>
          </w:tcPr>
          <w:p w14:paraId="3703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2F4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简要服务要求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042A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D78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eastAsia="宋体"/>
                <w:color w:val="000000" w:themeColor="text1"/>
                <w:sz w:val="25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60FA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最高限价</w:t>
            </w:r>
            <w:r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 w14:paraId="2652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  <w:jc w:val="center"/>
        </w:trPr>
        <w:tc>
          <w:tcPr>
            <w:tcW w:w="728" w:type="dxa"/>
            <w:shd w:val="clear" w:color="auto" w:fill="FFFFFF"/>
            <w:vAlign w:val="center"/>
          </w:tcPr>
          <w:p w14:paraId="03F6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41" w:type="dxa"/>
            <w:shd w:val="clear" w:color="auto" w:fill="FFFFFF"/>
            <w:vAlign w:val="center"/>
          </w:tcPr>
          <w:p w14:paraId="40C9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醴陵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年度国有建设用地供应计划</w:t>
            </w: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5C78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详见采购需求</w:t>
            </w:r>
          </w:p>
        </w:tc>
        <w:tc>
          <w:tcPr>
            <w:tcW w:w="1102" w:type="dxa"/>
            <w:shd w:val="clear" w:color="auto" w:fill="FFFFFF"/>
            <w:vAlign w:val="center"/>
          </w:tcPr>
          <w:p w14:paraId="7C05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836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3378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PMingLiU"/>
                <w:color w:val="000000" w:themeColor="text1"/>
                <w:sz w:val="25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</w:tr>
    </w:tbl>
    <w:p w14:paraId="76478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三、竞价人的资格要求：</w:t>
      </w:r>
    </w:p>
    <w:p w14:paraId="2159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default" w:ascii="宋体" w:hAnsi="宋体" w:eastAsia="宋体"/>
          <w:sz w:val="25"/>
          <w:lang w:val="en-US"/>
        </w:rPr>
      </w:pPr>
      <w:r>
        <w:rPr>
          <w:rFonts w:ascii="宋体" w:hAnsi="宋体" w:eastAsia="宋体"/>
          <w:sz w:val="25"/>
        </w:rPr>
        <w:t>1</w:t>
      </w:r>
      <w:r>
        <w:rPr>
          <w:rFonts w:hint="eastAsia" w:ascii="宋体" w:hAnsi="宋体" w:eastAsia="宋体"/>
          <w:sz w:val="25"/>
        </w:rPr>
        <w:t>、竞价人的基本资格条件：竞价人必须是在中华人民共和国境内注册登记的法人、其他组织或者自然人，</w:t>
      </w:r>
      <w:r>
        <w:rPr>
          <w:rFonts w:hint="eastAsia" w:ascii="宋体" w:hAnsi="宋体" w:eastAsia="宋体"/>
          <w:sz w:val="25"/>
          <w:lang w:val="en-US" w:eastAsia="zh-CN"/>
        </w:rPr>
        <w:t>且必须满足湖南省政府采购电子卖场管理办法的供应商。</w:t>
      </w:r>
    </w:p>
    <w:p w14:paraId="122E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sz w:val="25"/>
        </w:rPr>
      </w:pPr>
      <w:r>
        <w:rPr>
          <w:rFonts w:ascii="宋体" w:hAnsi="宋体" w:eastAsia="宋体"/>
          <w:sz w:val="25"/>
        </w:rPr>
        <w:t>2</w:t>
      </w:r>
      <w:r>
        <w:rPr>
          <w:rFonts w:hint="eastAsia" w:ascii="宋体" w:hAnsi="宋体" w:eastAsia="宋体"/>
          <w:sz w:val="25"/>
        </w:rPr>
        <w:t>、采购项目的特定资格条件：</w:t>
      </w:r>
    </w:p>
    <w:p w14:paraId="248D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技术负责人必须具备自然资源土地工程高级职称；；</w:t>
      </w:r>
    </w:p>
    <w:p w14:paraId="5231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color w:val="000000" w:themeColor="text1"/>
          <w:sz w:val="2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5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（2）公司必须具备行政</w:t>
      </w: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主管部门颁发的省内土地估价机构备案资质及省一级土地估价资质</w:t>
      </w:r>
      <w:r>
        <w:rPr>
          <w:rFonts w:hint="eastAsia" w:ascii="宋体" w:hAnsi="宋体" w:eastAsia="宋体"/>
          <w:color w:val="000000" w:themeColor="text1"/>
          <w:sz w:val="25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bookmarkStart w:id="2" w:name="_GoBack"/>
      <w:bookmarkEnd w:id="2"/>
    </w:p>
    <w:p w14:paraId="69143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（3）公司近三年内承接过醴陵市</w:t>
      </w:r>
      <w:r>
        <w:rPr>
          <w:rFonts w:hint="eastAsia" w:ascii="宋体" w:hAnsi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土地供储计划编制</w:t>
      </w: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或土地收储评估或土地出让评估业务</w:t>
      </w:r>
      <w:r>
        <w:rPr>
          <w:rFonts w:hint="eastAsia" w:ascii="宋体" w:hAnsi="宋体" w:eastAsia="宋体"/>
          <w:color w:val="000000" w:themeColor="text1"/>
          <w:sz w:val="25"/>
          <w14:textFill>
            <w14:solidFill>
              <w14:schemeClr w14:val="tx1"/>
            </w14:solidFill>
          </w14:textFill>
        </w:rPr>
        <w:t>（附合同或中标通知书）</w:t>
      </w:r>
      <w:r>
        <w:rPr>
          <w:rFonts w:hint="eastAsia" w:ascii="宋体" w:hAnsi="宋体" w:eastAsia="宋体"/>
          <w:color w:val="000000" w:themeColor="text1"/>
          <w:sz w:val="25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68D8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 w:firstLineChars="200"/>
        <w:textAlignment w:val="auto"/>
        <w:rPr>
          <w:rFonts w:hint="eastAsia" w:ascii="宋体" w:hAnsi="宋体" w:eastAsia="宋体"/>
          <w:sz w:val="25"/>
        </w:rPr>
      </w:pPr>
      <w:r>
        <w:rPr>
          <w:rFonts w:hint="eastAsia" w:ascii="宋体" w:hAnsi="宋体" w:eastAsia="宋体"/>
          <w:sz w:val="25"/>
          <w:lang w:val="en-US" w:eastAsia="zh-CN"/>
        </w:rPr>
        <w:t>（4）竞价前报价人需自行前往项目所在地了解项目情况</w:t>
      </w:r>
      <w:r>
        <w:rPr>
          <w:rFonts w:hint="eastAsia" w:ascii="宋体" w:hAnsi="宋体" w:eastAsia="宋体"/>
          <w:sz w:val="25"/>
        </w:rPr>
        <w:t>。</w:t>
      </w:r>
      <w:bookmarkStart w:id="1" w:name="bookmark1"/>
    </w:p>
    <w:p w14:paraId="33A7C3E1">
      <w:pPr>
        <w:pStyle w:val="2"/>
        <w:rPr>
          <w:rFonts w:hint="eastAsia" w:ascii="宋体" w:hAnsi="宋体" w:eastAsia="宋体"/>
          <w:sz w:val="25"/>
        </w:rPr>
      </w:pPr>
    </w:p>
    <w:p w14:paraId="2A134B26">
      <w:pPr>
        <w:pStyle w:val="2"/>
        <w:rPr>
          <w:rFonts w:hint="eastAsia" w:ascii="宋体" w:hAnsi="宋体" w:eastAsia="宋体"/>
          <w:sz w:val="25"/>
        </w:rPr>
      </w:pPr>
    </w:p>
    <w:p w14:paraId="43AA5F8C">
      <w:pPr>
        <w:pStyle w:val="2"/>
        <w:rPr>
          <w:rFonts w:hint="eastAsia" w:ascii="宋体" w:hAnsi="宋体" w:eastAsia="宋体"/>
          <w:sz w:val="25"/>
        </w:rPr>
      </w:pPr>
    </w:p>
    <w:p w14:paraId="1FD60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第二章采购需求</w:t>
      </w:r>
      <w:bookmarkEnd w:id="1"/>
    </w:p>
    <w:p w14:paraId="0E9DED74">
      <w:pPr>
        <w:pStyle w:val="2"/>
      </w:pPr>
    </w:p>
    <w:p w14:paraId="099494E0">
      <w:pPr>
        <w:spacing w:line="360" w:lineRule="auto"/>
        <w:ind w:firstLine="502" w:firstLineChars="200"/>
        <w:rPr>
          <w:rFonts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5"/>
        </w:rPr>
        <w:t>一、项目名称：</w:t>
      </w:r>
      <w:r>
        <w:rPr>
          <w:rFonts w:hint="eastAsia" w:ascii="宋体" w:hAnsi="宋体" w:eastAsia="宋体"/>
          <w:color w:val="000000" w:themeColor="text1"/>
          <w:sz w:val="25"/>
          <w:lang w:eastAsia="zh-CN"/>
          <w14:textFill>
            <w14:solidFill>
              <w14:schemeClr w14:val="tx1"/>
            </w14:solidFill>
          </w14:textFill>
        </w:rPr>
        <w:t>《醴陵市2025年度国有建设用地供应计划》</w:t>
      </w:r>
      <w:r>
        <w:rPr>
          <w:rFonts w:hint="eastAsia" w:ascii="宋体" w:hAnsi="宋体" w:eastAsia="宋体"/>
          <w:color w:val="000000" w:themeColor="text1"/>
          <w:sz w:val="25"/>
          <w14:textFill>
            <w14:solidFill>
              <w14:schemeClr w14:val="tx1"/>
            </w14:solidFill>
          </w14:textFill>
        </w:rPr>
        <w:t>编制</w:t>
      </w:r>
    </w:p>
    <w:p w14:paraId="4736B447">
      <w:pPr>
        <w:spacing w:line="360" w:lineRule="auto"/>
        <w:ind w:left="250" w:leftChars="104" w:firstLine="251" w:firstLineChars="100"/>
        <w:rPr>
          <w:rFonts w:ascii="宋体" w:hAnsi="宋体" w:eastAsia="宋体"/>
          <w:b/>
          <w:sz w:val="25"/>
        </w:rPr>
      </w:pPr>
      <w:r>
        <w:rPr>
          <w:rFonts w:hint="eastAsia" w:ascii="宋体" w:hAnsi="宋体" w:eastAsia="宋体"/>
          <w:b/>
          <w:sz w:val="25"/>
        </w:rPr>
        <w:t>二、工作目标</w:t>
      </w:r>
    </w:p>
    <w:p w14:paraId="34BD0D07">
      <w:pPr>
        <w:spacing w:line="360" w:lineRule="auto"/>
        <w:ind w:firstLine="500" w:firstLineChars="200"/>
        <w:rPr>
          <w:rFonts w:hint="eastAsia" w:ascii="宋体" w:hAnsi="宋体" w:eastAsia="宋体" w:cs="Times New Roman"/>
          <w:sz w:val="25"/>
          <w:lang w:eastAsia="zh-CN"/>
        </w:rPr>
      </w:pPr>
      <w:r>
        <w:rPr>
          <w:rFonts w:hint="default" w:ascii="宋体" w:hAnsi="宋体" w:eastAsia="宋体" w:cs="Times New Roman"/>
          <w:sz w:val="25"/>
          <w:lang w:val="en-US" w:eastAsia="zh-CN"/>
        </w:rPr>
        <w:t>根据《关于印发国有建设用地供应计划编制规范(试行)的通知》(国土资发(2011)117号)和《关于做好全省2025年度国有建设用地供应计划编制工作的通知》(湖南省自然资源厅办公室2025年2月25日发文)</w:t>
      </w:r>
      <w:r>
        <w:rPr>
          <w:rFonts w:hint="default" w:ascii="宋体" w:hAnsi="宋体" w:eastAsia="宋体" w:cs="Times New Roman"/>
          <w:sz w:val="25"/>
          <w:lang w:eastAsia="zh-CN"/>
        </w:rPr>
        <w:t>等文件要求</w:t>
      </w:r>
      <w:r>
        <w:rPr>
          <w:rFonts w:hint="eastAsia" w:ascii="宋体" w:hAnsi="宋体" w:eastAsia="宋体" w:cs="Times New Roman"/>
          <w:sz w:val="25"/>
          <w:lang w:eastAsia="zh-CN"/>
        </w:rPr>
        <w:t>，编制《醴陵市2025年度国有建设用地供应计划》,</w:t>
      </w:r>
      <w:r>
        <w:rPr>
          <w:rFonts w:hint="eastAsia" w:ascii="宋体" w:hAnsi="宋体" w:eastAsia="宋体" w:cs="Times New Roman"/>
          <w:sz w:val="25"/>
          <w:lang w:val="en-US" w:eastAsia="zh-CN"/>
        </w:rPr>
        <w:t xml:space="preserve"> 并负责对接省自然资源厅，做好成果编制与备案工作，把控成果质量。</w:t>
      </w:r>
    </w:p>
    <w:p w14:paraId="0B9D11D8">
      <w:pPr>
        <w:spacing w:line="360" w:lineRule="auto"/>
        <w:ind w:firstLine="502" w:firstLineChars="200"/>
        <w:rPr>
          <w:rFonts w:ascii="宋体" w:hAnsi="宋体" w:eastAsia="宋体"/>
          <w:b/>
          <w:sz w:val="25"/>
          <w:lang w:val="en-US" w:eastAsia="zh-CN"/>
        </w:rPr>
      </w:pPr>
      <w:r>
        <w:rPr>
          <w:rFonts w:hint="eastAsia" w:ascii="宋体" w:hAnsi="宋体" w:eastAsia="宋体"/>
          <w:b/>
          <w:sz w:val="25"/>
          <w:lang w:val="en-US" w:eastAsia="zh-CN"/>
        </w:rPr>
        <w:t>三、工作任务</w:t>
      </w:r>
    </w:p>
    <w:p w14:paraId="1D0E6354">
      <w:pPr>
        <w:spacing w:line="360" w:lineRule="auto"/>
        <w:ind w:firstLine="500" w:firstLineChars="200"/>
        <w:rPr>
          <w:rFonts w:ascii="宋体" w:hAnsi="宋体" w:eastAsia="宋体"/>
          <w:color w:val="auto"/>
          <w:sz w:val="25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对编制工作坚持规划符合性、用地合理性、选址科学性等原则，</w:t>
      </w:r>
      <w:r>
        <w:rPr>
          <w:rFonts w:ascii="宋体" w:hAnsi="宋体" w:eastAsia="宋体"/>
          <w:color w:val="auto"/>
          <w:sz w:val="25"/>
          <w:highlight w:val="none"/>
          <w:lang w:val="en-US" w:eastAsia="zh-CN"/>
        </w:rPr>
        <w:t>按照</w:t>
      </w: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《</w:t>
      </w:r>
      <w:r>
        <w:rPr>
          <w:rFonts w:hint="default" w:ascii="宋体" w:hAnsi="宋体" w:eastAsia="宋体" w:cs="Times New Roman"/>
          <w:color w:val="auto"/>
          <w:sz w:val="25"/>
          <w:highlight w:val="none"/>
          <w:lang w:val="en-US" w:eastAsia="zh-CN"/>
        </w:rPr>
        <w:t>关于印发国有建设用地供应计划编制规范(试行)的通知》(国土资发(2011)117号)和《关于做好全省2025年度国有建设用地供应计划编制工作的通知》</w:t>
      </w: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等相关文件精神</w:t>
      </w:r>
      <w:r>
        <w:rPr>
          <w:rFonts w:ascii="宋体" w:hAnsi="宋体" w:eastAsia="宋体"/>
          <w:color w:val="auto"/>
          <w:sz w:val="25"/>
          <w:highlight w:val="none"/>
          <w:lang w:val="en-US" w:eastAsia="zh-CN"/>
        </w:rPr>
        <w:t>,完成</w:t>
      </w:r>
      <w:r>
        <w:rPr>
          <w:rFonts w:hint="eastAsia" w:ascii="宋体" w:hAnsi="宋体" w:eastAsia="宋体"/>
          <w:color w:val="auto"/>
          <w:sz w:val="25"/>
          <w:highlight w:val="none"/>
          <w:lang w:eastAsia="zh-CN"/>
        </w:rPr>
        <w:t>《醴陵市2025年度国有建设用地供应计划》</w:t>
      </w:r>
      <w:r>
        <w:rPr>
          <w:rFonts w:ascii="宋体" w:hAnsi="宋体" w:eastAsia="宋体"/>
          <w:color w:val="auto"/>
          <w:sz w:val="25"/>
          <w:highlight w:val="none"/>
          <w:lang w:val="en-US" w:eastAsia="zh-CN"/>
        </w:rPr>
        <w:t>编制工作(202</w:t>
      </w: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5年3月31日前完成</w:t>
      </w:r>
      <w:r>
        <w:rPr>
          <w:rFonts w:ascii="宋体" w:hAnsi="宋体" w:eastAsia="宋体"/>
          <w:color w:val="auto"/>
          <w:sz w:val="25"/>
          <w:highlight w:val="none"/>
          <w:lang w:val="en-US" w:eastAsia="zh-CN"/>
        </w:rPr>
        <w:t>)</w:t>
      </w: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。如果中途有建设项目调整、以及省自然资源厅有最新的技术要求等情况，编制机构应按要求对</w:t>
      </w:r>
      <w:r>
        <w:rPr>
          <w:rFonts w:hint="eastAsia" w:ascii="宋体" w:hAnsi="宋体" w:eastAsia="宋体"/>
          <w:color w:val="auto"/>
          <w:sz w:val="25"/>
          <w:highlight w:val="none"/>
          <w:lang w:eastAsia="zh-CN"/>
        </w:rPr>
        <w:t>计划</w:t>
      </w:r>
      <w:r>
        <w:rPr>
          <w:rFonts w:hint="eastAsia" w:ascii="宋体" w:hAnsi="宋体" w:eastAsia="宋体"/>
          <w:color w:val="auto"/>
          <w:sz w:val="25"/>
          <w:highlight w:val="none"/>
          <w:lang w:val="en-US" w:eastAsia="zh-CN"/>
        </w:rPr>
        <w:t>方案进行修改，并最终取得醴陵市人民政府批复，并通过系统将计划成果提交省自然资源厅审核备案，方视为工作完结</w:t>
      </w:r>
      <w:r>
        <w:rPr>
          <w:rFonts w:hint="eastAsia" w:ascii="宋体" w:hAnsi="宋体" w:eastAsia="宋体"/>
          <w:color w:val="auto"/>
          <w:sz w:val="25"/>
          <w:highlight w:val="none"/>
        </w:rPr>
        <w:t>。</w:t>
      </w:r>
    </w:p>
    <w:p w14:paraId="0CC3D2A8">
      <w:pPr>
        <w:numPr>
          <w:ilvl w:val="0"/>
          <w:numId w:val="1"/>
        </w:numPr>
        <w:spacing w:line="360" w:lineRule="auto"/>
        <w:ind w:firstLine="502" w:firstLineChars="200"/>
        <w:rPr>
          <w:rFonts w:ascii="宋体" w:hAnsi="宋体" w:eastAsia="宋体"/>
          <w:b/>
          <w:sz w:val="25"/>
        </w:rPr>
      </w:pPr>
      <w:r>
        <w:rPr>
          <w:rFonts w:hint="eastAsia" w:ascii="宋体" w:hAnsi="宋体" w:eastAsia="宋体"/>
          <w:b/>
          <w:sz w:val="25"/>
        </w:rPr>
        <w:t>主要工作内容、技术要求、工作成果及验收要求</w:t>
      </w:r>
    </w:p>
    <w:p w14:paraId="220B0B65">
      <w:pPr>
        <w:spacing w:line="360" w:lineRule="auto"/>
        <w:ind w:firstLine="502" w:firstLineChars="200"/>
        <w:jc w:val="both"/>
        <w:rPr>
          <w:rFonts w:ascii="楷体" w:hAnsi="楷体" w:eastAsia="楷体"/>
          <w:b/>
          <w:sz w:val="25"/>
        </w:rPr>
      </w:pPr>
      <w:r>
        <w:rPr>
          <w:rFonts w:hint="eastAsia" w:ascii="楷体" w:hAnsi="楷体" w:eastAsia="楷体"/>
          <w:b/>
          <w:sz w:val="25"/>
          <w:lang w:eastAsia="zh-CN"/>
        </w:rPr>
        <w:t>（</w:t>
      </w:r>
      <w:r>
        <w:rPr>
          <w:rFonts w:hint="eastAsia" w:ascii="楷体" w:hAnsi="楷体" w:eastAsia="楷体"/>
          <w:b/>
          <w:sz w:val="25"/>
        </w:rPr>
        <w:t>一）前期资料收集工作：</w:t>
      </w:r>
    </w:p>
    <w:p w14:paraId="6291DB71">
      <w:pPr>
        <w:spacing w:line="360" w:lineRule="auto"/>
        <w:ind w:firstLine="500" w:firstLineChars="200"/>
        <w:rPr>
          <w:rFonts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1、技术服务方与项目业主方对接，了解项目概况，介绍技术服务内容、依据、技术标准等，并提供公司相关资质、工商营业执照、法人信息等相关材料。</w:t>
      </w:r>
    </w:p>
    <w:p w14:paraId="50BC3730">
      <w:pPr>
        <w:spacing w:line="360" w:lineRule="auto"/>
        <w:ind w:firstLine="500" w:firstLineChars="200"/>
        <w:rPr>
          <w:rFonts w:hint="default" w:ascii="宋体" w:hAnsi="宋体" w:eastAsia="宋体" w:cs="Times New Roman"/>
          <w:sz w:val="25"/>
          <w:highlight w:val="none"/>
          <w:lang w:val="en-US"/>
        </w:rPr>
      </w:pPr>
      <w:r>
        <w:rPr>
          <w:rFonts w:hint="eastAsia" w:ascii="宋体" w:hAnsi="宋体" w:eastAsia="宋体"/>
          <w:sz w:val="25"/>
          <w:highlight w:val="none"/>
        </w:rPr>
        <w:t>2、</w:t>
      </w:r>
      <w:r>
        <w:rPr>
          <w:rFonts w:hint="eastAsia" w:ascii="宋体" w:hAnsi="宋体" w:eastAsia="宋体"/>
          <w:sz w:val="25"/>
          <w:highlight w:val="none"/>
          <w:lang w:val="en-US" w:eastAsia="zh-CN"/>
        </w:rPr>
        <w:t>采购</w:t>
      </w:r>
      <w:r>
        <w:rPr>
          <w:rFonts w:hint="eastAsia" w:ascii="宋体" w:hAnsi="宋体" w:eastAsia="宋体"/>
          <w:sz w:val="25"/>
          <w:highlight w:val="none"/>
        </w:rPr>
        <w:t>方所需提供材料清单：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Times New Roman"/>
          <w:sz w:val="25"/>
          <w:highlight w:val="none"/>
          <w:lang w:val="en-US" w:eastAsia="zh-CN"/>
        </w:rPr>
        <w:t>年供储计划全套成果、2020-2024年土地供应情况、2025年需供应的地块信息表及红线、遥感影像图等</w:t>
      </w:r>
    </w:p>
    <w:p w14:paraId="00D36791">
      <w:pPr>
        <w:spacing w:line="360" w:lineRule="auto"/>
        <w:ind w:firstLine="502" w:firstLineChars="200"/>
        <w:jc w:val="both"/>
        <w:rPr>
          <w:rFonts w:ascii="楷体" w:hAnsi="楷体" w:eastAsia="楷体"/>
          <w:b/>
          <w:sz w:val="25"/>
        </w:rPr>
      </w:pPr>
      <w:r>
        <w:rPr>
          <w:rFonts w:hint="eastAsia" w:ascii="楷体" w:hAnsi="楷体" w:eastAsia="楷体"/>
          <w:b/>
          <w:sz w:val="25"/>
          <w:lang w:eastAsia="zh-CN"/>
        </w:rPr>
        <w:t>（</w:t>
      </w:r>
      <w:r>
        <w:rPr>
          <w:rFonts w:hint="eastAsia" w:ascii="楷体" w:hAnsi="楷体" w:eastAsia="楷体"/>
          <w:b/>
          <w:sz w:val="25"/>
        </w:rPr>
        <w:t>二）编制流程、内容和时间：</w:t>
      </w:r>
    </w:p>
    <w:p w14:paraId="162F42D4">
      <w:pPr>
        <w:spacing w:line="360" w:lineRule="auto"/>
        <w:ind w:firstLine="500" w:firstLineChars="200"/>
        <w:rPr>
          <w:rFonts w:hint="eastAsia" w:ascii="宋体" w:hAnsi="宋体" w:eastAsia="宋体" w:cs="Times New Roman"/>
          <w:sz w:val="25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5"/>
          <w:highlight w:val="none"/>
          <w:lang w:val="en-US" w:eastAsia="zh-CN"/>
        </w:rPr>
        <w:t>1、</w:t>
      </w:r>
      <w:r>
        <w:rPr>
          <w:rFonts w:hint="default" w:ascii="宋体" w:hAnsi="宋体" w:eastAsia="宋体" w:cs="Times New Roman"/>
          <w:sz w:val="25"/>
          <w:highlight w:val="none"/>
          <w:lang w:val="en-US" w:eastAsia="zh-CN"/>
        </w:rPr>
        <w:t>根据《关于印发国有建设用地供应计划编制规范(试行)的通知》(国土资发(2011)117号)和《关于做好全省2025年度国有建设用地供应计划编制工作的通知》(湖南省自然资源厅办公室2025年2月25日发文)等文件要求</w:t>
      </w:r>
      <w:r>
        <w:rPr>
          <w:rFonts w:hint="eastAsia" w:ascii="宋体" w:hAnsi="宋体" w:eastAsia="宋体" w:cs="Times New Roman"/>
          <w:sz w:val="25"/>
          <w:highlight w:val="none"/>
          <w:lang w:val="en-US" w:eastAsia="zh-CN"/>
        </w:rPr>
        <w:t>，编制《醴陵市2025年度国有建设用地供应计划》, 并负责对接省自然资源厅，做好备案工作，所需资料的提供，把控成果质量。</w:t>
      </w:r>
    </w:p>
    <w:p w14:paraId="4938891C">
      <w:pPr>
        <w:spacing w:line="360" w:lineRule="auto"/>
        <w:ind w:firstLine="500" w:firstLineChars="200"/>
        <w:rPr>
          <w:rFonts w:ascii="宋体" w:hAnsi="宋体" w:eastAsia="宋体"/>
          <w:color w:val="auto"/>
          <w:sz w:val="25"/>
          <w:lang w:eastAsia="zh-CN"/>
        </w:rPr>
      </w:pPr>
      <w:r>
        <w:rPr>
          <w:rFonts w:hint="eastAsia" w:ascii="宋体" w:hAnsi="宋体" w:eastAsia="宋体"/>
          <w:color w:val="auto"/>
          <w:sz w:val="25"/>
          <w:lang w:eastAsia="zh-CN"/>
        </w:rPr>
        <w:t>2、</w:t>
      </w:r>
      <w:r>
        <w:rPr>
          <w:rFonts w:hint="eastAsia" w:ascii="宋体" w:hAnsi="宋体" w:eastAsia="宋体"/>
          <w:color w:val="auto"/>
          <w:sz w:val="25"/>
        </w:rPr>
        <w:t>技术服务方与项目业主方对接，</w:t>
      </w:r>
      <w:r>
        <w:rPr>
          <w:rFonts w:hint="eastAsia" w:ascii="宋体" w:hAnsi="宋体" w:eastAsia="宋体"/>
          <w:color w:val="auto"/>
          <w:sz w:val="25"/>
          <w:lang w:eastAsia="zh-CN"/>
        </w:rPr>
        <w:t>对重点项目进行现场踏勘（上传现场踏勘证明），</w:t>
      </w:r>
      <w:r>
        <w:rPr>
          <w:rFonts w:hint="eastAsia" w:ascii="宋体" w:hAnsi="宋体" w:eastAsia="宋体"/>
          <w:color w:val="auto"/>
          <w:sz w:val="25"/>
        </w:rPr>
        <w:t>了解项目概况，介绍技术服务内容、依据、技术标准等</w:t>
      </w:r>
      <w:r>
        <w:rPr>
          <w:rFonts w:hint="eastAsia" w:ascii="宋体" w:hAnsi="宋体" w:eastAsia="宋体"/>
          <w:color w:val="auto"/>
          <w:sz w:val="25"/>
          <w:lang w:eastAsia="zh-CN"/>
        </w:rPr>
        <w:t>。</w:t>
      </w:r>
    </w:p>
    <w:p w14:paraId="30EE9DF2">
      <w:pPr>
        <w:spacing w:line="360" w:lineRule="auto"/>
        <w:ind w:firstLine="500" w:firstLineChars="200"/>
        <w:rPr>
          <w:rFonts w:ascii="宋体" w:hAnsi="宋体" w:eastAsia="宋体"/>
          <w:color w:val="auto"/>
          <w:sz w:val="25"/>
        </w:rPr>
      </w:pPr>
      <w:r>
        <w:rPr>
          <w:rFonts w:hint="eastAsia" w:ascii="宋体" w:hAnsi="宋体" w:eastAsia="宋体"/>
          <w:color w:val="auto"/>
          <w:sz w:val="25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5"/>
        </w:rPr>
        <w:t>、竞价完成后，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一周内</w:t>
      </w:r>
      <w:r>
        <w:rPr>
          <w:rFonts w:hint="eastAsia" w:ascii="宋体" w:hAnsi="宋体" w:eastAsia="宋体"/>
          <w:color w:val="auto"/>
          <w:sz w:val="25"/>
        </w:rPr>
        <w:t>完成</w:t>
      </w:r>
      <w:r>
        <w:rPr>
          <w:rFonts w:hint="eastAsia" w:ascii="宋体" w:hAnsi="宋体" w:eastAsia="宋体"/>
          <w:color w:val="auto"/>
          <w:sz w:val="25"/>
          <w:lang w:eastAsia="zh-CN"/>
        </w:rPr>
        <w:t>《醴陵市2025年度国有建设用地供应计划》</w:t>
      </w:r>
      <w:r>
        <w:rPr>
          <w:rFonts w:ascii="宋体" w:hAnsi="宋体" w:eastAsia="宋体"/>
          <w:color w:val="auto"/>
          <w:sz w:val="25"/>
          <w:lang w:val="en-US" w:eastAsia="zh-CN"/>
        </w:rPr>
        <w:t>编制工作</w:t>
      </w:r>
      <w:r>
        <w:rPr>
          <w:rFonts w:hint="eastAsia" w:ascii="宋体" w:hAnsi="宋体" w:eastAsia="宋体"/>
          <w:color w:val="auto"/>
          <w:sz w:val="25"/>
          <w:lang w:eastAsia="zh-CN"/>
        </w:rPr>
        <w:t>，如果未完成工作任务，影响了我市</w:t>
      </w:r>
      <w:r>
        <w:rPr>
          <w:rFonts w:hint="eastAsia" w:ascii="宋体" w:hAnsi="宋体" w:eastAsia="宋体"/>
          <w:color w:val="auto"/>
          <w:sz w:val="25"/>
        </w:rPr>
        <w:t>202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5"/>
          <w:lang w:eastAsia="zh-CN"/>
        </w:rPr>
        <w:t>年土地供应相关工作，则须承担相应的责任</w:t>
      </w:r>
      <w:r>
        <w:rPr>
          <w:rFonts w:hint="eastAsia" w:ascii="宋体" w:hAnsi="宋体" w:eastAsia="宋体"/>
          <w:color w:val="auto"/>
          <w:sz w:val="25"/>
        </w:rPr>
        <w:t>。</w:t>
      </w:r>
    </w:p>
    <w:p w14:paraId="203D3F26">
      <w:pPr>
        <w:spacing w:line="360" w:lineRule="auto"/>
        <w:ind w:firstLine="500" w:firstLineChars="200"/>
        <w:rPr>
          <w:rFonts w:ascii="宋体" w:hAnsi="宋体" w:eastAsia="宋体"/>
          <w:color w:val="auto"/>
          <w:sz w:val="25"/>
        </w:rPr>
      </w:pPr>
      <w:r>
        <w:rPr>
          <w:rFonts w:hint="eastAsia" w:ascii="宋体" w:hAnsi="宋体" w:eastAsia="宋体"/>
          <w:color w:val="auto"/>
          <w:sz w:val="25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5"/>
        </w:rPr>
        <w:t>、编制报告完成后，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一周内</w:t>
      </w:r>
      <w:r>
        <w:rPr>
          <w:rFonts w:hint="eastAsia" w:ascii="宋体" w:hAnsi="宋体" w:eastAsia="宋体"/>
          <w:color w:val="auto"/>
          <w:sz w:val="25"/>
        </w:rPr>
        <w:t>技术服务方完成印刷、装订、双方盖取公章，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并最终取得醴陵市人民政府批复，通过系统将计划成果提交省自然资源厅审核备案</w:t>
      </w:r>
      <w:r>
        <w:rPr>
          <w:rFonts w:hint="eastAsia" w:ascii="宋体" w:hAnsi="宋体" w:eastAsia="宋体"/>
          <w:color w:val="auto"/>
          <w:sz w:val="25"/>
        </w:rPr>
        <w:t>。</w:t>
      </w:r>
    </w:p>
    <w:p w14:paraId="4D0809BB">
      <w:pPr>
        <w:spacing w:line="360" w:lineRule="auto"/>
        <w:ind w:firstLine="502" w:firstLineChars="200"/>
        <w:jc w:val="both"/>
        <w:rPr>
          <w:rFonts w:ascii="宋体" w:hAnsi="宋体" w:eastAsia="宋体"/>
          <w:b/>
          <w:sz w:val="25"/>
        </w:rPr>
      </w:pPr>
      <w:r>
        <w:rPr>
          <w:rFonts w:hint="eastAsia" w:ascii="宋体" w:hAnsi="宋体" w:eastAsia="宋体"/>
          <w:b/>
          <w:sz w:val="25"/>
        </w:rPr>
        <w:t>五、主要成果</w:t>
      </w:r>
    </w:p>
    <w:p w14:paraId="1FF600E7">
      <w:pPr>
        <w:spacing w:line="360" w:lineRule="auto"/>
        <w:ind w:firstLine="500" w:firstLineChars="200"/>
        <w:rPr>
          <w:rFonts w:hint="default" w:ascii="宋体" w:hAnsi="宋体" w:eastAsia="宋体" w:cs="Times New Roman"/>
          <w:sz w:val="25"/>
          <w:lang w:val="en-US" w:eastAsia="zh-CN"/>
        </w:rPr>
      </w:pPr>
      <w:r>
        <w:rPr>
          <w:rFonts w:hint="default" w:ascii="宋体" w:hAnsi="宋体" w:eastAsia="宋体" w:cs="Times New Roman"/>
          <w:sz w:val="25"/>
          <w:lang w:val="en-US" w:eastAsia="zh-CN"/>
        </w:rPr>
        <w:t>计划文本和计划编制说明</w:t>
      </w:r>
      <w:r>
        <w:rPr>
          <w:rFonts w:hint="eastAsia" w:ascii="宋体" w:hAnsi="宋体" w:eastAsia="宋体" w:cs="Times New Roman"/>
          <w:sz w:val="25"/>
          <w:lang w:val="en-US" w:eastAsia="zh-CN"/>
        </w:rPr>
        <w:t>、醴陵市2025年度国有建设用地供应计划分布图、《醴陵市2025年度国有建设用地供应计划表》、醴陵市2025年度JHNDGYDK数据库。</w:t>
      </w:r>
    </w:p>
    <w:p w14:paraId="797A1592">
      <w:pPr>
        <w:spacing w:line="360" w:lineRule="auto"/>
        <w:ind w:firstLine="502" w:firstLineChars="200"/>
        <w:jc w:val="both"/>
        <w:rPr>
          <w:rFonts w:ascii="宋体" w:hAnsi="宋体" w:eastAsia="宋体"/>
          <w:b/>
          <w:sz w:val="25"/>
        </w:rPr>
      </w:pPr>
      <w:r>
        <w:rPr>
          <w:rFonts w:hint="eastAsia" w:ascii="宋体" w:hAnsi="宋体" w:eastAsia="宋体"/>
          <w:b/>
          <w:sz w:val="25"/>
        </w:rPr>
        <w:t>六、工作进度、要求与验收：</w:t>
      </w:r>
    </w:p>
    <w:p w14:paraId="08C14247">
      <w:pPr>
        <w:spacing w:line="360" w:lineRule="auto"/>
        <w:ind w:firstLine="500" w:firstLineChars="200"/>
        <w:jc w:val="both"/>
        <w:rPr>
          <w:rFonts w:ascii="宋体" w:hAnsi="宋体" w:eastAsia="PMingLiU"/>
          <w:color w:val="auto"/>
          <w:sz w:val="25"/>
        </w:rPr>
      </w:pPr>
      <w:r>
        <w:rPr>
          <w:rFonts w:hint="eastAsia" w:ascii="宋体" w:hAnsi="宋体" w:eastAsia="宋体"/>
          <w:color w:val="auto"/>
          <w:sz w:val="25"/>
        </w:rPr>
        <w:t>自竞价完成后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一周内</w:t>
      </w:r>
      <w:r>
        <w:rPr>
          <w:rFonts w:hint="eastAsia" w:ascii="宋体" w:hAnsi="宋体" w:eastAsia="宋体"/>
          <w:color w:val="auto"/>
          <w:sz w:val="25"/>
        </w:rPr>
        <w:t>完成</w:t>
      </w:r>
      <w:r>
        <w:rPr>
          <w:rFonts w:hint="eastAsia" w:ascii="宋体" w:hAnsi="宋体" w:eastAsia="宋体"/>
          <w:color w:val="auto"/>
          <w:sz w:val="25"/>
          <w:lang w:eastAsia="zh-CN"/>
        </w:rPr>
        <w:t>《醴陵市2025年度国有建设用地供应计划》编制</w:t>
      </w:r>
      <w:r>
        <w:rPr>
          <w:rFonts w:hint="eastAsia" w:ascii="宋体" w:hAnsi="宋体" w:eastAsia="宋体"/>
          <w:color w:val="auto"/>
          <w:sz w:val="25"/>
        </w:rPr>
        <w:t>工作，技术服务方完成印刷、装订、双方盖取公章，</w:t>
      </w:r>
      <w:r>
        <w:rPr>
          <w:rFonts w:hint="eastAsia" w:ascii="宋体" w:hAnsi="宋体" w:eastAsia="宋体"/>
          <w:color w:val="auto"/>
          <w:sz w:val="25"/>
          <w:lang w:val="en-US" w:eastAsia="zh-CN"/>
        </w:rPr>
        <w:t>并最终取得醴陵市人民政府批复，通过系统将计划成果提交省自然资源厅审核备案</w:t>
      </w:r>
      <w:r>
        <w:rPr>
          <w:rFonts w:hint="eastAsia" w:ascii="宋体" w:hAnsi="宋体" w:eastAsia="宋体"/>
          <w:color w:val="auto"/>
          <w:sz w:val="25"/>
          <w:lang w:eastAsia="zh-CN"/>
        </w:rPr>
        <w:t>，</w:t>
      </w:r>
      <w:r>
        <w:rPr>
          <w:rFonts w:hint="eastAsia" w:ascii="宋体" w:hAnsi="宋体" w:eastAsia="宋体"/>
          <w:color w:val="auto"/>
          <w:sz w:val="25"/>
        </w:rPr>
        <w:t>视为验收完成。</w:t>
      </w:r>
    </w:p>
    <w:p w14:paraId="354198F3">
      <w:pPr>
        <w:spacing w:line="360" w:lineRule="auto"/>
        <w:ind w:firstLine="502" w:firstLineChars="200"/>
        <w:jc w:val="both"/>
        <w:rPr>
          <w:rFonts w:ascii="宋体" w:hAnsi="宋体" w:eastAsia="宋体"/>
          <w:color w:val="auto"/>
          <w:sz w:val="25"/>
        </w:rPr>
      </w:pPr>
      <w:r>
        <w:rPr>
          <w:rFonts w:hint="eastAsia" w:ascii="宋体" w:hAnsi="宋体" w:eastAsia="宋体"/>
          <w:b/>
          <w:color w:val="auto"/>
          <w:sz w:val="25"/>
        </w:rPr>
        <w:t>七、付款方式：</w:t>
      </w:r>
      <w:r>
        <w:rPr>
          <w:rFonts w:hint="eastAsia" w:ascii="宋体" w:hAnsi="宋体" w:eastAsia="宋体"/>
          <w:color w:val="auto"/>
          <w:sz w:val="25"/>
          <w:lang w:eastAsia="zh-CN"/>
        </w:rPr>
        <w:t>《醴陵市2025年度国有建设用地供应计划》</w:t>
      </w:r>
      <w:r>
        <w:rPr>
          <w:rFonts w:hint="eastAsia" w:ascii="宋体" w:hAnsi="宋体" w:eastAsia="宋体"/>
          <w:color w:val="auto"/>
          <w:sz w:val="25"/>
        </w:rPr>
        <w:t>审查通过后，支付100%，逾期未及时完成工作任务的将按照合同结算金额的</w:t>
      </w:r>
      <w:r>
        <w:rPr>
          <w:rFonts w:hint="eastAsia" w:ascii="宋体" w:hAnsi="宋体" w:eastAsia="PMingLiU"/>
          <w:color w:val="auto"/>
          <w:sz w:val="25"/>
        </w:rPr>
        <w:t>2</w:t>
      </w:r>
      <w:r>
        <w:rPr>
          <w:rFonts w:hint="eastAsia" w:ascii="宋体" w:hAnsi="宋体" w:eastAsia="宋体"/>
          <w:color w:val="auto"/>
          <w:sz w:val="25"/>
        </w:rPr>
        <w:t>%/日进行扣款。</w:t>
      </w:r>
    </w:p>
    <w:p w14:paraId="52261473">
      <w:pPr>
        <w:spacing w:line="360" w:lineRule="auto"/>
        <w:ind w:firstLine="502" w:firstLineChars="200"/>
        <w:jc w:val="both"/>
        <w:rPr>
          <w:rFonts w:ascii="宋体" w:hAnsi="宋体" w:eastAsia="宋体"/>
          <w:sz w:val="25"/>
        </w:rPr>
      </w:pPr>
      <w:r>
        <w:rPr>
          <w:rFonts w:hint="eastAsia" w:ascii="宋体" w:hAnsi="宋体" w:eastAsia="宋体"/>
          <w:b/>
          <w:sz w:val="25"/>
        </w:rPr>
        <w:t>八、其他：</w:t>
      </w:r>
      <w:r>
        <w:rPr>
          <w:rFonts w:hint="eastAsia" w:ascii="宋体" w:hAnsi="宋体" w:eastAsia="宋体"/>
          <w:sz w:val="25"/>
        </w:rPr>
        <w:t>未尽事宜，双方签订合同中约定。</w:t>
      </w:r>
    </w:p>
    <w:p w14:paraId="1473EA7C">
      <w:pPr>
        <w:spacing w:line="360" w:lineRule="auto"/>
        <w:ind w:firstLine="500" w:firstLineChars="200"/>
        <w:rPr>
          <w:rFonts w:ascii="宋体" w:hAnsi="宋体" w:eastAsia="宋体"/>
          <w:sz w:val="25"/>
        </w:rPr>
      </w:pPr>
    </w:p>
    <w:sectPr>
      <w:pgSz w:w="11900" w:h="16840"/>
      <w:pgMar w:top="1417" w:right="1417" w:bottom="1417" w:left="1417" w:header="850" w:footer="975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5A623"/>
    <w:multiLevelType w:val="multilevel"/>
    <w:tmpl w:val="65D5A623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、"/>
      <w:lvlJc w:val="left"/>
      <w:rPr>
        <w:rFonts w:cs="Times New Roman"/>
      </w:rPr>
    </w:lvl>
    <w:lvl w:ilvl="2" w:tentative="0">
      <w:start w:val="1"/>
      <w:numFmt w:val="decimal"/>
      <w:lvlText w:val="、"/>
      <w:lvlJc w:val="left"/>
      <w:rPr>
        <w:rFonts w:cs="Times New Roman"/>
      </w:rPr>
    </w:lvl>
    <w:lvl w:ilvl="3" w:tentative="0">
      <w:start w:val="1"/>
      <w:numFmt w:val="decimal"/>
      <w:lvlText w:val="、"/>
      <w:lvlJc w:val="left"/>
      <w:rPr>
        <w:rFonts w:cs="Times New Roman"/>
      </w:rPr>
    </w:lvl>
    <w:lvl w:ilvl="4" w:tentative="0">
      <w:start w:val="1"/>
      <w:numFmt w:val="decimal"/>
      <w:lvlText w:val="、"/>
      <w:lvlJc w:val="left"/>
      <w:rPr>
        <w:rFonts w:cs="Times New Roman"/>
      </w:rPr>
    </w:lvl>
    <w:lvl w:ilvl="5" w:tentative="0">
      <w:start w:val="1"/>
      <w:numFmt w:val="decimal"/>
      <w:lvlText w:val="、"/>
      <w:lvlJc w:val="left"/>
      <w:rPr>
        <w:rFonts w:cs="Times New Roman"/>
      </w:rPr>
    </w:lvl>
    <w:lvl w:ilvl="6" w:tentative="0">
      <w:start w:val="1"/>
      <w:numFmt w:val="decimal"/>
      <w:lvlText w:val="、"/>
      <w:lvlJc w:val="left"/>
      <w:rPr>
        <w:rFonts w:cs="Times New Roman"/>
      </w:rPr>
    </w:lvl>
    <w:lvl w:ilvl="7" w:tentative="0">
      <w:start w:val="1"/>
      <w:numFmt w:val="decimal"/>
      <w:lvlText w:val="、"/>
      <w:lvlJc w:val="left"/>
      <w:rPr>
        <w:rFonts w:cs="Times New Roman"/>
      </w:rPr>
    </w:lvl>
    <w:lvl w:ilvl="8" w:tentative="0">
      <w:start w:val="1"/>
      <w:numFmt w:val="decimal"/>
      <w:lvlText w:val="、"/>
      <w:lvlJc w:val="left"/>
      <w:rPr>
        <w:rFonts w:cs="Times New Roman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181"/>
  <w:drawingGridVerticalSpacing w:val="181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E"/>
    <w:rsid w:val="000000BA"/>
    <w:rsid w:val="0002377D"/>
    <w:rsid w:val="0003747E"/>
    <w:rsid w:val="00040591"/>
    <w:rsid w:val="000B2F2E"/>
    <w:rsid w:val="000C6CCE"/>
    <w:rsid w:val="000E30E6"/>
    <w:rsid w:val="00101AE3"/>
    <w:rsid w:val="00126371"/>
    <w:rsid w:val="001333FE"/>
    <w:rsid w:val="001843F3"/>
    <w:rsid w:val="001903DF"/>
    <w:rsid w:val="001B2D8C"/>
    <w:rsid w:val="001C0900"/>
    <w:rsid w:val="002D0BB8"/>
    <w:rsid w:val="002F02D8"/>
    <w:rsid w:val="002F15F0"/>
    <w:rsid w:val="003033A7"/>
    <w:rsid w:val="003128B1"/>
    <w:rsid w:val="003166C2"/>
    <w:rsid w:val="003457A6"/>
    <w:rsid w:val="003F5228"/>
    <w:rsid w:val="004E0635"/>
    <w:rsid w:val="00507B28"/>
    <w:rsid w:val="00520660"/>
    <w:rsid w:val="005A2328"/>
    <w:rsid w:val="005A6729"/>
    <w:rsid w:val="005D2C54"/>
    <w:rsid w:val="00621425"/>
    <w:rsid w:val="00632C5D"/>
    <w:rsid w:val="0068332F"/>
    <w:rsid w:val="00690982"/>
    <w:rsid w:val="006C3929"/>
    <w:rsid w:val="007D39E6"/>
    <w:rsid w:val="007E6C9D"/>
    <w:rsid w:val="008745F2"/>
    <w:rsid w:val="0088619B"/>
    <w:rsid w:val="008873F8"/>
    <w:rsid w:val="008E6E3C"/>
    <w:rsid w:val="009002D2"/>
    <w:rsid w:val="00944D55"/>
    <w:rsid w:val="009620D2"/>
    <w:rsid w:val="00980A8A"/>
    <w:rsid w:val="009E3480"/>
    <w:rsid w:val="00A049A3"/>
    <w:rsid w:val="00A14FEE"/>
    <w:rsid w:val="00AA129B"/>
    <w:rsid w:val="00AE3194"/>
    <w:rsid w:val="00B0302C"/>
    <w:rsid w:val="00B74E28"/>
    <w:rsid w:val="00BB246E"/>
    <w:rsid w:val="00BC1CA9"/>
    <w:rsid w:val="00BC572B"/>
    <w:rsid w:val="00BD34D8"/>
    <w:rsid w:val="00BD3EE0"/>
    <w:rsid w:val="00C06826"/>
    <w:rsid w:val="00C07EEE"/>
    <w:rsid w:val="00C95E0A"/>
    <w:rsid w:val="00D67E02"/>
    <w:rsid w:val="00DA4C4C"/>
    <w:rsid w:val="00E770A8"/>
    <w:rsid w:val="00F10E24"/>
    <w:rsid w:val="00F80DCE"/>
    <w:rsid w:val="00FA12BB"/>
    <w:rsid w:val="00FB18C3"/>
    <w:rsid w:val="00FC0767"/>
    <w:rsid w:val="00FD1CD8"/>
    <w:rsid w:val="00FD525D"/>
    <w:rsid w:val="00FE7E68"/>
    <w:rsid w:val="035D5A0F"/>
    <w:rsid w:val="03D90444"/>
    <w:rsid w:val="0537512E"/>
    <w:rsid w:val="05505DA5"/>
    <w:rsid w:val="07325D3C"/>
    <w:rsid w:val="09A137B2"/>
    <w:rsid w:val="0F342FFB"/>
    <w:rsid w:val="0F696B20"/>
    <w:rsid w:val="11B04EDA"/>
    <w:rsid w:val="146855F8"/>
    <w:rsid w:val="1B0E2FAC"/>
    <w:rsid w:val="1E0B19C7"/>
    <w:rsid w:val="204A02A8"/>
    <w:rsid w:val="20765541"/>
    <w:rsid w:val="21303B0C"/>
    <w:rsid w:val="21EE1107"/>
    <w:rsid w:val="22BE7976"/>
    <w:rsid w:val="24900F9F"/>
    <w:rsid w:val="2536704D"/>
    <w:rsid w:val="25CD009A"/>
    <w:rsid w:val="28AF068A"/>
    <w:rsid w:val="2A4E308A"/>
    <w:rsid w:val="2AEB1D03"/>
    <w:rsid w:val="2DF45CF7"/>
    <w:rsid w:val="391536F1"/>
    <w:rsid w:val="3A8D72B7"/>
    <w:rsid w:val="3B304812"/>
    <w:rsid w:val="3BF13876"/>
    <w:rsid w:val="3E6A35EE"/>
    <w:rsid w:val="3F1157B5"/>
    <w:rsid w:val="40F77B80"/>
    <w:rsid w:val="437551FB"/>
    <w:rsid w:val="43CE2638"/>
    <w:rsid w:val="461D5993"/>
    <w:rsid w:val="49787384"/>
    <w:rsid w:val="49F75EC4"/>
    <w:rsid w:val="4CC052CA"/>
    <w:rsid w:val="5002778D"/>
    <w:rsid w:val="51363DAD"/>
    <w:rsid w:val="51D81308"/>
    <w:rsid w:val="609F196E"/>
    <w:rsid w:val="62175534"/>
    <w:rsid w:val="62B92A90"/>
    <w:rsid w:val="637B1AF3"/>
    <w:rsid w:val="677C2D4E"/>
    <w:rsid w:val="67DF08A2"/>
    <w:rsid w:val="680B5B3B"/>
    <w:rsid w:val="681E586F"/>
    <w:rsid w:val="6AB54FE1"/>
    <w:rsid w:val="6C921B37"/>
    <w:rsid w:val="6DA73C10"/>
    <w:rsid w:val="718030F6"/>
    <w:rsid w:val="72F86CBC"/>
    <w:rsid w:val="738F07A1"/>
    <w:rsid w:val="75B05104"/>
    <w:rsid w:val="76867E92"/>
    <w:rsid w:val="77091498"/>
    <w:rsid w:val="78C0202A"/>
    <w:rsid w:val="79627585"/>
    <w:rsid w:val="79A274B8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ngLiU_HKSCS" w:hAnsi="MingLiU_HKSCS" w:eastAsia="MingLiU_HKSCS" w:cs="Times New Roman"/>
      <w:color w:val="000000"/>
      <w:sz w:val="24"/>
      <w:szCs w:val="24"/>
      <w:lang w:val="zh-TW" w:eastAsia="zh-TW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5">
    <w:name w:val="Body Text"/>
    <w:basedOn w:val="1"/>
    <w:link w:val="40"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sz w:val="36"/>
      <w:szCs w:val="36"/>
      <w:lang w:val="en-US" w:eastAsia="en-US"/>
    </w:rPr>
  </w:style>
  <w:style w:type="paragraph" w:styleId="6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0">
    <w:name w:val="Hyperlink"/>
    <w:unhideWhenUsed/>
    <w:qFormat/>
    <w:uiPriority w:val="99"/>
    <w:rPr>
      <w:rFonts w:cs="Times New Roman"/>
      <w:u w:val="single"/>
    </w:rPr>
  </w:style>
  <w:style w:type="character" w:customStyle="1" w:styleId="11">
    <w:name w:val="正文文本 (2) + 10 pt"/>
    <w:unhideWhenUsed/>
    <w:qFormat/>
    <w:uiPriority w:val="99"/>
    <w:rPr>
      <w:rFonts w:ascii="MingLiU" w:hAnsi="MingLiU" w:eastAsia="MingLiU" w:cs="Times New Roman"/>
      <w:sz w:val="20"/>
    </w:rPr>
  </w:style>
  <w:style w:type="character" w:customStyle="1" w:styleId="12">
    <w:name w:val="正文文本 (2)_"/>
    <w:link w:val="13"/>
    <w:unhideWhenUsed/>
    <w:qFormat/>
    <w:locked/>
    <w:uiPriority w:val="99"/>
    <w:rPr>
      <w:rFonts w:ascii="MingLiU" w:hAnsi="MingLiU" w:eastAsia="MingLiU" w:cs="Times New Roman"/>
    </w:rPr>
  </w:style>
  <w:style w:type="paragraph" w:customStyle="1" w:styleId="13">
    <w:name w:val="正文文本 (2)"/>
    <w:basedOn w:val="1"/>
    <w:link w:val="12"/>
    <w:unhideWhenUsed/>
    <w:qFormat/>
    <w:uiPriority w:val="99"/>
    <w:pPr>
      <w:shd w:val="clear" w:color="auto" w:fill="FFFFFF"/>
      <w:spacing w:before="60" w:line="445" w:lineRule="exact"/>
    </w:pPr>
    <w:rPr>
      <w:rFonts w:ascii="MingLiU" w:hAnsi="MingLiU" w:eastAsia="MingLiU"/>
    </w:rPr>
  </w:style>
  <w:style w:type="character" w:customStyle="1" w:styleId="14">
    <w:name w:val="页眉或页脚_"/>
    <w:link w:val="15"/>
    <w:unhideWhenUsed/>
    <w:qFormat/>
    <w:locked/>
    <w:uiPriority w:val="99"/>
    <w:rPr>
      <w:rFonts w:ascii="MingLiU" w:hAnsi="MingLiU" w:eastAsia="MingLiU" w:cs="Times New Roman"/>
      <w:spacing w:val="20"/>
      <w:sz w:val="16"/>
    </w:rPr>
  </w:style>
  <w:style w:type="paragraph" w:customStyle="1" w:styleId="15">
    <w:name w:val="页眉或页脚"/>
    <w:basedOn w:val="1"/>
    <w:link w:val="14"/>
    <w:unhideWhenUsed/>
    <w:qFormat/>
    <w:uiPriority w:val="99"/>
    <w:pPr>
      <w:shd w:val="clear" w:color="auto" w:fill="FFFFFF"/>
      <w:spacing w:line="240" w:lineRule="atLeast"/>
    </w:pPr>
    <w:rPr>
      <w:rFonts w:ascii="MingLiU" w:hAnsi="MingLiU" w:eastAsia="MingLiU"/>
      <w:spacing w:val="20"/>
      <w:sz w:val="16"/>
    </w:rPr>
  </w:style>
  <w:style w:type="character" w:customStyle="1" w:styleId="16">
    <w:name w:val="正文文本 (2) + 13 pt"/>
    <w:unhideWhenUsed/>
    <w:qFormat/>
    <w:uiPriority w:val="99"/>
    <w:rPr>
      <w:rFonts w:ascii="MingLiU" w:hAnsi="MingLiU" w:eastAsia="MingLiU" w:cs="Times New Roman"/>
      <w:spacing w:val="-50"/>
      <w:sz w:val="26"/>
    </w:rPr>
  </w:style>
  <w:style w:type="character" w:customStyle="1" w:styleId="17">
    <w:name w:val="页眉或页脚 + 7.5 pt"/>
    <w:unhideWhenUsed/>
    <w:qFormat/>
    <w:uiPriority w:val="99"/>
    <w:rPr>
      <w:rFonts w:ascii="MingLiU" w:hAnsi="MingLiU" w:eastAsia="MingLiU" w:cs="Times New Roman"/>
      <w:spacing w:val="20"/>
      <w:sz w:val="15"/>
      <w:u w:val="single"/>
    </w:rPr>
  </w:style>
  <w:style w:type="character" w:customStyle="1" w:styleId="18">
    <w:name w:val="页眉或页脚 + 7.5 pt1"/>
    <w:unhideWhenUsed/>
    <w:qFormat/>
    <w:uiPriority w:val="99"/>
    <w:rPr>
      <w:rFonts w:ascii="MingLiU" w:hAnsi="MingLiU" w:eastAsia="MingLiU" w:cs="Times New Roman"/>
      <w:spacing w:val="20"/>
      <w:sz w:val="15"/>
    </w:rPr>
  </w:style>
  <w:style w:type="character" w:customStyle="1" w:styleId="19">
    <w:name w:val="正文文本 (5)_"/>
    <w:link w:val="20"/>
    <w:unhideWhenUsed/>
    <w:qFormat/>
    <w:locked/>
    <w:uiPriority w:val="99"/>
    <w:rPr>
      <w:rFonts w:ascii="MingLiU" w:hAnsi="MingLiU" w:eastAsia="MingLiU" w:cs="Times New Roman"/>
      <w:sz w:val="21"/>
    </w:rPr>
  </w:style>
  <w:style w:type="paragraph" w:customStyle="1" w:styleId="20">
    <w:name w:val="正文文本 (5)"/>
    <w:basedOn w:val="1"/>
    <w:link w:val="19"/>
    <w:unhideWhenUsed/>
    <w:qFormat/>
    <w:uiPriority w:val="99"/>
    <w:pPr>
      <w:shd w:val="clear" w:color="auto" w:fill="FFFFFF"/>
      <w:spacing w:before="660" w:after="60" w:line="240" w:lineRule="atLeast"/>
      <w:jc w:val="distribute"/>
    </w:pPr>
    <w:rPr>
      <w:rFonts w:ascii="MingLiU" w:hAnsi="MingLiU" w:eastAsia="MingLiU"/>
      <w:sz w:val="21"/>
    </w:rPr>
  </w:style>
  <w:style w:type="character" w:customStyle="1" w:styleId="21">
    <w:name w:val="正文文本 (3)_"/>
    <w:link w:val="22"/>
    <w:unhideWhenUsed/>
    <w:qFormat/>
    <w:locked/>
    <w:uiPriority w:val="99"/>
    <w:rPr>
      <w:rFonts w:ascii="MingLiU" w:hAnsi="MingLiU" w:eastAsia="MingLiU" w:cs="Times New Roman"/>
      <w:spacing w:val="10"/>
      <w:sz w:val="16"/>
    </w:rPr>
  </w:style>
  <w:style w:type="paragraph" w:customStyle="1" w:styleId="22">
    <w:name w:val="正文文本 (3)"/>
    <w:basedOn w:val="1"/>
    <w:link w:val="21"/>
    <w:unhideWhenUsed/>
    <w:qFormat/>
    <w:uiPriority w:val="99"/>
    <w:pPr>
      <w:shd w:val="clear" w:color="auto" w:fill="FFFFFF"/>
      <w:spacing w:after="540" w:line="240" w:lineRule="atLeast"/>
    </w:pPr>
    <w:rPr>
      <w:rFonts w:ascii="MingLiU" w:hAnsi="MingLiU" w:eastAsia="MingLiU"/>
      <w:spacing w:val="10"/>
      <w:sz w:val="16"/>
    </w:rPr>
  </w:style>
  <w:style w:type="character" w:customStyle="1" w:styleId="23">
    <w:name w:val="页眉或页脚 + 间距 0 pt"/>
    <w:unhideWhenUsed/>
    <w:qFormat/>
    <w:uiPriority w:val="99"/>
    <w:rPr>
      <w:rFonts w:ascii="MingLiU" w:hAnsi="MingLiU" w:eastAsia="MingLiU" w:cs="Times New Roman"/>
      <w:spacing w:val="10"/>
      <w:sz w:val="16"/>
    </w:rPr>
  </w:style>
  <w:style w:type="character" w:customStyle="1" w:styleId="24">
    <w:name w:val="标题 #1_"/>
    <w:link w:val="25"/>
    <w:unhideWhenUsed/>
    <w:qFormat/>
    <w:locked/>
    <w:uiPriority w:val="99"/>
    <w:rPr>
      <w:rFonts w:ascii="MingLiU" w:hAnsi="MingLiU" w:eastAsia="MingLiU" w:cs="Times New Roman"/>
      <w:spacing w:val="40"/>
      <w:sz w:val="28"/>
    </w:rPr>
  </w:style>
  <w:style w:type="paragraph" w:customStyle="1" w:styleId="25">
    <w:name w:val="标题 #1"/>
    <w:basedOn w:val="1"/>
    <w:link w:val="24"/>
    <w:unhideWhenUsed/>
    <w:qFormat/>
    <w:uiPriority w:val="99"/>
    <w:pPr>
      <w:shd w:val="clear" w:color="auto" w:fill="FFFFFF"/>
      <w:spacing w:before="540" w:after="540" w:line="240" w:lineRule="atLeast"/>
      <w:jc w:val="center"/>
      <w:outlineLvl w:val="0"/>
    </w:pPr>
    <w:rPr>
      <w:rFonts w:ascii="MingLiU" w:hAnsi="MingLiU" w:eastAsia="MingLiU"/>
      <w:spacing w:val="40"/>
      <w:sz w:val="28"/>
    </w:rPr>
  </w:style>
  <w:style w:type="character" w:customStyle="1" w:styleId="26">
    <w:name w:val="页眉或页脚1"/>
    <w:unhideWhenUsed/>
    <w:qFormat/>
    <w:uiPriority w:val="99"/>
  </w:style>
  <w:style w:type="character" w:customStyle="1" w:styleId="27">
    <w:name w:val="正文文本 (2) + 间距 -2 pt"/>
    <w:unhideWhenUsed/>
    <w:qFormat/>
    <w:uiPriority w:val="99"/>
    <w:rPr>
      <w:rFonts w:ascii="MingLiU" w:hAnsi="MingLiU" w:eastAsia="MingLiU" w:cs="Times New Roman"/>
      <w:spacing w:val="-40"/>
    </w:rPr>
  </w:style>
  <w:style w:type="character" w:customStyle="1" w:styleId="28">
    <w:name w:val="页眉或页脚 + Century Gothic"/>
    <w:unhideWhenUsed/>
    <w:qFormat/>
    <w:uiPriority w:val="99"/>
    <w:rPr>
      <w:rFonts w:ascii="Century Gothic" w:hAnsi="Century Gothic" w:eastAsia="MingLiU" w:cs="Times New Roman"/>
      <w:b/>
      <w:spacing w:val="20"/>
      <w:sz w:val="15"/>
      <w:lang w:val="zh-CN" w:eastAsia="en-US"/>
    </w:rPr>
  </w:style>
  <w:style w:type="character" w:customStyle="1" w:styleId="29">
    <w:name w:val="正文文本 (4)_"/>
    <w:link w:val="30"/>
    <w:unhideWhenUsed/>
    <w:qFormat/>
    <w:locked/>
    <w:uiPriority w:val="99"/>
    <w:rPr>
      <w:rFonts w:ascii="MingLiU" w:hAnsi="MingLiU" w:eastAsia="MingLiU" w:cs="Times New Roman"/>
      <w:sz w:val="20"/>
    </w:rPr>
  </w:style>
  <w:style w:type="paragraph" w:customStyle="1" w:styleId="30">
    <w:name w:val="正文文本 (4)"/>
    <w:basedOn w:val="1"/>
    <w:link w:val="29"/>
    <w:unhideWhenUsed/>
    <w:qFormat/>
    <w:uiPriority w:val="99"/>
    <w:pPr>
      <w:shd w:val="clear" w:color="auto" w:fill="FFFFFF"/>
      <w:spacing w:line="445" w:lineRule="exact"/>
      <w:jc w:val="distribute"/>
    </w:pPr>
    <w:rPr>
      <w:rFonts w:ascii="MingLiU" w:hAnsi="MingLiU" w:eastAsia="MingLiU"/>
      <w:sz w:val="20"/>
    </w:rPr>
  </w:style>
  <w:style w:type="character" w:customStyle="1" w:styleId="31">
    <w:name w:val="表格标题_"/>
    <w:link w:val="32"/>
    <w:unhideWhenUsed/>
    <w:qFormat/>
    <w:locked/>
    <w:uiPriority w:val="99"/>
    <w:rPr>
      <w:rFonts w:ascii="MingLiU" w:hAnsi="MingLiU" w:eastAsia="MingLiU" w:cs="Times New Roman"/>
      <w:sz w:val="20"/>
    </w:rPr>
  </w:style>
  <w:style w:type="paragraph" w:customStyle="1" w:styleId="32">
    <w:name w:val="表格标题"/>
    <w:basedOn w:val="1"/>
    <w:link w:val="31"/>
    <w:unhideWhenUsed/>
    <w:qFormat/>
    <w:uiPriority w:val="99"/>
    <w:pPr>
      <w:shd w:val="clear" w:color="auto" w:fill="FFFFFF"/>
      <w:spacing w:after="120" w:line="240" w:lineRule="atLeast"/>
      <w:jc w:val="distribute"/>
    </w:pPr>
    <w:rPr>
      <w:rFonts w:ascii="MingLiU" w:hAnsi="MingLiU" w:eastAsia="MingLiU"/>
      <w:sz w:val="20"/>
    </w:rPr>
  </w:style>
  <w:style w:type="character" w:customStyle="1" w:styleId="33">
    <w:name w:val="表格标题 + 13 pt"/>
    <w:unhideWhenUsed/>
    <w:qFormat/>
    <w:uiPriority w:val="99"/>
    <w:rPr>
      <w:rFonts w:ascii="MingLiU" w:hAnsi="MingLiU" w:eastAsia="MingLiU" w:cs="Times New Roman"/>
      <w:spacing w:val="-40"/>
      <w:sz w:val="26"/>
      <w:lang w:val="zh-CN" w:eastAsia="en-US"/>
    </w:rPr>
  </w:style>
  <w:style w:type="character" w:customStyle="1" w:styleId="34">
    <w:name w:val="页眉或页脚 + Garamond"/>
    <w:unhideWhenUsed/>
    <w:qFormat/>
    <w:uiPriority w:val="99"/>
    <w:rPr>
      <w:rFonts w:ascii="Garamond" w:hAnsi="Garamond" w:eastAsia="MingLiU" w:cs="Times New Roman"/>
      <w:b/>
      <w:spacing w:val="20"/>
      <w:sz w:val="20"/>
      <w:lang w:val="zh-CN" w:eastAsia="en-US"/>
    </w:rPr>
  </w:style>
  <w:style w:type="character" w:customStyle="1" w:styleId="35">
    <w:name w:val="正文文本 (2)1"/>
    <w:unhideWhenUsed/>
    <w:qFormat/>
    <w:uiPriority w:val="99"/>
    <w:rPr>
      <w:rFonts w:ascii="MingLiU" w:hAnsi="MingLiU" w:eastAsia="MingLiU" w:cs="Times New Roman"/>
      <w:lang w:val="zh-CN" w:eastAsia="en-US"/>
    </w:rPr>
  </w:style>
  <w:style w:type="character" w:customStyle="1" w:styleId="36">
    <w:name w:val="正文文本 (6)_"/>
    <w:link w:val="37"/>
    <w:unhideWhenUsed/>
    <w:qFormat/>
    <w:locked/>
    <w:uiPriority w:val="99"/>
    <w:rPr>
      <w:rFonts w:ascii="MingLiU" w:hAnsi="MingLiU" w:eastAsia="MingLiU" w:cs="Times New Roman"/>
      <w:sz w:val="22"/>
    </w:rPr>
  </w:style>
  <w:style w:type="paragraph" w:customStyle="1" w:styleId="37">
    <w:name w:val="正文文本 (6)"/>
    <w:basedOn w:val="1"/>
    <w:link w:val="36"/>
    <w:unhideWhenUsed/>
    <w:qFormat/>
    <w:uiPriority w:val="99"/>
    <w:pPr>
      <w:shd w:val="clear" w:color="auto" w:fill="FFFFFF"/>
      <w:spacing w:before="60" w:after="240" w:line="240" w:lineRule="atLeast"/>
      <w:ind w:hanging="420"/>
      <w:jc w:val="distribute"/>
    </w:pPr>
    <w:rPr>
      <w:rFonts w:ascii="MingLiU" w:hAnsi="MingLiU" w:eastAsia="MingLiU"/>
      <w:sz w:val="22"/>
    </w:rPr>
  </w:style>
  <w:style w:type="character" w:customStyle="1" w:styleId="38">
    <w:name w:val="页脚 Char"/>
    <w:link w:val="6"/>
    <w:semiHidden/>
    <w:qFormat/>
    <w:locked/>
    <w:uiPriority w:val="99"/>
    <w:rPr>
      <w:rFonts w:ascii="MingLiU_HKSCS" w:hAnsi="MingLiU_HKSCS" w:eastAsia="MingLiU_HKSCS" w:cs="Times New Roman"/>
      <w:color w:val="000000"/>
      <w:kern w:val="0"/>
      <w:sz w:val="18"/>
      <w:szCs w:val="18"/>
      <w:lang w:val="zh-TW" w:eastAsia="zh-TW"/>
    </w:rPr>
  </w:style>
  <w:style w:type="character" w:customStyle="1" w:styleId="39">
    <w:name w:val="页眉 Char"/>
    <w:link w:val="7"/>
    <w:semiHidden/>
    <w:qFormat/>
    <w:locked/>
    <w:uiPriority w:val="99"/>
    <w:rPr>
      <w:rFonts w:ascii="MingLiU_HKSCS" w:hAnsi="MingLiU_HKSCS" w:eastAsia="MingLiU_HKSCS" w:cs="Times New Roman"/>
      <w:color w:val="000000"/>
      <w:kern w:val="0"/>
      <w:sz w:val="18"/>
      <w:szCs w:val="18"/>
      <w:lang w:val="zh-TW" w:eastAsia="zh-TW"/>
    </w:rPr>
  </w:style>
  <w:style w:type="character" w:customStyle="1" w:styleId="40">
    <w:name w:val="正文文本 Char"/>
    <w:link w:val="5"/>
    <w:qFormat/>
    <w:uiPriority w:val="0"/>
    <w:rPr>
      <w:rFonts w:ascii="仿宋" w:hAnsi="仿宋" w:eastAsia="仿宋" w:cs="仿宋"/>
      <w:snapToGrid w:val="0"/>
      <w:color w:val="000000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1908</Words>
  <Characters>2024</Characters>
  <Lines>15</Lines>
  <Paragraphs>4</Paragraphs>
  <TotalTime>11</TotalTime>
  <ScaleCrop>false</ScaleCrop>
  <LinksUpToDate>false</LinksUpToDate>
  <CharactersWithSpaces>2026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2024-02-21T08:18:00Z</dcterms:created>
  <dc:creator>Administrator</dc:creator>
  <cp:lastModifiedBy>China</cp:lastModifiedBy>
  <cp:lastPrinted>2024-02-21T07:37:00Z</cp:lastPrinted>
  <dcterms:modified xsi:type="dcterms:W3CDTF">2025-06-03T03:18:09Z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29B9BB74DB1E47C6A64086F94217C5D2_13</vt:lpwstr>
  </property>
  <property fmtid="{D5CDD505-2E9C-101B-9397-08002B2CF9AE}" pid="4" name="KSOTemplateDocerSaveRecord">
    <vt:lpwstr>eyJoZGlkIjoiNjhhMmEzYTFjYzRiM2RhOWY1ZjUyOGUwZmVlNTcyMTIifQ==</vt:lpwstr>
  </property>
</Properties>
</file>