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77CEAA">
      <w:pPr>
        <w:spacing w:afterLines="50"/>
        <w:jc w:val="center"/>
        <w:rPr>
          <w:rFonts w:ascii="Times New Roman" w:cs="Times New Roman"/>
          <w:b/>
          <w:sz w:val="30"/>
          <w:szCs w:val="30"/>
        </w:rPr>
      </w:pPr>
      <w:r>
        <w:rPr>
          <w:rFonts w:hint="eastAsia" w:ascii="Times New Roman" w:cs="Times New Roman"/>
          <w:b/>
          <w:sz w:val="30"/>
          <w:szCs w:val="30"/>
        </w:rPr>
        <w:t>株洲市生态环境局醴陵分局</w:t>
      </w:r>
    </w:p>
    <w:p w14:paraId="367CA8F8">
      <w:pPr>
        <w:spacing w:afterLines="150"/>
        <w:jc w:val="center"/>
        <w:rPr>
          <w:rFonts w:ascii="Times New Roman" w:cs="Times New Roman"/>
          <w:b/>
          <w:sz w:val="30"/>
          <w:szCs w:val="30"/>
        </w:rPr>
      </w:pPr>
      <w:r>
        <w:rPr>
          <w:rFonts w:hint="eastAsia" w:ascii="Times New Roman" w:cs="Times New Roman"/>
          <w:b/>
          <w:sz w:val="30"/>
          <w:szCs w:val="30"/>
        </w:rPr>
        <w:t>2025年度农村环境质量监测方案</w:t>
      </w:r>
    </w:p>
    <w:p w14:paraId="1138A539">
      <w:pPr>
        <w:spacing w:line="360" w:lineRule="auto"/>
        <w:ind w:firstLine="480" w:firstLineChars="200"/>
        <w:rPr>
          <w:rFonts w:ascii="Times New Roman" w:hAnsi="Times New Roman" w:cs="Times New Roman" w:eastAsiaTheme="majorEastAsia"/>
          <w:sz w:val="24"/>
          <w:szCs w:val="24"/>
        </w:rPr>
      </w:pPr>
      <w:r>
        <w:rPr>
          <w:rFonts w:ascii="Times New Roman" w:hAnsi="Times New Roman" w:cs="Times New Roman" w:eastAsiaTheme="majorEastAsia"/>
          <w:sz w:val="24"/>
          <w:szCs w:val="24"/>
        </w:rPr>
        <w:t>根据</w:t>
      </w:r>
      <w:r>
        <w:rPr>
          <w:rFonts w:hint="eastAsia" w:ascii="Times New Roman" w:hAnsi="Times New Roman" w:cs="Times New Roman" w:eastAsiaTheme="majorEastAsia"/>
          <w:sz w:val="24"/>
          <w:szCs w:val="24"/>
        </w:rPr>
        <w:t>上级生态环境管理部门和生态环境监测部门的监测方案，醴陵市2025年度继续进行农村环境质量监测，</w:t>
      </w:r>
      <w:r>
        <w:rPr>
          <w:rFonts w:ascii="Times New Roman" w:hAnsi="Times New Roman" w:cs="Times New Roman" w:eastAsiaTheme="majorEastAsia"/>
          <w:sz w:val="24"/>
          <w:szCs w:val="24"/>
        </w:rPr>
        <w:t>因</w:t>
      </w:r>
      <w:r>
        <w:rPr>
          <w:rFonts w:hint="eastAsia" w:ascii="Times New Roman" w:hAnsi="Times New Roman" w:cs="Times New Roman" w:eastAsiaTheme="majorEastAsia"/>
          <w:sz w:val="24"/>
          <w:szCs w:val="24"/>
        </w:rPr>
        <w:t>株洲市</w:t>
      </w:r>
      <w:r>
        <w:rPr>
          <w:rFonts w:ascii="Times New Roman" w:hAnsi="Times New Roman" w:cs="Times New Roman" w:eastAsiaTheme="majorEastAsia"/>
          <w:sz w:val="24"/>
          <w:szCs w:val="24"/>
        </w:rPr>
        <w:t>醴陵市</w:t>
      </w:r>
      <w:r>
        <w:rPr>
          <w:rFonts w:hint="eastAsia" w:ascii="Times New Roman" w:hAnsi="Times New Roman" w:cs="Times New Roman" w:eastAsiaTheme="majorEastAsia"/>
          <w:sz w:val="24"/>
          <w:szCs w:val="24"/>
        </w:rPr>
        <w:t>生态</w:t>
      </w:r>
      <w:r>
        <w:rPr>
          <w:rFonts w:ascii="Times New Roman" w:hAnsi="Times New Roman" w:cs="Times New Roman" w:eastAsiaTheme="majorEastAsia"/>
          <w:sz w:val="24"/>
          <w:szCs w:val="24"/>
        </w:rPr>
        <w:t>环境监测站</w:t>
      </w:r>
      <w:r>
        <w:rPr>
          <w:rFonts w:hint="eastAsia" w:ascii="Times New Roman" w:hAnsi="Times New Roman" w:cs="Times New Roman" w:eastAsiaTheme="majorEastAsia"/>
          <w:sz w:val="24"/>
          <w:szCs w:val="24"/>
        </w:rPr>
        <w:t>的技术</w:t>
      </w:r>
      <w:r>
        <w:rPr>
          <w:rFonts w:ascii="Times New Roman" w:hAnsi="Times New Roman" w:cs="Times New Roman" w:eastAsiaTheme="majorEastAsia"/>
          <w:sz w:val="24"/>
          <w:szCs w:val="24"/>
        </w:rPr>
        <w:t>人员、</w:t>
      </w:r>
      <w:r>
        <w:rPr>
          <w:rFonts w:hint="eastAsia" w:ascii="Times New Roman" w:hAnsi="Times New Roman" w:cs="Times New Roman" w:eastAsiaTheme="majorEastAsia"/>
          <w:sz w:val="24"/>
          <w:szCs w:val="24"/>
        </w:rPr>
        <w:t>监测</w:t>
      </w:r>
      <w:r>
        <w:rPr>
          <w:rFonts w:ascii="Times New Roman" w:hAnsi="Times New Roman" w:cs="Times New Roman" w:eastAsiaTheme="majorEastAsia"/>
          <w:sz w:val="24"/>
          <w:szCs w:val="24"/>
        </w:rPr>
        <w:t>设备</w:t>
      </w:r>
      <w:r>
        <w:rPr>
          <w:rFonts w:hint="eastAsia" w:ascii="Times New Roman" w:hAnsi="Times New Roman" w:cs="Times New Roman" w:eastAsiaTheme="majorEastAsia"/>
          <w:sz w:val="24"/>
          <w:szCs w:val="24"/>
        </w:rPr>
        <w:t>等</w:t>
      </w:r>
      <w:r>
        <w:rPr>
          <w:rFonts w:ascii="Times New Roman" w:hAnsi="Times New Roman" w:cs="Times New Roman" w:eastAsiaTheme="majorEastAsia"/>
          <w:sz w:val="24"/>
          <w:szCs w:val="24"/>
        </w:rPr>
        <w:t>监测能力都无法完成这个工作，需要委托社会环境检测机构进行监测，株洲市生态环境局醴陵分局根据工作需要，特拟定如</w:t>
      </w:r>
      <w:r>
        <w:rPr>
          <w:rFonts w:hint="eastAsia" w:ascii="Times New Roman" w:hAnsi="Times New Roman" w:cs="Times New Roman" w:eastAsiaTheme="majorEastAsia"/>
          <w:sz w:val="24"/>
          <w:szCs w:val="24"/>
        </w:rPr>
        <w:t>下农村环境质量</w:t>
      </w:r>
      <w:r>
        <w:rPr>
          <w:rFonts w:ascii="Times New Roman" w:hAnsi="Times New Roman" w:cs="Times New Roman" w:eastAsiaTheme="majorEastAsia"/>
          <w:sz w:val="24"/>
          <w:szCs w:val="24"/>
        </w:rPr>
        <w:t>监测方案。</w:t>
      </w:r>
    </w:p>
    <w:p w14:paraId="58289DFF">
      <w:pPr>
        <w:spacing w:line="360" w:lineRule="auto"/>
        <w:rPr>
          <w:rFonts w:ascii="Times New Roman" w:hAnsi="Times New Roman" w:cs="Times New Roman" w:eastAsiaTheme="majorEastAsia"/>
          <w:b/>
          <w:sz w:val="24"/>
          <w:szCs w:val="24"/>
        </w:rPr>
      </w:pPr>
      <w:r>
        <w:rPr>
          <w:rFonts w:ascii="Times New Roman" w:hAnsi="Times New Roman" w:cs="Times New Roman" w:eastAsiaTheme="majorEastAsia"/>
          <w:b/>
          <w:sz w:val="24"/>
          <w:szCs w:val="24"/>
        </w:rPr>
        <w:t>一、监测时间</w:t>
      </w:r>
    </w:p>
    <w:p w14:paraId="2AF90178">
      <w:pPr>
        <w:tabs>
          <w:tab w:val="left" w:pos="1206"/>
        </w:tabs>
        <w:spacing w:line="360" w:lineRule="auto"/>
        <w:rPr>
          <w:rFonts w:ascii="Times New Roman" w:hAnsi="Times New Roman" w:cs="Times New Roman" w:eastAsiaTheme="majorEastAsia"/>
          <w:kern w:val="0"/>
          <w:sz w:val="24"/>
          <w:szCs w:val="24"/>
        </w:rPr>
      </w:pPr>
      <w:r>
        <w:rPr>
          <w:rFonts w:hint="eastAsia" w:ascii="Times New Roman" w:hAnsi="Times New Roman" w:cs="Times New Roman" w:eastAsiaTheme="majorEastAsia"/>
          <w:sz w:val="24"/>
          <w:szCs w:val="24"/>
        </w:rPr>
        <w:t>本方案监测时间为2025年4月1日</w:t>
      </w:r>
      <w:r>
        <w:rPr>
          <w:rFonts w:hint="eastAsia" w:cs="Times New Roman" w:asciiTheme="majorEastAsia" w:hAnsiTheme="majorEastAsia" w:eastAsiaTheme="majorEastAsia"/>
          <w:sz w:val="24"/>
          <w:szCs w:val="24"/>
        </w:rPr>
        <w:t>～</w:t>
      </w:r>
      <w:r>
        <w:rPr>
          <w:rFonts w:hint="eastAsia" w:ascii="Times New Roman" w:hAnsi="Times New Roman" w:cs="Times New Roman" w:eastAsiaTheme="majorEastAsia"/>
          <w:sz w:val="24"/>
          <w:szCs w:val="24"/>
        </w:rPr>
        <w:t>2026年3月31日共四个季度</w:t>
      </w:r>
      <w:r>
        <w:rPr>
          <w:rFonts w:ascii="Times New Roman" w:hAnsi="Times New Roman" w:cs="Times New Roman" w:eastAsiaTheme="majorEastAsia"/>
          <w:kern w:val="0"/>
          <w:sz w:val="24"/>
          <w:szCs w:val="24"/>
        </w:rPr>
        <w:t>。</w:t>
      </w:r>
    </w:p>
    <w:p w14:paraId="1EA568FC">
      <w:pPr>
        <w:tabs>
          <w:tab w:val="left" w:pos="1206"/>
        </w:tabs>
        <w:spacing w:line="360" w:lineRule="auto"/>
        <w:rPr>
          <w:rFonts w:ascii="Times New Roman" w:hAnsi="Times New Roman" w:cs="Times New Roman" w:eastAsiaTheme="majorEastAsia"/>
          <w:b/>
          <w:kern w:val="0"/>
          <w:sz w:val="24"/>
          <w:szCs w:val="24"/>
        </w:rPr>
      </w:pPr>
      <w:r>
        <w:rPr>
          <w:rFonts w:ascii="Times New Roman" w:hAnsi="Times New Roman" w:cs="Times New Roman" w:eastAsiaTheme="majorEastAsia"/>
          <w:b/>
          <w:kern w:val="0"/>
          <w:sz w:val="24"/>
          <w:szCs w:val="24"/>
        </w:rPr>
        <w:t>二、</w:t>
      </w:r>
      <w:r>
        <w:rPr>
          <w:rFonts w:hint="eastAsia" w:ascii="Times New Roman" w:hAnsi="Times New Roman" w:cs="Times New Roman" w:eastAsiaTheme="majorEastAsia"/>
          <w:b/>
          <w:kern w:val="0"/>
          <w:sz w:val="24"/>
          <w:szCs w:val="24"/>
        </w:rPr>
        <w:t>监测点位、监测频次、监测因子</w:t>
      </w:r>
    </w:p>
    <w:p w14:paraId="502FC6FF">
      <w:pPr>
        <w:tabs>
          <w:tab w:val="left" w:pos="1206"/>
        </w:tabs>
        <w:spacing w:line="360" w:lineRule="auto"/>
        <w:rPr>
          <w:rFonts w:ascii="Times New Roman" w:hAnsi="Times New Roman" w:cs="Times New Roman" w:eastAsiaTheme="majorEastAsia"/>
          <w:kern w:val="0"/>
          <w:sz w:val="24"/>
          <w:szCs w:val="24"/>
        </w:rPr>
      </w:pPr>
      <w:r>
        <w:rPr>
          <w:rFonts w:hint="eastAsia" w:ascii="Times New Roman" w:hAnsi="Times New Roman" w:cs="Times New Roman" w:eastAsiaTheme="majorEastAsia"/>
          <w:kern w:val="0"/>
          <w:sz w:val="24"/>
          <w:szCs w:val="24"/>
        </w:rPr>
        <w:t>1、千吨万人饮用水源水质监测</w:t>
      </w:r>
    </w:p>
    <w:p w14:paraId="4F792B81">
      <w:pPr>
        <w:tabs>
          <w:tab w:val="left" w:pos="1206"/>
        </w:tabs>
        <w:spacing w:line="360" w:lineRule="auto"/>
        <w:rPr>
          <w:rFonts w:ascii="Times New Roman" w:hAnsi="Times New Roman" w:cs="Times New Roman" w:eastAsiaTheme="majorEastAsia"/>
          <w:kern w:val="0"/>
          <w:sz w:val="24"/>
          <w:szCs w:val="24"/>
        </w:rPr>
      </w:pPr>
      <w:r>
        <w:rPr>
          <w:rFonts w:hint="eastAsia" w:ascii="Times New Roman" w:hAnsi="Times New Roman" w:cs="Times New Roman" w:eastAsiaTheme="majorEastAsia"/>
          <w:kern w:val="0"/>
          <w:sz w:val="24"/>
          <w:szCs w:val="24"/>
        </w:rPr>
        <w:t>（1）监测点位：</w:t>
      </w:r>
      <w:r>
        <w:rPr>
          <w:rFonts w:hint="eastAsia" w:ascii="Times New Roman" w:hAnsi="Times New Roman" w:cs="Times New Roman"/>
          <w:sz w:val="24"/>
          <w:szCs w:val="24"/>
        </w:rPr>
        <w:t>13</w:t>
      </w:r>
      <w:r>
        <w:rPr>
          <w:rFonts w:ascii="Times New Roman" w:hAnsi="Times New Roman" w:cs="Times New Roman"/>
          <w:sz w:val="24"/>
          <w:szCs w:val="24"/>
        </w:rPr>
        <w:t>个地表水保护区</w:t>
      </w:r>
      <w:r>
        <w:rPr>
          <w:rFonts w:hint="eastAsia" w:ascii="Times New Roman" w:hAnsi="Times New Roman" w:cs="Times New Roman"/>
          <w:sz w:val="24"/>
          <w:szCs w:val="24"/>
        </w:rPr>
        <w:t>和1</w:t>
      </w:r>
      <w:r>
        <w:rPr>
          <w:rFonts w:ascii="Times New Roman" w:hAnsi="Times New Roman" w:cs="Times New Roman"/>
          <w:sz w:val="24"/>
          <w:szCs w:val="24"/>
        </w:rPr>
        <w:t>个地下水保护区</w:t>
      </w:r>
      <w:r>
        <w:rPr>
          <w:rFonts w:ascii="Times New Roman" w:hAnsi="Times New Roman" w:cs="Times New Roman" w:eastAsiaTheme="majorEastAsia"/>
          <w:kern w:val="0"/>
          <w:sz w:val="24"/>
          <w:szCs w:val="24"/>
        </w:rPr>
        <w:t>；</w:t>
      </w:r>
    </w:p>
    <w:p w14:paraId="39E9ABA1">
      <w:pPr>
        <w:spacing w:line="360" w:lineRule="auto"/>
        <w:rPr>
          <w:rFonts w:ascii="Times New Roman" w:hAnsi="Times New Roman" w:cs="Times New Roman" w:eastAsiaTheme="majorEastAsia"/>
          <w:kern w:val="0"/>
          <w:sz w:val="24"/>
          <w:szCs w:val="24"/>
        </w:rPr>
      </w:pPr>
      <w:r>
        <w:rPr>
          <w:rFonts w:hint="eastAsia" w:ascii="Times New Roman" w:hAnsi="Times New Roman" w:cs="Times New Roman" w:eastAsiaTheme="majorEastAsia"/>
          <w:kern w:val="0"/>
          <w:sz w:val="24"/>
          <w:szCs w:val="24"/>
        </w:rPr>
        <w:t>（2）监测频次</w:t>
      </w:r>
      <w:r>
        <w:rPr>
          <w:rFonts w:ascii="Times New Roman" w:hAnsi="Times New Roman" w:cs="Times New Roman" w:eastAsiaTheme="majorEastAsia"/>
          <w:kern w:val="0"/>
          <w:sz w:val="24"/>
          <w:szCs w:val="24"/>
        </w:rPr>
        <w:t>：</w:t>
      </w:r>
      <w:r>
        <w:rPr>
          <w:rFonts w:ascii="Times New Roman" w:hAnsi="Times New Roman" w:cs="Times New Roman"/>
          <w:sz w:val="24"/>
          <w:szCs w:val="24"/>
        </w:rPr>
        <w:t>地表水保护区</w:t>
      </w:r>
      <w:r>
        <w:rPr>
          <w:rFonts w:hint="eastAsia" w:ascii="Times New Roman" w:hAnsi="Times New Roman" w:cs="Times New Roman"/>
          <w:sz w:val="24"/>
          <w:szCs w:val="24"/>
        </w:rPr>
        <w:t>每季度监测一次，</w:t>
      </w:r>
      <w:r>
        <w:rPr>
          <w:rFonts w:ascii="Times New Roman" w:hAnsi="Times New Roman" w:cs="Times New Roman"/>
          <w:sz w:val="24"/>
          <w:szCs w:val="24"/>
        </w:rPr>
        <w:t>地下水保护区</w:t>
      </w:r>
      <w:r>
        <w:rPr>
          <w:rFonts w:hint="eastAsia" w:ascii="Times New Roman" w:hAnsi="Times New Roman" w:cs="Times New Roman"/>
          <w:sz w:val="24"/>
          <w:szCs w:val="24"/>
        </w:rPr>
        <w:t>每半年</w:t>
      </w:r>
      <w:r>
        <w:rPr>
          <w:rFonts w:ascii="Times New Roman" w:hAnsi="Times New Roman" w:cs="Times New Roman"/>
          <w:sz w:val="24"/>
          <w:szCs w:val="24"/>
        </w:rPr>
        <w:t>监测一次</w:t>
      </w:r>
      <w:r>
        <w:rPr>
          <w:rFonts w:ascii="Times New Roman" w:hAnsi="Times New Roman" w:cs="Times New Roman" w:eastAsiaTheme="majorEastAsia"/>
          <w:kern w:val="0"/>
          <w:sz w:val="24"/>
          <w:szCs w:val="24"/>
        </w:rPr>
        <w:t>；</w:t>
      </w:r>
    </w:p>
    <w:p w14:paraId="39B25E0E">
      <w:pPr>
        <w:spacing w:line="360" w:lineRule="auto"/>
        <w:rPr>
          <w:rFonts w:ascii="Times New Roman" w:hAnsi="Times New Roman" w:cs="Times New Roman" w:eastAsiaTheme="majorEastAsia"/>
          <w:kern w:val="0"/>
          <w:sz w:val="24"/>
          <w:szCs w:val="24"/>
        </w:rPr>
      </w:pPr>
      <w:r>
        <w:rPr>
          <w:rFonts w:hint="eastAsia" w:ascii="Times New Roman" w:hAnsi="Times New Roman" w:cs="Times New Roman" w:eastAsiaTheme="majorEastAsia"/>
          <w:kern w:val="0"/>
          <w:sz w:val="24"/>
          <w:szCs w:val="24"/>
        </w:rPr>
        <w:t>（3）监测因子</w:t>
      </w:r>
      <w:r>
        <w:rPr>
          <w:rFonts w:ascii="Times New Roman" w:hAnsi="Times New Roman" w:cs="Times New Roman" w:eastAsiaTheme="majorEastAsia"/>
          <w:kern w:val="0"/>
          <w:sz w:val="24"/>
          <w:szCs w:val="24"/>
        </w:rPr>
        <w:t>：</w:t>
      </w:r>
      <w:r>
        <w:rPr>
          <w:rFonts w:ascii="Times New Roman" w:hAnsi="Times New Roman" w:cs="Times New Roman"/>
          <w:sz w:val="24"/>
          <w:szCs w:val="24"/>
        </w:rPr>
        <w:t>地</w:t>
      </w:r>
      <w:r>
        <w:rPr>
          <w:rFonts w:hint="eastAsia" w:ascii="Times New Roman" w:hAnsi="Times New Roman" w:cs="Times New Roman"/>
          <w:sz w:val="24"/>
          <w:szCs w:val="24"/>
        </w:rPr>
        <w:t>表</w:t>
      </w:r>
      <w:r>
        <w:rPr>
          <w:rFonts w:ascii="Times New Roman" w:hAnsi="Times New Roman" w:cs="Times New Roman"/>
          <w:sz w:val="24"/>
          <w:szCs w:val="24"/>
        </w:rPr>
        <w:t>水保护区</w:t>
      </w:r>
      <w:r>
        <w:rPr>
          <w:rFonts w:hint="eastAsia" w:ascii="Times New Roman" w:hAnsi="Times New Roman" w:cs="Times New Roman"/>
          <w:sz w:val="24"/>
          <w:szCs w:val="24"/>
        </w:rPr>
        <w:t>监测《地表水环境质量标准》（GB3838-2002）表1和表2的29项指标，</w:t>
      </w:r>
      <w:r>
        <w:rPr>
          <w:rFonts w:ascii="Times New Roman" w:hAnsi="Times New Roman" w:cs="Times New Roman"/>
          <w:sz w:val="24"/>
          <w:szCs w:val="24"/>
        </w:rPr>
        <w:t>地下水保护区</w:t>
      </w:r>
      <w:r>
        <w:rPr>
          <w:rFonts w:hint="eastAsia" w:ascii="Times New Roman" w:hAnsi="Times New Roman" w:cs="Times New Roman"/>
          <w:sz w:val="24"/>
          <w:szCs w:val="24"/>
        </w:rPr>
        <w:t>监测</w:t>
      </w:r>
      <w:r>
        <w:rPr>
          <w:rFonts w:ascii="Times New Roman" w:hAnsi="Times New Roman" w:cs="Times New Roman"/>
          <w:sz w:val="24"/>
          <w:szCs w:val="24"/>
        </w:rPr>
        <w:t>《地下水质量标准》（GB/T 14848-2017）表1中</w:t>
      </w:r>
      <w:r>
        <w:rPr>
          <w:rFonts w:hint="eastAsia" w:ascii="Times New Roman" w:hAnsi="Times New Roman" w:cs="Times New Roman"/>
          <w:sz w:val="24"/>
          <w:szCs w:val="24"/>
        </w:rPr>
        <w:t>前</w:t>
      </w:r>
      <w:r>
        <w:rPr>
          <w:rFonts w:ascii="Times New Roman" w:hAnsi="Times New Roman" w:cs="Times New Roman"/>
          <w:sz w:val="24"/>
          <w:szCs w:val="24"/>
        </w:rPr>
        <w:t>3</w:t>
      </w:r>
      <w:r>
        <w:rPr>
          <w:rFonts w:hint="eastAsia" w:ascii="Times New Roman" w:hAnsi="Times New Roman" w:cs="Times New Roman"/>
          <w:sz w:val="24"/>
          <w:szCs w:val="24"/>
        </w:rPr>
        <w:t>7</w:t>
      </w:r>
      <w:r>
        <w:rPr>
          <w:rFonts w:ascii="Times New Roman" w:hAnsi="Times New Roman" w:cs="Times New Roman"/>
          <w:sz w:val="24"/>
          <w:szCs w:val="24"/>
        </w:rPr>
        <w:t>项常规指标。</w:t>
      </w:r>
    </w:p>
    <w:p w14:paraId="74D77269">
      <w:pPr>
        <w:spacing w:line="360" w:lineRule="auto"/>
        <w:jc w:val="left"/>
        <w:rPr>
          <w:rFonts w:ascii="Times New Roman" w:cs="Times New Roman"/>
          <w:sz w:val="24"/>
          <w:szCs w:val="24"/>
        </w:rPr>
      </w:pPr>
      <w:r>
        <w:rPr>
          <w:rFonts w:hint="eastAsia" w:ascii="Times New Roman" w:cs="Times New Roman"/>
          <w:sz w:val="24"/>
          <w:szCs w:val="24"/>
        </w:rPr>
        <w:t>2、</w:t>
      </w:r>
      <w:r>
        <w:rPr>
          <w:rFonts w:hint="eastAsia" w:ascii="Times New Roman" w:hAnsi="Times New Roman" w:cs="Times New Roman"/>
          <w:sz w:val="24"/>
          <w:szCs w:val="24"/>
        </w:rPr>
        <w:t>千</w:t>
      </w:r>
      <w:r>
        <w:rPr>
          <w:rFonts w:ascii="Times New Roman" w:hAnsi="Times New Roman" w:cs="Times New Roman"/>
          <w:sz w:val="24"/>
          <w:szCs w:val="24"/>
        </w:rPr>
        <w:t>人</w:t>
      </w:r>
      <w:r>
        <w:rPr>
          <w:rFonts w:hint="eastAsia" w:ascii="Times New Roman" w:hAnsi="Times New Roman" w:cs="Times New Roman"/>
          <w:sz w:val="24"/>
          <w:szCs w:val="24"/>
        </w:rPr>
        <w:t>以上村庄</w:t>
      </w:r>
      <w:r>
        <w:rPr>
          <w:rFonts w:ascii="Times New Roman" w:hAnsi="Times New Roman" w:cs="Times New Roman"/>
          <w:sz w:val="24"/>
          <w:szCs w:val="24"/>
        </w:rPr>
        <w:t>饮用水源地水质监测</w:t>
      </w:r>
    </w:p>
    <w:p w14:paraId="7F894682">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（1）监测点位：</w:t>
      </w:r>
      <w:r>
        <w:rPr>
          <w:rFonts w:hint="eastAsia" w:ascii="Times New Roman" w:hAnsi="Times New Roman" w:cs="Times New Roman"/>
          <w:sz w:val="24"/>
          <w:szCs w:val="24"/>
        </w:rPr>
        <w:t>8个地表水/31个地下水饮用水源保护区</w:t>
      </w:r>
      <w:r>
        <w:rPr>
          <w:rFonts w:hint="eastAsia" w:ascii="Times New Roman" w:hAnsi="Times New Roman" w:cs="Times New Roman" w:eastAsiaTheme="majorEastAsia"/>
          <w:kern w:val="0"/>
          <w:sz w:val="24"/>
          <w:szCs w:val="24"/>
        </w:rPr>
        <w:t>；</w:t>
      </w:r>
    </w:p>
    <w:p w14:paraId="215F3DCD">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（2）监测频次：每半年监测一次；</w:t>
      </w:r>
    </w:p>
    <w:p w14:paraId="563640AC">
      <w:pPr>
        <w:spacing w:line="360" w:lineRule="auto"/>
        <w:jc w:val="left"/>
        <w:rPr>
          <w:rFonts w:ascii="Times New Roman" w:hAnsi="Times New Roman" w:cs="Times New Roman"/>
          <w:sz w:val="24"/>
          <w:szCs w:val="24"/>
        </w:rPr>
      </w:pPr>
      <w:r>
        <w:rPr>
          <w:rFonts w:hint="eastAsia" w:ascii="Times New Roman" w:hAnsi="Times New Roman" w:cs="Times New Roman" w:eastAsiaTheme="majorEastAsia"/>
          <w:kern w:val="0"/>
          <w:sz w:val="24"/>
          <w:szCs w:val="24"/>
        </w:rPr>
        <w:t>（3）监测因子</w:t>
      </w:r>
      <w:r>
        <w:rPr>
          <w:rFonts w:ascii="Times New Roman" w:hAnsi="Times New Roman" w:cs="Times New Roman" w:eastAsiaTheme="majorEastAsia"/>
          <w:kern w:val="0"/>
          <w:sz w:val="24"/>
          <w:szCs w:val="24"/>
        </w:rPr>
        <w:t>：</w:t>
      </w:r>
      <w:r>
        <w:rPr>
          <w:rFonts w:ascii="Times New Roman" w:hAnsi="Times New Roman" w:cs="Times New Roman"/>
          <w:sz w:val="24"/>
          <w:szCs w:val="24"/>
        </w:rPr>
        <w:t>地</w:t>
      </w:r>
      <w:r>
        <w:rPr>
          <w:rFonts w:hint="eastAsia" w:ascii="Times New Roman" w:hAnsi="Times New Roman" w:cs="Times New Roman"/>
          <w:sz w:val="24"/>
          <w:szCs w:val="24"/>
        </w:rPr>
        <w:t>表</w:t>
      </w:r>
      <w:r>
        <w:rPr>
          <w:rFonts w:ascii="Times New Roman" w:hAnsi="Times New Roman" w:cs="Times New Roman"/>
          <w:sz w:val="24"/>
          <w:szCs w:val="24"/>
        </w:rPr>
        <w:t>水保护区</w:t>
      </w:r>
      <w:r>
        <w:rPr>
          <w:rFonts w:hint="eastAsia" w:ascii="Times New Roman" w:hAnsi="Times New Roman" w:cs="Times New Roman"/>
          <w:sz w:val="24"/>
          <w:szCs w:val="24"/>
        </w:rPr>
        <w:t>监测《地表水环境质量标准》（GB3838-2002）表1和表2的29项指标，</w:t>
      </w:r>
      <w:r>
        <w:rPr>
          <w:rFonts w:ascii="Times New Roman" w:hAnsi="Times New Roman" w:cs="Times New Roman"/>
          <w:sz w:val="24"/>
          <w:szCs w:val="24"/>
        </w:rPr>
        <w:t>地下水保护区</w:t>
      </w:r>
      <w:r>
        <w:rPr>
          <w:rFonts w:hint="eastAsia" w:ascii="Times New Roman" w:hAnsi="Times New Roman" w:cs="Times New Roman"/>
          <w:sz w:val="24"/>
          <w:szCs w:val="24"/>
        </w:rPr>
        <w:t>监测</w:t>
      </w:r>
      <w:r>
        <w:rPr>
          <w:rFonts w:ascii="Times New Roman" w:hAnsi="Times New Roman" w:cs="Times New Roman"/>
          <w:sz w:val="24"/>
          <w:szCs w:val="24"/>
        </w:rPr>
        <w:t>《地下水质量标准》（GB/T 14848-2017）表1中</w:t>
      </w:r>
      <w:r>
        <w:rPr>
          <w:rFonts w:hint="eastAsia" w:ascii="Times New Roman" w:hAnsi="Times New Roman" w:cs="Times New Roman"/>
          <w:sz w:val="24"/>
          <w:szCs w:val="24"/>
        </w:rPr>
        <w:t>前</w:t>
      </w:r>
      <w:r>
        <w:rPr>
          <w:rFonts w:ascii="Times New Roman" w:hAnsi="Times New Roman" w:cs="Times New Roman"/>
          <w:sz w:val="24"/>
          <w:szCs w:val="24"/>
        </w:rPr>
        <w:t>3</w:t>
      </w:r>
      <w:r>
        <w:rPr>
          <w:rFonts w:hint="eastAsia" w:ascii="Times New Roman" w:hAnsi="Times New Roman" w:cs="Times New Roman"/>
          <w:sz w:val="24"/>
          <w:szCs w:val="24"/>
        </w:rPr>
        <w:t>7</w:t>
      </w:r>
      <w:r>
        <w:rPr>
          <w:rFonts w:ascii="Times New Roman" w:hAnsi="Times New Roman" w:cs="Times New Roman"/>
          <w:sz w:val="24"/>
          <w:szCs w:val="24"/>
        </w:rPr>
        <w:t>项常规指标。</w:t>
      </w:r>
    </w:p>
    <w:p w14:paraId="44172341">
      <w:pPr>
        <w:spacing w:line="360" w:lineRule="auto"/>
        <w:jc w:val="left"/>
        <w:rPr>
          <w:rFonts w:ascii="Times New Roman" w:cs="Times New Roman"/>
          <w:sz w:val="24"/>
          <w:szCs w:val="24"/>
        </w:rPr>
      </w:pPr>
      <w:r>
        <w:rPr>
          <w:rFonts w:hint="eastAsia" w:ascii="Times New Roman" w:cs="Times New Roman"/>
          <w:sz w:val="24"/>
          <w:szCs w:val="24"/>
        </w:rPr>
        <w:t>3、</w:t>
      </w:r>
      <w:r>
        <w:rPr>
          <w:rFonts w:hint="eastAsia" w:ascii="Times New Roman" w:hAnsi="Times New Roman" w:cs="Times New Roman"/>
          <w:sz w:val="24"/>
          <w:szCs w:val="24"/>
        </w:rPr>
        <w:t>城镇饮用水源水质监测</w:t>
      </w:r>
    </w:p>
    <w:p w14:paraId="5023C47A">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（1）监测点位：</w:t>
      </w:r>
      <w:r>
        <w:rPr>
          <w:rFonts w:hint="eastAsia" w:ascii="Times New Roman" w:hAnsi="Times New Roman" w:cs="Times New Roman"/>
          <w:sz w:val="24"/>
          <w:szCs w:val="24"/>
        </w:rPr>
        <w:t>官庄水库</w:t>
      </w:r>
      <w:r>
        <w:rPr>
          <w:rFonts w:hint="eastAsia" w:ascii="Times New Roman" w:hAnsi="Times New Roman" w:cs="Times New Roman" w:eastAsiaTheme="majorEastAsia"/>
          <w:kern w:val="0"/>
          <w:sz w:val="24"/>
          <w:szCs w:val="24"/>
        </w:rPr>
        <w:t>；</w:t>
      </w:r>
    </w:p>
    <w:p w14:paraId="3900948F">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（2）监测频次：</w:t>
      </w:r>
      <w:r>
        <w:rPr>
          <w:rFonts w:hint="eastAsia" w:ascii="Times New Roman" w:hAnsi="Times New Roman" w:cs="Times New Roman"/>
          <w:sz w:val="24"/>
          <w:szCs w:val="24"/>
        </w:rPr>
        <w:t>每季度监测一次，引用醴陵市常规监测数据，不单独监测</w:t>
      </w:r>
      <w:r>
        <w:rPr>
          <w:rFonts w:hint="eastAsia" w:ascii="Times New Roman" w:hAnsi="Times New Roman" w:cs="Times New Roman" w:eastAsiaTheme="majorEastAsia"/>
          <w:kern w:val="0"/>
          <w:sz w:val="24"/>
          <w:szCs w:val="24"/>
        </w:rPr>
        <w:t>；</w:t>
      </w:r>
    </w:p>
    <w:p w14:paraId="08D6BD86">
      <w:pPr>
        <w:spacing w:line="360" w:lineRule="auto"/>
        <w:jc w:val="left"/>
        <w:rPr>
          <w:rFonts w:ascii="Times New Roman" w:hAnsi="Times New Roman" w:cs="Times New Roman"/>
          <w:sz w:val="24"/>
          <w:szCs w:val="24"/>
        </w:rPr>
      </w:pPr>
      <w:r>
        <w:rPr>
          <w:rFonts w:hint="eastAsia" w:ascii="Times New Roman" w:hAnsi="Times New Roman" w:cs="Times New Roman" w:eastAsiaTheme="majorEastAsia"/>
          <w:kern w:val="0"/>
          <w:sz w:val="24"/>
          <w:szCs w:val="24"/>
        </w:rPr>
        <w:t>（3）监测因子</w:t>
      </w:r>
      <w:r>
        <w:rPr>
          <w:rFonts w:ascii="Times New Roman" w:hAnsi="Times New Roman" w:cs="Times New Roman" w:eastAsiaTheme="majorEastAsia"/>
          <w:kern w:val="0"/>
          <w:sz w:val="24"/>
          <w:szCs w:val="24"/>
        </w:rPr>
        <w:t>：</w:t>
      </w:r>
      <w:r>
        <w:rPr>
          <w:rFonts w:ascii="Times New Roman" w:hAnsi="Times New Roman" w:cs="Times New Roman"/>
          <w:sz w:val="24"/>
          <w:szCs w:val="24"/>
        </w:rPr>
        <w:t>地</w:t>
      </w:r>
      <w:r>
        <w:rPr>
          <w:rFonts w:hint="eastAsia" w:ascii="Times New Roman" w:hAnsi="Times New Roman" w:cs="Times New Roman"/>
          <w:sz w:val="24"/>
          <w:szCs w:val="24"/>
        </w:rPr>
        <w:t>表</w:t>
      </w:r>
      <w:r>
        <w:rPr>
          <w:rFonts w:ascii="Times New Roman" w:hAnsi="Times New Roman" w:cs="Times New Roman"/>
          <w:sz w:val="24"/>
          <w:szCs w:val="24"/>
        </w:rPr>
        <w:t>水保护区</w:t>
      </w:r>
      <w:r>
        <w:rPr>
          <w:rFonts w:hint="eastAsia" w:ascii="Times New Roman" w:hAnsi="Times New Roman" w:cs="Times New Roman"/>
          <w:sz w:val="24"/>
          <w:szCs w:val="24"/>
        </w:rPr>
        <w:t>监测《地表水环境质量标准》（GB3838-2002）表1和表2的29项指标</w:t>
      </w:r>
      <w:r>
        <w:rPr>
          <w:rFonts w:ascii="Times New Roman" w:hAnsi="Times New Roman" w:cs="Times New Roman"/>
          <w:sz w:val="24"/>
          <w:szCs w:val="24"/>
        </w:rPr>
        <w:t>。</w:t>
      </w:r>
    </w:p>
    <w:p w14:paraId="3C15274E">
      <w:pPr>
        <w:spacing w:line="360" w:lineRule="auto"/>
        <w:jc w:val="left"/>
        <w:rPr>
          <w:rFonts w:ascii="Times New Roman" w:cs="Times New Roman"/>
          <w:sz w:val="24"/>
          <w:szCs w:val="24"/>
        </w:rPr>
      </w:pPr>
      <w:r>
        <w:rPr>
          <w:rFonts w:hint="eastAsia" w:ascii="Times New Roman" w:cs="Times New Roman"/>
          <w:sz w:val="24"/>
          <w:szCs w:val="24"/>
        </w:rPr>
        <w:t>4、渌江醴陵段出入境断面水质监测</w:t>
      </w:r>
    </w:p>
    <w:p w14:paraId="4C8B9E1F">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（1）监测点位：金鱼石和仙井断面；</w:t>
      </w:r>
    </w:p>
    <w:p w14:paraId="14F0BB4A">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（2）监测频次</w:t>
      </w:r>
      <w:r>
        <w:rPr>
          <w:rFonts w:ascii="Times New Roman" w:hAnsi="Times New Roman" w:cs="Times New Roman" w:eastAsiaTheme="majorEastAsia"/>
          <w:kern w:val="0"/>
          <w:sz w:val="24"/>
          <w:szCs w:val="24"/>
        </w:rPr>
        <w:t>：</w:t>
      </w:r>
      <w:r>
        <w:rPr>
          <w:rFonts w:hint="eastAsia" w:ascii="Times New Roman" w:hAnsi="Times New Roman" w:cs="Times New Roman" w:eastAsiaTheme="majorEastAsia"/>
          <w:kern w:val="0"/>
          <w:sz w:val="24"/>
          <w:szCs w:val="24"/>
        </w:rPr>
        <w:t>每个季度监测一次；</w:t>
      </w:r>
    </w:p>
    <w:p w14:paraId="6CCDE883">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（3）监测因子</w:t>
      </w:r>
      <w:r>
        <w:rPr>
          <w:rFonts w:ascii="Times New Roman" w:hAnsi="Times New Roman" w:cs="Times New Roman" w:eastAsiaTheme="majorEastAsia"/>
          <w:kern w:val="0"/>
          <w:sz w:val="24"/>
          <w:szCs w:val="24"/>
        </w:rPr>
        <w:t>：</w:t>
      </w:r>
      <w:r>
        <w:rPr>
          <w:rFonts w:hint="eastAsia" w:ascii="Times New Roman" w:hAnsi="Times New Roman" w:cs="Times New Roman"/>
          <w:sz w:val="24"/>
          <w:szCs w:val="24"/>
        </w:rPr>
        <w:t>监测《地表水环境质量标准》（GB3838-2002）表1和表2的29项指标</w:t>
      </w:r>
      <w:r>
        <w:rPr>
          <w:rFonts w:hint="eastAsia" w:ascii="Times New Roman" w:hAnsi="Times New Roman" w:cs="Times New Roman" w:eastAsiaTheme="majorEastAsia"/>
          <w:kern w:val="0"/>
          <w:sz w:val="24"/>
          <w:szCs w:val="24"/>
        </w:rPr>
        <w:t>。</w:t>
      </w:r>
    </w:p>
    <w:p w14:paraId="50FE8530">
      <w:pPr>
        <w:spacing w:line="360" w:lineRule="auto"/>
        <w:jc w:val="left"/>
        <w:rPr>
          <w:rFonts w:ascii="Times New Roman" w:cs="Times New Roman"/>
          <w:sz w:val="24"/>
          <w:szCs w:val="24"/>
        </w:rPr>
      </w:pPr>
      <w:r>
        <w:rPr>
          <w:rFonts w:hint="eastAsia" w:ascii="Times New Roman" w:cs="Times New Roman"/>
          <w:sz w:val="24"/>
          <w:szCs w:val="24"/>
        </w:rPr>
        <w:t>5、</w:t>
      </w:r>
      <w:r>
        <w:rPr>
          <w:rFonts w:hint="eastAsia" w:ascii="Times New Roman" w:hAnsi="Times New Roman" w:cs="Times New Roman"/>
          <w:sz w:val="24"/>
          <w:szCs w:val="24"/>
        </w:rPr>
        <w:t>农村污水处理厂水质监测</w:t>
      </w:r>
    </w:p>
    <w:p w14:paraId="78B1CCAC">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（1）监测点位：白兔潭污水处理厂；</w:t>
      </w:r>
    </w:p>
    <w:p w14:paraId="1DFEF223">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（2）监测频次</w:t>
      </w:r>
      <w:r>
        <w:rPr>
          <w:rFonts w:ascii="Times New Roman" w:hAnsi="Times New Roman" w:cs="Times New Roman" w:eastAsiaTheme="majorEastAsia"/>
          <w:kern w:val="0"/>
          <w:sz w:val="24"/>
          <w:szCs w:val="24"/>
        </w:rPr>
        <w:t>：</w:t>
      </w:r>
      <w:r>
        <w:rPr>
          <w:rFonts w:hint="eastAsia" w:ascii="Times New Roman" w:hAnsi="Times New Roman" w:cs="Times New Roman"/>
          <w:sz w:val="24"/>
          <w:szCs w:val="24"/>
        </w:rPr>
        <w:t>每半年监测一次</w:t>
      </w:r>
      <w:r>
        <w:rPr>
          <w:rFonts w:hint="eastAsia" w:ascii="Times New Roman" w:hAnsi="Times New Roman" w:cs="Times New Roman" w:eastAsiaTheme="majorEastAsia"/>
          <w:kern w:val="0"/>
          <w:sz w:val="24"/>
          <w:szCs w:val="24"/>
        </w:rPr>
        <w:t>；</w:t>
      </w:r>
    </w:p>
    <w:p w14:paraId="129456BF">
      <w:pPr>
        <w:spacing w:line="360" w:lineRule="auto"/>
        <w:jc w:val="left"/>
        <w:rPr>
          <w:rFonts w:ascii="Times New Roman" w:hAnsi="Times New Roman" w:cs="Times New Roman"/>
          <w:sz w:val="24"/>
          <w:szCs w:val="24"/>
        </w:rPr>
      </w:pPr>
      <w:r>
        <w:rPr>
          <w:rFonts w:hint="eastAsia" w:ascii="Times New Roman" w:hAnsi="Times New Roman" w:cs="Times New Roman" w:eastAsiaTheme="majorEastAsia"/>
          <w:kern w:val="0"/>
          <w:sz w:val="24"/>
          <w:szCs w:val="24"/>
        </w:rPr>
        <w:t>（3）监测因子</w:t>
      </w:r>
      <w:r>
        <w:rPr>
          <w:rFonts w:ascii="Times New Roman" w:hAnsi="Times New Roman" w:cs="Times New Roman" w:eastAsiaTheme="majorEastAsia"/>
          <w:kern w:val="0"/>
          <w:sz w:val="24"/>
          <w:szCs w:val="24"/>
        </w:rPr>
        <w:t>：</w:t>
      </w:r>
      <w:r>
        <w:rPr>
          <w:rFonts w:hint="eastAsia" w:ascii="Times New Roman" w:hAnsi="Times New Roman" w:cs="Times New Roman"/>
          <w:sz w:val="24"/>
          <w:szCs w:val="24"/>
        </w:rPr>
        <w:t>水温、</w:t>
      </w:r>
      <w:r>
        <w:rPr>
          <w:rFonts w:ascii="Times New Roman" w:hAnsi="Times New Roman" w:cs="Times New Roman"/>
          <w:sz w:val="24"/>
          <w:szCs w:val="24"/>
        </w:rPr>
        <w:t>化学需氧量、氨氮、pH、五日生化需氧量、悬浮物、总磷、粪大肠菌群</w:t>
      </w:r>
      <w:r>
        <w:rPr>
          <w:rFonts w:hint="eastAsia" w:ascii="Times New Roman" w:hAnsi="Times New Roman" w:cs="Times New Roman"/>
          <w:sz w:val="24"/>
          <w:szCs w:val="24"/>
        </w:rPr>
        <w:t>、总氮、动植物油</w:t>
      </w:r>
      <w:r>
        <w:rPr>
          <w:rFonts w:ascii="Times New Roman" w:hAnsi="Times New Roman" w:cs="Times New Roman"/>
          <w:sz w:val="24"/>
          <w:szCs w:val="24"/>
        </w:rPr>
        <w:t>。</w:t>
      </w:r>
    </w:p>
    <w:p w14:paraId="76FB8DE8">
      <w:pPr>
        <w:spacing w:line="360" w:lineRule="auto"/>
        <w:jc w:val="left"/>
        <w:rPr>
          <w:rFonts w:ascii="Times New Roman" w:cs="Times New Roman"/>
          <w:sz w:val="24"/>
          <w:szCs w:val="24"/>
        </w:rPr>
      </w:pPr>
      <w:r>
        <w:rPr>
          <w:rFonts w:hint="eastAsia" w:ascii="Times New Roman" w:cs="Times New Roman"/>
          <w:sz w:val="24"/>
          <w:szCs w:val="24"/>
        </w:rPr>
        <w:t>6、</w:t>
      </w:r>
      <w:r>
        <w:rPr>
          <w:rFonts w:hint="eastAsia" w:ascii="Times New Roman" w:hAnsi="Times New Roman" w:cs="Times New Roman"/>
          <w:sz w:val="24"/>
          <w:szCs w:val="24"/>
        </w:rPr>
        <w:t>黑臭水体监测</w:t>
      </w:r>
    </w:p>
    <w:p w14:paraId="77DE8AAF">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（1）监测点位：</w:t>
      </w:r>
      <w:r>
        <w:rPr>
          <w:rFonts w:hint="eastAsia" w:ascii="Times New Roman" w:hAnsi="Times New Roman" w:cs="Times New Roman"/>
          <w:sz w:val="24"/>
          <w:szCs w:val="24"/>
        </w:rPr>
        <w:t>城镇4条、农村5条</w:t>
      </w:r>
      <w:r>
        <w:rPr>
          <w:rFonts w:hint="eastAsia" w:ascii="Times New Roman" w:hAnsi="Times New Roman" w:cs="Times New Roman" w:eastAsiaTheme="majorEastAsia"/>
          <w:kern w:val="0"/>
          <w:sz w:val="24"/>
          <w:szCs w:val="24"/>
        </w:rPr>
        <w:t>；</w:t>
      </w:r>
    </w:p>
    <w:p w14:paraId="673B652B">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（2）监测频次</w:t>
      </w:r>
      <w:r>
        <w:rPr>
          <w:rFonts w:ascii="Times New Roman" w:hAnsi="Times New Roman" w:cs="Times New Roman" w:eastAsiaTheme="majorEastAsia"/>
          <w:kern w:val="0"/>
          <w:sz w:val="24"/>
          <w:szCs w:val="24"/>
        </w:rPr>
        <w:t>：</w:t>
      </w:r>
      <w:r>
        <w:rPr>
          <w:rFonts w:hint="eastAsia" w:ascii="Times New Roman" w:hAnsi="Times New Roman" w:cs="Times New Roman"/>
          <w:sz w:val="24"/>
          <w:szCs w:val="24"/>
        </w:rPr>
        <w:t>城镇黑臭水体监测2、3、4季度，农村黑臭水体监测3季度</w:t>
      </w:r>
      <w:r>
        <w:rPr>
          <w:rFonts w:hint="eastAsia" w:ascii="Times New Roman" w:hAnsi="Times New Roman" w:cs="Times New Roman" w:eastAsiaTheme="majorEastAsia"/>
          <w:kern w:val="0"/>
          <w:sz w:val="24"/>
          <w:szCs w:val="24"/>
        </w:rPr>
        <w:t>；</w:t>
      </w:r>
    </w:p>
    <w:p w14:paraId="0596D6F8">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（3）监测因子</w:t>
      </w:r>
      <w:r>
        <w:rPr>
          <w:rFonts w:ascii="Times New Roman" w:hAnsi="Times New Roman" w:cs="Times New Roman" w:eastAsiaTheme="majorEastAsia"/>
          <w:kern w:val="0"/>
          <w:sz w:val="24"/>
          <w:szCs w:val="24"/>
        </w:rPr>
        <w:t>：</w:t>
      </w:r>
      <w:r>
        <w:rPr>
          <w:rFonts w:hint="eastAsia" w:ascii="Times New Roman" w:hAnsi="Times New Roman" w:cs="Times New Roman"/>
          <w:sz w:val="24"/>
          <w:szCs w:val="24"/>
        </w:rPr>
        <w:t>溶解氧、氨氮、透明度、水深等4项</w:t>
      </w:r>
      <w:r>
        <w:rPr>
          <w:rFonts w:hint="eastAsia" w:ascii="Times New Roman" w:hAnsi="Times New Roman" w:cs="Times New Roman" w:eastAsiaTheme="majorEastAsia"/>
          <w:kern w:val="0"/>
          <w:sz w:val="24"/>
          <w:szCs w:val="24"/>
        </w:rPr>
        <w:t>。</w:t>
      </w:r>
    </w:p>
    <w:p w14:paraId="7157C35A">
      <w:pPr>
        <w:spacing w:line="360" w:lineRule="auto"/>
        <w:jc w:val="left"/>
        <w:rPr>
          <w:rFonts w:ascii="Times New Roman" w:cs="Times New Roman"/>
          <w:sz w:val="24"/>
          <w:szCs w:val="24"/>
        </w:rPr>
      </w:pPr>
      <w:r>
        <w:rPr>
          <w:rFonts w:hint="eastAsia" w:ascii="Times New Roman" w:cs="Times New Roman"/>
          <w:sz w:val="24"/>
          <w:szCs w:val="24"/>
        </w:rPr>
        <w:t>7、</w:t>
      </w:r>
      <w:r>
        <w:rPr>
          <w:rFonts w:hint="eastAsia" w:ascii="Times New Roman" w:hAnsi="Times New Roman" w:cs="Times New Roman"/>
          <w:sz w:val="24"/>
          <w:szCs w:val="24"/>
        </w:rPr>
        <w:t>大型灌区水质监测</w:t>
      </w:r>
    </w:p>
    <w:p w14:paraId="2A3D1B7C">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（1）监测点位：</w:t>
      </w:r>
      <w:r>
        <w:rPr>
          <w:rFonts w:hint="eastAsia" w:ascii="Times New Roman" w:hAnsi="Times New Roman" w:cs="Times New Roman"/>
          <w:sz w:val="24"/>
          <w:szCs w:val="24"/>
        </w:rPr>
        <w:t>官庄水库灌区2个点位、酒埠江水库东干渠灌区2个点位</w:t>
      </w:r>
      <w:r>
        <w:rPr>
          <w:rFonts w:hint="eastAsia" w:ascii="Times New Roman" w:hAnsi="Times New Roman" w:cs="Times New Roman" w:eastAsiaTheme="majorEastAsia"/>
          <w:kern w:val="0"/>
          <w:sz w:val="24"/>
          <w:szCs w:val="24"/>
        </w:rPr>
        <w:t>；</w:t>
      </w:r>
    </w:p>
    <w:p w14:paraId="23C23E16">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（2）监测频次</w:t>
      </w:r>
      <w:r>
        <w:rPr>
          <w:rFonts w:ascii="Times New Roman" w:hAnsi="Times New Roman" w:cs="Times New Roman" w:eastAsiaTheme="majorEastAsia"/>
          <w:kern w:val="0"/>
          <w:sz w:val="24"/>
          <w:szCs w:val="24"/>
        </w:rPr>
        <w:t>：</w:t>
      </w:r>
      <w:r>
        <w:rPr>
          <w:rFonts w:hint="eastAsia" w:ascii="Times New Roman" w:hAnsi="Times New Roman" w:cs="Times New Roman"/>
          <w:sz w:val="24"/>
          <w:szCs w:val="24"/>
        </w:rPr>
        <w:t>每半年监测一次</w:t>
      </w:r>
      <w:r>
        <w:rPr>
          <w:rFonts w:hint="eastAsia" w:ascii="Times New Roman" w:hAnsi="Times New Roman" w:cs="Times New Roman" w:eastAsiaTheme="majorEastAsia"/>
          <w:kern w:val="0"/>
          <w:sz w:val="24"/>
          <w:szCs w:val="24"/>
        </w:rPr>
        <w:t>；</w:t>
      </w:r>
    </w:p>
    <w:p w14:paraId="633F8A59">
      <w:pPr>
        <w:spacing w:line="360" w:lineRule="auto"/>
        <w:jc w:val="left"/>
        <w:rPr>
          <w:rFonts w:ascii="Times New Roman" w:hAnsi="Times New Roman" w:cs="Times New Roman" w:eastAsiaTheme="majorEastAsia"/>
          <w:kern w:val="0"/>
          <w:sz w:val="24"/>
          <w:szCs w:val="24"/>
        </w:rPr>
      </w:pPr>
      <w:r>
        <w:rPr>
          <w:rFonts w:hint="eastAsia" w:ascii="Times New Roman" w:hAnsi="Times New Roman" w:cs="Times New Roman" w:eastAsiaTheme="majorEastAsia"/>
          <w:kern w:val="0"/>
          <w:sz w:val="24"/>
          <w:szCs w:val="24"/>
        </w:rPr>
        <w:t>（3）监测因子</w:t>
      </w:r>
      <w:r>
        <w:rPr>
          <w:rFonts w:ascii="Times New Roman" w:hAnsi="Times New Roman" w:cs="Times New Roman" w:eastAsiaTheme="majorEastAsia"/>
          <w:kern w:val="0"/>
          <w:sz w:val="24"/>
          <w:szCs w:val="24"/>
        </w:rPr>
        <w:t>：</w:t>
      </w:r>
      <w:r>
        <w:rPr>
          <w:rFonts w:ascii="Times New Roman" w:hAnsi="Times New Roman" w:cs="Times New Roman"/>
          <w:sz w:val="24"/>
          <w:szCs w:val="24"/>
        </w:rPr>
        <w:t>《农田灌溉水质标准》（GB 5084-20</w:t>
      </w:r>
      <w:r>
        <w:rPr>
          <w:rFonts w:hint="eastAsia" w:ascii="Times New Roman" w:hAnsi="Times New Roman" w:cs="Times New Roman"/>
          <w:sz w:val="24"/>
          <w:szCs w:val="24"/>
        </w:rPr>
        <w:t>21</w:t>
      </w:r>
      <w:r>
        <w:rPr>
          <w:rFonts w:ascii="Times New Roman" w:hAnsi="Times New Roman" w:cs="Times New Roman"/>
          <w:sz w:val="24"/>
          <w:szCs w:val="24"/>
        </w:rPr>
        <w:t>）表1</w:t>
      </w:r>
      <w:r>
        <w:rPr>
          <w:rFonts w:hint="eastAsia" w:ascii="Times New Roman" w:hAnsi="Times New Roman" w:cs="Times New Roman"/>
          <w:sz w:val="24"/>
          <w:szCs w:val="24"/>
        </w:rPr>
        <w:t>的</w:t>
      </w:r>
      <w:r>
        <w:rPr>
          <w:rFonts w:ascii="Times New Roman" w:hAnsi="Times New Roman" w:cs="Times New Roman"/>
          <w:sz w:val="24"/>
          <w:szCs w:val="24"/>
        </w:rPr>
        <w:t xml:space="preserve"> 16项。</w:t>
      </w:r>
    </w:p>
    <w:p w14:paraId="097AB8E0">
      <w:pPr>
        <w:spacing w:line="360" w:lineRule="auto"/>
        <w:jc w:val="left"/>
        <w:rPr>
          <w:rFonts w:ascii="Times New Roman" w:cs="Times New Roman"/>
          <w:sz w:val="24"/>
          <w:szCs w:val="24"/>
        </w:rPr>
      </w:pPr>
      <w:r>
        <w:rPr>
          <w:rFonts w:hint="eastAsia" w:ascii="Times New Roman" w:cs="Times New Roman"/>
          <w:sz w:val="24"/>
          <w:szCs w:val="24"/>
        </w:rPr>
        <w:t>8、</w:t>
      </w:r>
      <w:r>
        <w:rPr>
          <w:rFonts w:hint="eastAsia" w:ascii="Times New Roman" w:hAnsi="Times New Roman" w:cs="Times New Roman"/>
          <w:sz w:val="24"/>
          <w:szCs w:val="24"/>
        </w:rPr>
        <w:t>农业面源污染控制断面监测</w:t>
      </w:r>
    </w:p>
    <w:p w14:paraId="67A220F5">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（1）监测点位：</w:t>
      </w:r>
      <w:r>
        <w:rPr>
          <w:rFonts w:hint="eastAsia" w:ascii="Times New Roman" w:hAnsi="Times New Roman" w:cs="Times New Roman"/>
          <w:sz w:val="24"/>
          <w:szCs w:val="24"/>
        </w:rPr>
        <w:t>官庄水库农灌渠枫林断面、瑞华农场下游500米铁河、筱溪村下游500米铁河等3个断面</w:t>
      </w:r>
      <w:r>
        <w:rPr>
          <w:rFonts w:hint="eastAsia" w:ascii="Times New Roman" w:hAnsi="Times New Roman" w:cs="Times New Roman" w:eastAsiaTheme="majorEastAsia"/>
          <w:kern w:val="0"/>
          <w:sz w:val="24"/>
          <w:szCs w:val="24"/>
        </w:rPr>
        <w:t>；</w:t>
      </w:r>
    </w:p>
    <w:p w14:paraId="506DB242">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（2）监测频次</w:t>
      </w:r>
      <w:r>
        <w:rPr>
          <w:rFonts w:ascii="Times New Roman" w:hAnsi="Times New Roman" w:cs="Times New Roman" w:eastAsiaTheme="majorEastAsia"/>
          <w:kern w:val="0"/>
          <w:sz w:val="24"/>
          <w:szCs w:val="24"/>
        </w:rPr>
        <w:t>：</w:t>
      </w:r>
      <w:r>
        <w:rPr>
          <w:rFonts w:hint="eastAsia" w:ascii="Times New Roman" w:hAnsi="Times New Roman" w:cs="Times New Roman"/>
          <w:sz w:val="24"/>
          <w:szCs w:val="24"/>
        </w:rPr>
        <w:t>每季度监测一次</w:t>
      </w:r>
      <w:r>
        <w:rPr>
          <w:rFonts w:hint="eastAsia" w:ascii="Times New Roman" w:hAnsi="Times New Roman" w:cs="Times New Roman" w:eastAsiaTheme="majorEastAsia"/>
          <w:kern w:val="0"/>
          <w:sz w:val="24"/>
          <w:szCs w:val="24"/>
        </w:rPr>
        <w:t>；</w:t>
      </w:r>
    </w:p>
    <w:p w14:paraId="14FACF9D">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（3）监测因子</w:t>
      </w:r>
      <w:r>
        <w:rPr>
          <w:rFonts w:ascii="Times New Roman" w:hAnsi="Times New Roman" w:cs="Times New Roman" w:eastAsiaTheme="majorEastAsia"/>
          <w:kern w:val="0"/>
          <w:sz w:val="24"/>
          <w:szCs w:val="24"/>
        </w:rPr>
        <w:t>：</w:t>
      </w:r>
      <w:r>
        <w:rPr>
          <w:rFonts w:hint="eastAsia" w:ascii="Times New Roman" w:hAnsi="Times New Roman" w:cs="Times New Roman"/>
          <w:sz w:val="24"/>
          <w:szCs w:val="24"/>
        </w:rPr>
        <w:t>监测流量、总氮、总磷、氨氮、硝酸盐、高锰酸盐指数、化学需氧量等7项指标</w:t>
      </w:r>
      <w:r>
        <w:rPr>
          <w:rFonts w:hint="eastAsia" w:ascii="Times New Roman" w:hAnsi="Times New Roman" w:cs="Times New Roman" w:eastAsiaTheme="majorEastAsia"/>
          <w:kern w:val="0"/>
          <w:sz w:val="24"/>
          <w:szCs w:val="24"/>
        </w:rPr>
        <w:t>。</w:t>
      </w:r>
    </w:p>
    <w:p w14:paraId="4B839929">
      <w:pPr>
        <w:spacing w:line="360" w:lineRule="auto"/>
        <w:jc w:val="left"/>
        <w:rPr>
          <w:rFonts w:ascii="Times New Roman" w:cs="Times New Roman"/>
          <w:sz w:val="24"/>
          <w:szCs w:val="24"/>
        </w:rPr>
      </w:pPr>
      <w:r>
        <w:rPr>
          <w:rFonts w:hint="eastAsia" w:ascii="Times New Roman" w:cs="Times New Roman"/>
          <w:sz w:val="24"/>
          <w:szCs w:val="24"/>
        </w:rPr>
        <w:t>9、</w:t>
      </w:r>
      <w:r>
        <w:rPr>
          <w:rFonts w:hint="eastAsia" w:ascii="Times New Roman" w:hAnsi="Times New Roman" w:cs="Times New Roman"/>
          <w:sz w:val="24"/>
          <w:szCs w:val="24"/>
        </w:rPr>
        <w:t>农村村庄土壤</w:t>
      </w:r>
    </w:p>
    <w:p w14:paraId="05BC398E">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（1）监测点位：</w:t>
      </w:r>
      <w:r>
        <w:rPr>
          <w:rFonts w:hint="eastAsia" w:ascii="Times New Roman" w:hAnsi="Times New Roman" w:cs="Times New Roman"/>
          <w:sz w:val="24"/>
          <w:szCs w:val="24"/>
        </w:rPr>
        <w:t>筱溪村5个点位</w:t>
      </w:r>
      <w:r>
        <w:rPr>
          <w:rFonts w:hint="eastAsia" w:ascii="Times New Roman" w:hAnsi="Times New Roman" w:cs="Times New Roman" w:eastAsiaTheme="majorEastAsia"/>
          <w:kern w:val="0"/>
          <w:sz w:val="24"/>
          <w:szCs w:val="24"/>
        </w:rPr>
        <w:t>；</w:t>
      </w:r>
    </w:p>
    <w:p w14:paraId="2952FE2A">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（2）监测频次</w:t>
      </w:r>
      <w:r>
        <w:rPr>
          <w:rFonts w:ascii="Times New Roman" w:hAnsi="Times New Roman" w:cs="Times New Roman" w:eastAsiaTheme="majorEastAsia"/>
          <w:kern w:val="0"/>
          <w:sz w:val="24"/>
          <w:szCs w:val="24"/>
        </w:rPr>
        <w:t>：</w:t>
      </w:r>
      <w:r>
        <w:rPr>
          <w:rFonts w:hint="eastAsia" w:ascii="Times New Roman" w:hAnsi="Times New Roman" w:cs="Times New Roman" w:eastAsiaTheme="majorEastAsia"/>
          <w:kern w:val="0"/>
          <w:sz w:val="24"/>
          <w:szCs w:val="24"/>
        </w:rPr>
        <w:t>每</w:t>
      </w:r>
      <w:r>
        <w:rPr>
          <w:rFonts w:hint="eastAsia" w:ascii="Times New Roman" w:hAnsi="Times New Roman" w:cs="Times New Roman"/>
          <w:sz w:val="24"/>
          <w:szCs w:val="24"/>
        </w:rPr>
        <w:t>五年监测一次（第一次为2021年，下次为2026年）</w:t>
      </w:r>
      <w:r>
        <w:rPr>
          <w:rFonts w:hint="eastAsia" w:ascii="Times New Roman" w:hAnsi="Times New Roman" w:cs="Times New Roman" w:eastAsiaTheme="majorEastAsia"/>
          <w:kern w:val="0"/>
          <w:sz w:val="24"/>
          <w:szCs w:val="24"/>
        </w:rPr>
        <w:t>；</w:t>
      </w:r>
    </w:p>
    <w:p w14:paraId="4E09BDEF">
      <w:pPr>
        <w:spacing w:line="360" w:lineRule="auto"/>
        <w:jc w:val="left"/>
        <w:rPr>
          <w:rFonts w:ascii="Times New Roman" w:hAnsi="Times New Roman" w:cs="Times New Roman" w:eastAsiaTheme="majorEastAsia"/>
          <w:kern w:val="0"/>
          <w:sz w:val="24"/>
          <w:szCs w:val="24"/>
        </w:rPr>
      </w:pPr>
      <w:r>
        <w:rPr>
          <w:rFonts w:hint="eastAsia" w:ascii="Times New Roman" w:hAnsi="Times New Roman" w:cs="Times New Roman" w:eastAsiaTheme="majorEastAsia"/>
          <w:kern w:val="0"/>
          <w:sz w:val="24"/>
          <w:szCs w:val="24"/>
        </w:rPr>
        <w:t>（3）监测因子</w:t>
      </w:r>
      <w:r>
        <w:rPr>
          <w:rFonts w:ascii="Times New Roman" w:hAnsi="Times New Roman" w:cs="Times New Roman" w:eastAsiaTheme="majorEastAsia"/>
          <w:kern w:val="0"/>
          <w:sz w:val="24"/>
          <w:szCs w:val="24"/>
        </w:rPr>
        <w:t>：</w:t>
      </w:r>
      <w:r>
        <w:rPr>
          <w:rFonts w:ascii="Times New Roman" w:hAnsi="Times New Roman" w:cs="Times New Roman"/>
          <w:sz w:val="24"/>
          <w:szCs w:val="24"/>
        </w:rPr>
        <w:t>pH</w:t>
      </w:r>
      <w:r>
        <w:rPr>
          <w:rFonts w:hint="eastAsia" w:ascii="Times New Roman" w:hAnsi="Times New Roman" w:cs="Times New Roman"/>
          <w:sz w:val="24"/>
          <w:szCs w:val="24"/>
        </w:rPr>
        <w:t>、阳离子交换量、镉、汞、砷、铅、铬、铜、镍、锌</w:t>
      </w:r>
      <w:r>
        <w:rPr>
          <w:rFonts w:hint="eastAsia" w:ascii="Times New Roman" w:hAnsi="Times New Roman" w:cs="Times New Roman" w:eastAsiaTheme="majorEastAsia"/>
          <w:kern w:val="0"/>
          <w:sz w:val="24"/>
          <w:szCs w:val="24"/>
        </w:rPr>
        <w:t>。</w:t>
      </w:r>
    </w:p>
    <w:p w14:paraId="206B5D4E">
      <w:pPr>
        <w:spacing w:line="360" w:lineRule="auto"/>
        <w:jc w:val="left"/>
        <w:rPr>
          <w:rFonts w:ascii="Times New Roman" w:cs="Times New Roman"/>
          <w:sz w:val="24"/>
          <w:szCs w:val="24"/>
        </w:rPr>
      </w:pPr>
      <w:r>
        <w:rPr>
          <w:rFonts w:hint="eastAsia" w:ascii="Times New Roman" w:cs="Times New Roman"/>
          <w:sz w:val="24"/>
          <w:szCs w:val="24"/>
        </w:rPr>
        <w:t>10、</w:t>
      </w:r>
      <w:r>
        <w:rPr>
          <w:rFonts w:hint="eastAsia" w:ascii="Times New Roman" w:hAnsi="Times New Roman" w:cs="Times New Roman"/>
          <w:sz w:val="24"/>
          <w:szCs w:val="24"/>
        </w:rPr>
        <w:t>农村小微水体</w:t>
      </w:r>
    </w:p>
    <w:p w14:paraId="0D231B0F">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（1）监测点位：</w:t>
      </w:r>
      <w:r>
        <w:rPr>
          <w:rFonts w:hint="eastAsia" w:ascii="Times New Roman" w:hAnsi="Times New Roman" w:cs="Times New Roman"/>
          <w:sz w:val="24"/>
          <w:szCs w:val="24"/>
        </w:rPr>
        <w:t>2024年度为均楚镇鱿鱼塘，2025年度待定</w:t>
      </w:r>
      <w:r>
        <w:rPr>
          <w:rFonts w:hint="eastAsia" w:ascii="Times New Roman" w:hAnsi="Times New Roman" w:cs="Times New Roman" w:eastAsiaTheme="majorEastAsia"/>
          <w:kern w:val="0"/>
          <w:sz w:val="24"/>
          <w:szCs w:val="24"/>
        </w:rPr>
        <w:t>；</w:t>
      </w:r>
    </w:p>
    <w:p w14:paraId="214A8A91">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（2）监测频次</w:t>
      </w:r>
      <w:r>
        <w:rPr>
          <w:rFonts w:ascii="Times New Roman" w:hAnsi="Times New Roman" w:cs="Times New Roman" w:eastAsiaTheme="majorEastAsia"/>
          <w:kern w:val="0"/>
          <w:sz w:val="24"/>
          <w:szCs w:val="24"/>
        </w:rPr>
        <w:t>：</w:t>
      </w:r>
      <w:r>
        <w:rPr>
          <w:rFonts w:hint="eastAsia" w:ascii="Times New Roman" w:hAnsi="Times New Roman" w:cs="Times New Roman"/>
          <w:sz w:val="24"/>
          <w:szCs w:val="24"/>
        </w:rPr>
        <w:t>每年监测一次</w:t>
      </w:r>
      <w:r>
        <w:rPr>
          <w:rFonts w:hint="eastAsia" w:ascii="Times New Roman" w:hAnsi="Times New Roman" w:cs="Times New Roman" w:eastAsiaTheme="majorEastAsia"/>
          <w:kern w:val="0"/>
          <w:sz w:val="24"/>
          <w:szCs w:val="24"/>
        </w:rPr>
        <w:t>；</w:t>
      </w:r>
    </w:p>
    <w:p w14:paraId="13A1370D">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（3）监测因子</w:t>
      </w:r>
      <w:r>
        <w:rPr>
          <w:rFonts w:ascii="Times New Roman" w:hAnsi="Times New Roman" w:cs="Times New Roman" w:eastAsiaTheme="majorEastAsia"/>
          <w:kern w:val="0"/>
          <w:sz w:val="24"/>
          <w:szCs w:val="24"/>
        </w:rPr>
        <w:t>：</w:t>
      </w:r>
      <w:r>
        <w:rPr>
          <w:rFonts w:hint="eastAsia" w:ascii="Times New Roman" w:hAnsi="Times New Roman" w:cs="Times New Roman" w:eastAsiaTheme="majorEastAsia"/>
          <w:kern w:val="0"/>
          <w:sz w:val="24"/>
          <w:szCs w:val="24"/>
        </w:rPr>
        <w:t>溶解氧、高锰酸盐指数、氨氮、总磷、总氮、流量、透明度、水深。</w:t>
      </w:r>
    </w:p>
    <w:p w14:paraId="2197CE02">
      <w:pPr>
        <w:spacing w:line="360" w:lineRule="auto"/>
        <w:jc w:val="left"/>
        <w:rPr>
          <w:rFonts w:ascii="Times New Roman" w:cs="Times New Roman"/>
          <w:sz w:val="24"/>
          <w:szCs w:val="24"/>
        </w:rPr>
      </w:pPr>
      <w:r>
        <w:rPr>
          <w:rFonts w:hint="eastAsia" w:ascii="Times New Roman" w:cs="Times New Roman"/>
          <w:sz w:val="24"/>
          <w:szCs w:val="24"/>
        </w:rPr>
        <w:t>11、</w:t>
      </w:r>
      <w:r>
        <w:rPr>
          <w:rFonts w:hint="eastAsia" w:ascii="Times New Roman" w:hAnsi="Times New Roman" w:cs="Times New Roman"/>
          <w:sz w:val="24"/>
          <w:szCs w:val="24"/>
        </w:rPr>
        <w:t>环境空气质量</w:t>
      </w:r>
    </w:p>
    <w:p w14:paraId="51E321D3">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（1）监测点位：</w:t>
      </w:r>
      <w:r>
        <w:rPr>
          <w:rFonts w:hint="eastAsia" w:ascii="Times New Roman" w:hAnsi="Times New Roman" w:cs="Times New Roman"/>
          <w:sz w:val="24"/>
          <w:szCs w:val="24"/>
        </w:rPr>
        <w:t>筱溪村</w:t>
      </w:r>
      <w:r>
        <w:rPr>
          <w:rFonts w:hint="eastAsia" w:ascii="Times New Roman" w:hAnsi="Times New Roman" w:cs="Times New Roman" w:eastAsiaTheme="majorEastAsia"/>
          <w:kern w:val="0"/>
          <w:sz w:val="24"/>
          <w:szCs w:val="24"/>
        </w:rPr>
        <w:t>；</w:t>
      </w:r>
    </w:p>
    <w:p w14:paraId="497C2A74">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（2）监测频次</w:t>
      </w:r>
      <w:r>
        <w:rPr>
          <w:rFonts w:ascii="Times New Roman" w:hAnsi="Times New Roman" w:cs="Times New Roman" w:eastAsiaTheme="majorEastAsia"/>
          <w:kern w:val="0"/>
          <w:sz w:val="24"/>
          <w:szCs w:val="24"/>
        </w:rPr>
        <w:t>：</w:t>
      </w:r>
      <w:r>
        <w:rPr>
          <w:rFonts w:hint="eastAsia" w:ascii="Times New Roman" w:hAnsi="Times New Roman" w:cs="Times New Roman"/>
          <w:sz w:val="24"/>
          <w:szCs w:val="24"/>
        </w:rPr>
        <w:t>按规定要求引用醴陵市环保局环境空气质量自动监测站监测数据，不单独监测</w:t>
      </w:r>
      <w:r>
        <w:rPr>
          <w:rFonts w:hint="eastAsia" w:ascii="Times New Roman" w:hAnsi="Times New Roman" w:cs="Times New Roman" w:eastAsiaTheme="majorEastAsia"/>
          <w:kern w:val="0"/>
          <w:sz w:val="24"/>
          <w:szCs w:val="24"/>
        </w:rPr>
        <w:t>；</w:t>
      </w:r>
    </w:p>
    <w:p w14:paraId="731021B1">
      <w:pPr>
        <w:spacing w:line="360" w:lineRule="auto"/>
        <w:jc w:val="left"/>
        <w:rPr>
          <w:rFonts w:ascii="Times New Roman" w:cs="Times New Roman"/>
          <w:sz w:val="24"/>
          <w:szCs w:val="24"/>
        </w:rPr>
      </w:pPr>
      <w:r>
        <w:rPr>
          <w:rFonts w:hint="eastAsia" w:ascii="Times New Roman" w:hAnsi="Times New Roman" w:cs="Times New Roman" w:eastAsiaTheme="majorEastAsia"/>
          <w:kern w:val="0"/>
          <w:sz w:val="24"/>
          <w:szCs w:val="24"/>
        </w:rPr>
        <w:t>（3）监测因子</w:t>
      </w:r>
      <w:r>
        <w:rPr>
          <w:rFonts w:ascii="Times New Roman" w:hAnsi="Times New Roman" w:cs="Times New Roman" w:eastAsiaTheme="majorEastAsia"/>
          <w:kern w:val="0"/>
          <w:sz w:val="24"/>
          <w:szCs w:val="24"/>
        </w:rPr>
        <w:t>：</w:t>
      </w:r>
      <w:r>
        <w:rPr>
          <w:rFonts w:hint="eastAsia" w:ascii="Times New Roman" w:hAnsi="Times New Roman" w:cs="Times New Roman"/>
          <w:sz w:val="24"/>
          <w:szCs w:val="24"/>
        </w:rPr>
        <w:t>常规6项</w:t>
      </w:r>
      <w:r>
        <w:rPr>
          <w:rFonts w:hint="eastAsia" w:ascii="Times New Roman" w:hAnsi="Times New Roman" w:cs="Times New Roman" w:eastAsiaTheme="majorEastAsia"/>
          <w:kern w:val="0"/>
          <w:sz w:val="24"/>
          <w:szCs w:val="24"/>
        </w:rPr>
        <w:t>。</w:t>
      </w:r>
    </w:p>
    <w:p w14:paraId="0619F161">
      <w:pPr>
        <w:tabs>
          <w:tab w:val="left" w:pos="1206"/>
        </w:tabs>
        <w:spacing w:line="360" w:lineRule="auto"/>
        <w:rPr>
          <w:rFonts w:ascii="Times New Roman" w:hAnsi="Times New Roman" w:cs="Times New Roman" w:eastAsiaTheme="majorEastAsia"/>
          <w:b/>
          <w:kern w:val="0"/>
          <w:sz w:val="24"/>
          <w:szCs w:val="24"/>
        </w:rPr>
      </w:pPr>
      <w:r>
        <w:rPr>
          <w:rFonts w:hint="eastAsia" w:ascii="Times New Roman" w:hAnsi="Times New Roman" w:cs="Times New Roman" w:eastAsiaTheme="majorEastAsia"/>
          <w:b/>
          <w:kern w:val="0"/>
          <w:sz w:val="24"/>
          <w:szCs w:val="24"/>
        </w:rPr>
        <w:t>三</w:t>
      </w:r>
      <w:r>
        <w:rPr>
          <w:rFonts w:ascii="Times New Roman" w:hAnsi="Times New Roman" w:cs="Times New Roman" w:eastAsiaTheme="majorEastAsia"/>
          <w:b/>
          <w:kern w:val="0"/>
          <w:sz w:val="24"/>
          <w:szCs w:val="24"/>
        </w:rPr>
        <w:t>、监测要求</w:t>
      </w:r>
    </w:p>
    <w:p w14:paraId="4E5C8119">
      <w:pPr>
        <w:tabs>
          <w:tab w:val="left" w:pos="1206"/>
        </w:tabs>
        <w:spacing w:line="360" w:lineRule="auto"/>
        <w:ind w:firstLine="480" w:firstLineChars="200"/>
        <w:rPr>
          <w:rFonts w:ascii="Times New Roman" w:hAnsi="Times New Roman" w:cs="Times New Roman" w:eastAsiaTheme="majorEastAsia"/>
          <w:kern w:val="0"/>
          <w:sz w:val="24"/>
          <w:szCs w:val="24"/>
        </w:rPr>
      </w:pPr>
      <w:r>
        <w:rPr>
          <w:rFonts w:ascii="Times New Roman" w:hAnsi="Times New Roman" w:cs="Times New Roman" w:eastAsiaTheme="majorEastAsia"/>
          <w:kern w:val="0"/>
          <w:sz w:val="24"/>
          <w:szCs w:val="24"/>
        </w:rPr>
        <w:t>1、检测机构应具有相应的检测机构资质、认证项目（分包数据不得超过总数据的10%）、监测人员资质；</w:t>
      </w:r>
    </w:p>
    <w:p w14:paraId="0C35F383">
      <w:pPr>
        <w:tabs>
          <w:tab w:val="left" w:pos="1206"/>
        </w:tabs>
        <w:spacing w:line="360" w:lineRule="auto"/>
        <w:ind w:firstLine="480" w:firstLineChars="200"/>
        <w:rPr>
          <w:rFonts w:ascii="Times New Roman" w:hAnsi="Times New Roman" w:cs="Times New Roman" w:eastAsiaTheme="majorEastAsia"/>
          <w:sz w:val="24"/>
          <w:szCs w:val="24"/>
        </w:rPr>
      </w:pPr>
      <w:r>
        <w:rPr>
          <w:rFonts w:hint="eastAsia" w:ascii="Times New Roman" w:hAnsi="Times New Roman" w:cs="Times New Roman" w:eastAsiaTheme="majorEastAsia"/>
          <w:sz w:val="24"/>
          <w:szCs w:val="24"/>
          <w:lang w:val="en-US" w:eastAsia="zh-CN"/>
        </w:rPr>
        <w:t>2</w:t>
      </w:r>
      <w:r>
        <w:rPr>
          <w:rFonts w:ascii="Times New Roman" w:hAnsi="Times New Roman" w:cs="Times New Roman" w:eastAsiaTheme="majorEastAsia"/>
          <w:sz w:val="24"/>
          <w:szCs w:val="24"/>
        </w:rPr>
        <w:t>、检测机构应按</w:t>
      </w:r>
      <w:r>
        <w:rPr>
          <w:rFonts w:hint="eastAsia" w:ascii="Times New Roman" w:hAnsi="Times New Roman" w:cs="Times New Roman" w:eastAsiaTheme="majorEastAsia"/>
          <w:sz w:val="24"/>
          <w:szCs w:val="24"/>
        </w:rPr>
        <w:t>生态</w:t>
      </w:r>
      <w:r>
        <w:rPr>
          <w:rFonts w:ascii="Times New Roman" w:hAnsi="Times New Roman" w:cs="Times New Roman" w:eastAsiaTheme="majorEastAsia"/>
          <w:sz w:val="24"/>
          <w:szCs w:val="24"/>
        </w:rPr>
        <w:t>环境监测技术规范的要求进行监测方案制定、样品采集、保存、运输、分析、数据处理、综合分析、报告编制和审核；</w:t>
      </w:r>
    </w:p>
    <w:p w14:paraId="6D1C4A32">
      <w:pPr>
        <w:spacing w:line="360" w:lineRule="auto"/>
        <w:ind w:firstLine="480" w:firstLineChars="200"/>
        <w:rPr>
          <w:rFonts w:hint="eastAsia" w:ascii="Times New Roman" w:hAnsi="Times New Roman" w:cs="Times New Roman" w:eastAsiaTheme="majorEastAsia"/>
          <w:sz w:val="24"/>
          <w:szCs w:val="24"/>
        </w:rPr>
      </w:pPr>
      <w:r>
        <w:rPr>
          <w:rFonts w:hint="eastAsia" w:ascii="Times New Roman" w:hAnsi="Times New Roman" w:cs="Times New Roman" w:eastAsiaTheme="majorEastAsia"/>
          <w:sz w:val="24"/>
          <w:szCs w:val="24"/>
          <w:lang w:val="en-US" w:eastAsia="zh-CN"/>
        </w:rPr>
        <w:t>3</w:t>
      </w:r>
      <w:r>
        <w:rPr>
          <w:rFonts w:ascii="Times New Roman" w:hAnsi="Times New Roman" w:cs="Times New Roman" w:eastAsiaTheme="majorEastAsia"/>
          <w:sz w:val="24"/>
          <w:szCs w:val="24"/>
        </w:rPr>
        <w:t>、检测机构应按环境监测质量质量保证和质量控制的要求保证监测数据和监测报告的真实性、准确性、精密性、完整性、及时性</w:t>
      </w:r>
      <w:r>
        <w:rPr>
          <w:rFonts w:hint="eastAsia" w:ascii="Times New Roman" w:hAnsi="Times New Roman" w:cs="Times New Roman" w:eastAsiaTheme="majorEastAsia"/>
          <w:sz w:val="24"/>
          <w:szCs w:val="24"/>
        </w:rPr>
        <w:t>。</w:t>
      </w:r>
    </w:p>
    <w:p w14:paraId="3AA250CB">
      <w:pPr>
        <w:tabs>
          <w:tab w:val="left" w:pos="1206"/>
        </w:tabs>
        <w:spacing w:line="360" w:lineRule="auto"/>
        <w:rPr>
          <w:rFonts w:hint="eastAsia" w:ascii="Times New Roman" w:hAnsi="Times New Roman" w:cs="Times New Roman" w:eastAsiaTheme="majorEastAsia"/>
          <w:b/>
          <w:kern w:val="0"/>
          <w:sz w:val="24"/>
          <w:szCs w:val="24"/>
        </w:rPr>
      </w:pPr>
      <w:r>
        <w:rPr>
          <w:rFonts w:hint="eastAsia" w:ascii="Times New Roman" w:hAnsi="Times New Roman" w:cs="Times New Roman" w:eastAsiaTheme="majorEastAsia"/>
          <w:b/>
          <w:kern w:val="0"/>
          <w:sz w:val="24"/>
          <w:szCs w:val="24"/>
          <w:lang w:val="en-US" w:eastAsia="zh-CN"/>
        </w:rPr>
        <w:t>四、</w:t>
      </w:r>
      <w:r>
        <w:rPr>
          <w:rFonts w:hint="eastAsia" w:ascii="Times New Roman" w:hAnsi="Times New Roman" w:cs="Times New Roman" w:eastAsiaTheme="majorEastAsia"/>
          <w:b/>
          <w:kern w:val="0"/>
          <w:sz w:val="24"/>
          <w:szCs w:val="24"/>
        </w:rPr>
        <w:t>特定资格条件</w:t>
      </w:r>
    </w:p>
    <w:p w14:paraId="3919CCCB">
      <w:pPr>
        <w:tabs>
          <w:tab w:val="left" w:pos="1206"/>
        </w:tabs>
        <w:spacing w:line="360" w:lineRule="auto"/>
        <w:ind w:firstLine="480" w:firstLineChars="200"/>
        <w:rPr>
          <w:rFonts w:hint="default" w:ascii="Times New Roman" w:hAnsi="Times New Roman" w:cs="Times New Roman" w:eastAsiaTheme="majorEastAsia"/>
          <w:sz w:val="24"/>
          <w:szCs w:val="24"/>
        </w:rPr>
      </w:pPr>
      <w:r>
        <w:rPr>
          <w:rFonts w:hint="default" w:ascii="Times New Roman" w:hAnsi="Times New Roman" w:cs="Times New Roman" w:eastAsiaTheme="majorEastAsia"/>
          <w:sz w:val="24"/>
          <w:szCs w:val="24"/>
        </w:rPr>
        <w:t>（1）供应商须具有独立法人资格并依法取得企业营业执照，</w:t>
      </w:r>
      <w:r>
        <w:rPr>
          <w:rFonts w:hint="default" w:ascii="Times New Roman" w:hAnsi="Times New Roman" w:cs="Times New Roman" w:eastAsiaTheme="majorEastAsia"/>
          <w:sz w:val="24"/>
          <w:szCs w:val="24"/>
          <w:lang w:eastAsia="zh-CN"/>
        </w:rPr>
        <w:t>合法经营在</w:t>
      </w:r>
      <w:r>
        <w:rPr>
          <w:rFonts w:hint="default" w:ascii="Times New Roman" w:hAnsi="Times New Roman" w:cs="Times New Roman" w:eastAsiaTheme="majorEastAsia"/>
          <w:sz w:val="24"/>
          <w:szCs w:val="24"/>
          <w:lang w:val="en-US" w:eastAsia="zh-CN"/>
        </w:rPr>
        <w:t>3年以上，</w:t>
      </w:r>
      <w:r>
        <w:rPr>
          <w:rFonts w:hint="default" w:ascii="Times New Roman" w:hAnsi="Times New Roman" w:cs="Times New Roman" w:eastAsiaTheme="majorEastAsia"/>
          <w:sz w:val="24"/>
          <w:szCs w:val="24"/>
        </w:rPr>
        <w:t>营业执照处于有效期内。</w:t>
      </w:r>
    </w:p>
    <w:p w14:paraId="48FAC062">
      <w:pPr>
        <w:tabs>
          <w:tab w:val="left" w:pos="1206"/>
        </w:tabs>
        <w:spacing w:line="360" w:lineRule="auto"/>
        <w:ind w:firstLine="480" w:firstLineChars="200"/>
        <w:rPr>
          <w:rFonts w:hint="default" w:ascii="Times New Roman" w:hAnsi="Times New Roman" w:cs="Times New Roman" w:eastAsiaTheme="majorEastAsia"/>
          <w:sz w:val="24"/>
          <w:szCs w:val="24"/>
        </w:rPr>
      </w:pPr>
      <w:r>
        <w:rPr>
          <w:rFonts w:hint="default" w:ascii="Times New Roman" w:hAnsi="Times New Roman" w:cs="Times New Roman" w:eastAsiaTheme="majorEastAsia"/>
          <w:sz w:val="24"/>
          <w:szCs w:val="24"/>
        </w:rPr>
        <w:t>（2）供应商</w:t>
      </w:r>
      <w:r>
        <w:rPr>
          <w:rFonts w:hint="default" w:ascii="Times New Roman" w:hAnsi="Times New Roman" w:cs="Times New Roman" w:eastAsiaTheme="majorEastAsia"/>
          <w:sz w:val="24"/>
          <w:szCs w:val="24"/>
          <w:lang w:val="en-US" w:eastAsia="zh-CN"/>
        </w:rPr>
        <w:t>具备有效的CMA资质</w:t>
      </w:r>
      <w:r>
        <w:rPr>
          <w:rFonts w:hint="default" w:ascii="Times New Roman" w:hAnsi="Times New Roman" w:cs="Times New Roman" w:eastAsiaTheme="majorEastAsia"/>
          <w:sz w:val="24"/>
          <w:szCs w:val="24"/>
        </w:rPr>
        <w:t>，需提供</w:t>
      </w:r>
      <w:r>
        <w:rPr>
          <w:rFonts w:hint="eastAsia" w:ascii="Times New Roman" w:hAnsi="Times New Roman" w:cs="Times New Roman" w:eastAsiaTheme="majorEastAsia"/>
          <w:sz w:val="24"/>
          <w:szCs w:val="24"/>
          <w:lang w:eastAsia="zh-CN"/>
        </w:rPr>
        <w:t>资质认定</w:t>
      </w:r>
      <w:r>
        <w:rPr>
          <w:rFonts w:hint="default" w:ascii="Times New Roman" w:hAnsi="Times New Roman" w:cs="Times New Roman" w:eastAsiaTheme="majorEastAsia"/>
          <w:sz w:val="24"/>
          <w:szCs w:val="24"/>
        </w:rPr>
        <w:t>文件。</w:t>
      </w:r>
    </w:p>
    <w:p w14:paraId="21051C45">
      <w:pPr>
        <w:tabs>
          <w:tab w:val="left" w:pos="1206"/>
        </w:tabs>
        <w:spacing w:line="360" w:lineRule="auto"/>
        <w:ind w:firstLine="480" w:firstLineChars="200"/>
        <w:rPr>
          <w:rFonts w:hint="default" w:ascii="Times New Roman" w:hAnsi="Times New Roman" w:cs="Times New Roman" w:eastAsiaTheme="majorEastAsia"/>
          <w:sz w:val="24"/>
          <w:szCs w:val="24"/>
        </w:rPr>
      </w:pPr>
      <w:r>
        <w:rPr>
          <w:rFonts w:hint="default" w:ascii="Times New Roman" w:hAnsi="Times New Roman" w:cs="Times New Roman" w:eastAsiaTheme="majorEastAsia"/>
          <w:sz w:val="24"/>
          <w:szCs w:val="24"/>
        </w:rPr>
        <w:t>（</w:t>
      </w:r>
      <w:r>
        <w:rPr>
          <w:rFonts w:hint="eastAsia" w:ascii="Times New Roman" w:hAnsi="Times New Roman" w:cs="Times New Roman" w:eastAsiaTheme="majorEastAsia"/>
          <w:sz w:val="24"/>
          <w:szCs w:val="24"/>
          <w:lang w:val="en-US" w:eastAsia="zh-CN"/>
        </w:rPr>
        <w:t>3</w:t>
      </w:r>
      <w:r>
        <w:rPr>
          <w:rFonts w:hint="default" w:ascii="Times New Roman" w:hAnsi="Times New Roman" w:cs="Times New Roman" w:eastAsiaTheme="majorEastAsia"/>
          <w:sz w:val="24"/>
          <w:szCs w:val="24"/>
        </w:rPr>
        <w:t>）本项目不接受联合体投标</w:t>
      </w:r>
      <w:r>
        <w:rPr>
          <w:rFonts w:hint="eastAsia" w:ascii="Times New Roman" w:hAnsi="Times New Roman" w:cs="Times New Roman" w:eastAsiaTheme="majorEastAsia"/>
          <w:sz w:val="24"/>
          <w:szCs w:val="24"/>
          <w:lang w:eastAsia="zh-CN"/>
        </w:rPr>
        <w:t>；</w:t>
      </w:r>
      <w:r>
        <w:rPr>
          <w:rFonts w:hint="eastAsia" w:ascii="Times New Roman" w:hAnsi="Times New Roman" w:cs="Times New Roman" w:eastAsiaTheme="majorEastAsia"/>
          <w:sz w:val="24"/>
          <w:szCs w:val="24"/>
          <w:lang w:val="en-US" w:eastAsia="zh-CN"/>
        </w:rPr>
        <w:t>单位负责人为同一人或者存在直接控股、管理关系的不同供应商，不得参加同一项政府采购活动</w:t>
      </w:r>
      <w:r>
        <w:rPr>
          <w:rFonts w:hint="default" w:ascii="Times New Roman" w:hAnsi="Times New Roman" w:cs="Times New Roman" w:eastAsiaTheme="majorEastAsia"/>
          <w:sz w:val="24"/>
          <w:szCs w:val="24"/>
        </w:rPr>
        <w:t>。</w:t>
      </w:r>
    </w:p>
    <w:p w14:paraId="1DFBB88A">
      <w:pPr>
        <w:tabs>
          <w:tab w:val="left" w:pos="1206"/>
        </w:tabs>
        <w:spacing w:line="360" w:lineRule="auto"/>
        <w:ind w:firstLine="480" w:firstLineChars="200"/>
        <w:rPr>
          <w:rFonts w:hint="default" w:ascii="Times New Roman" w:hAnsi="Times New Roman" w:cs="Times New Roman" w:eastAsiaTheme="majorEastAsia"/>
          <w:sz w:val="24"/>
          <w:szCs w:val="24"/>
        </w:rPr>
      </w:pPr>
      <w:r>
        <w:rPr>
          <w:rFonts w:hint="default" w:ascii="Times New Roman" w:hAnsi="Times New Roman" w:cs="Times New Roman" w:eastAsiaTheme="majorEastAsia"/>
          <w:sz w:val="24"/>
          <w:szCs w:val="24"/>
        </w:rPr>
        <w:t>（</w:t>
      </w:r>
      <w:r>
        <w:rPr>
          <w:rFonts w:hint="eastAsia" w:ascii="Times New Roman" w:hAnsi="Times New Roman" w:cs="Times New Roman" w:eastAsiaTheme="majorEastAsia"/>
          <w:sz w:val="24"/>
          <w:szCs w:val="24"/>
          <w:lang w:val="en-US" w:eastAsia="zh-CN"/>
        </w:rPr>
        <w:t>4</w:t>
      </w:r>
      <w:r>
        <w:rPr>
          <w:rFonts w:hint="default" w:ascii="Times New Roman" w:hAnsi="Times New Roman" w:cs="Times New Roman" w:eastAsiaTheme="majorEastAsia"/>
          <w:sz w:val="24"/>
          <w:szCs w:val="24"/>
        </w:rPr>
        <w:t>）投标人未被列入“信用中国（www .creditchina.gov.cn )”的失信被执行人及不得被“中国政府采购网”(www.ccgp.gov.cn）列入“政府采购严重违法失信行为记录名单”。须在响应文件中附信用中国的失信被执行人查询的网站截图及中国政府采购网（www.ccgp.gov.cn）政府采购严重违法失信行为记录名单查询截图（查询时间：本项目公告发布至截止时间内）。</w:t>
      </w:r>
    </w:p>
    <w:p w14:paraId="6D7BC327">
      <w:pPr>
        <w:tabs>
          <w:tab w:val="left" w:pos="1206"/>
        </w:tabs>
        <w:spacing w:line="360" w:lineRule="auto"/>
        <w:ind w:firstLine="480" w:firstLineChars="200"/>
        <w:rPr>
          <w:rFonts w:hint="eastAsia" w:ascii="Times New Roman" w:hAnsi="Times New Roman" w:cs="Times New Roman" w:eastAsiaTheme="majorEastAsia"/>
          <w:sz w:val="24"/>
          <w:szCs w:val="24"/>
          <w:lang w:val="en-US" w:eastAsia="zh-CN"/>
        </w:rPr>
      </w:pPr>
      <w:r>
        <w:rPr>
          <w:rFonts w:hint="default" w:ascii="Times New Roman" w:hAnsi="Times New Roman" w:cs="Times New Roman" w:eastAsiaTheme="majorEastAsia"/>
          <w:sz w:val="24"/>
          <w:szCs w:val="24"/>
        </w:rPr>
        <w:t>（</w:t>
      </w:r>
      <w:r>
        <w:rPr>
          <w:rFonts w:hint="eastAsia" w:ascii="Times New Roman" w:hAnsi="Times New Roman" w:cs="Times New Roman" w:eastAsiaTheme="majorEastAsia"/>
          <w:sz w:val="24"/>
          <w:szCs w:val="24"/>
          <w:lang w:val="en-US" w:eastAsia="zh-CN"/>
        </w:rPr>
        <w:t>5</w:t>
      </w:r>
      <w:r>
        <w:rPr>
          <w:rFonts w:hint="default" w:ascii="Times New Roman" w:hAnsi="Times New Roman" w:cs="Times New Roman" w:eastAsiaTheme="majorEastAsia"/>
          <w:sz w:val="24"/>
          <w:szCs w:val="24"/>
        </w:rPr>
        <w:t>）</w:t>
      </w:r>
      <w:r>
        <w:rPr>
          <w:rFonts w:hint="eastAsia" w:ascii="Times New Roman" w:hAnsi="Times New Roman" w:cs="Times New Roman" w:eastAsiaTheme="majorEastAsia"/>
          <w:sz w:val="24"/>
          <w:szCs w:val="24"/>
          <w:lang w:val="en-US" w:eastAsia="zh-CN"/>
        </w:rPr>
        <w:t>为保证监测服务的质量，确保监测数据真实准确、有效，供应商应严格按照相关环境监测技术规范要求开展质量保证及质量控制工作，并制定科学合理的监测服务实施方案供我方审核，审核通过后方可参与报价，否则视为无效报价。</w:t>
      </w:r>
      <w:bookmarkStart w:id="0" w:name="_GoBack"/>
      <w:bookmarkEnd w:id="0"/>
    </w:p>
    <w:p w14:paraId="320B4630">
      <w:pPr>
        <w:tabs>
          <w:tab w:val="left" w:pos="1206"/>
        </w:tabs>
        <w:spacing w:line="360" w:lineRule="auto"/>
        <w:ind w:firstLine="480" w:firstLineChars="200"/>
        <w:rPr>
          <w:rFonts w:hint="eastAsia" w:ascii="Times New Roman" w:hAnsi="Times New Roman" w:cs="Times New Roman" w:eastAsiaTheme="majorEastAsia"/>
          <w:sz w:val="24"/>
          <w:szCs w:val="24"/>
        </w:rPr>
      </w:pPr>
    </w:p>
    <w:sectPr>
      <w:pgSz w:w="11906" w:h="16838"/>
      <w:pgMar w:top="1440" w:right="1701" w:bottom="1440" w:left="1701"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E97B8E"/>
    <w:rsid w:val="00047F9F"/>
    <w:rsid w:val="00062B24"/>
    <w:rsid w:val="000919B4"/>
    <w:rsid w:val="00114052"/>
    <w:rsid w:val="0015429F"/>
    <w:rsid w:val="0022525E"/>
    <w:rsid w:val="00267032"/>
    <w:rsid w:val="00267CE0"/>
    <w:rsid w:val="002F4A12"/>
    <w:rsid w:val="00352D2A"/>
    <w:rsid w:val="00381C30"/>
    <w:rsid w:val="003C039C"/>
    <w:rsid w:val="004C29C8"/>
    <w:rsid w:val="004D0A54"/>
    <w:rsid w:val="00512031"/>
    <w:rsid w:val="005464D8"/>
    <w:rsid w:val="005854AB"/>
    <w:rsid w:val="005C0FFA"/>
    <w:rsid w:val="005C3B54"/>
    <w:rsid w:val="005C5C93"/>
    <w:rsid w:val="006C020B"/>
    <w:rsid w:val="006F4DE9"/>
    <w:rsid w:val="00712F65"/>
    <w:rsid w:val="00775C4D"/>
    <w:rsid w:val="007C410F"/>
    <w:rsid w:val="007D31D3"/>
    <w:rsid w:val="007F6CF7"/>
    <w:rsid w:val="008033C9"/>
    <w:rsid w:val="0084089F"/>
    <w:rsid w:val="00900E05"/>
    <w:rsid w:val="00933335"/>
    <w:rsid w:val="00946437"/>
    <w:rsid w:val="00A63787"/>
    <w:rsid w:val="00B01345"/>
    <w:rsid w:val="00B55783"/>
    <w:rsid w:val="00B75245"/>
    <w:rsid w:val="00C0218F"/>
    <w:rsid w:val="00C90A59"/>
    <w:rsid w:val="00CA523F"/>
    <w:rsid w:val="00CF3810"/>
    <w:rsid w:val="00D33EC0"/>
    <w:rsid w:val="00D77037"/>
    <w:rsid w:val="00D878F9"/>
    <w:rsid w:val="00D97D13"/>
    <w:rsid w:val="00DB5CB9"/>
    <w:rsid w:val="00DF00E9"/>
    <w:rsid w:val="00E0670E"/>
    <w:rsid w:val="00E11EB3"/>
    <w:rsid w:val="00E14D83"/>
    <w:rsid w:val="00E42561"/>
    <w:rsid w:val="00E94AE0"/>
    <w:rsid w:val="00E97B8E"/>
    <w:rsid w:val="00EA3A91"/>
    <w:rsid w:val="00F15B27"/>
    <w:rsid w:val="00F249C1"/>
    <w:rsid w:val="00F45EC4"/>
    <w:rsid w:val="00F75FFA"/>
    <w:rsid w:val="00F972D7"/>
    <w:rsid w:val="00FB00FA"/>
    <w:rsid w:val="00FE19D5"/>
    <w:rsid w:val="0AF67B2D"/>
    <w:rsid w:val="0B116715"/>
    <w:rsid w:val="32285867"/>
    <w:rsid w:val="4A930919"/>
    <w:rsid w:val="7A593B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3">
    <w:name w:val="Default Paragraph Font"/>
    <w:semiHidden/>
    <w:unhideWhenUsed/>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4"/>
    <w:qFormat/>
    <w:uiPriority w:val="0"/>
    <w:pPr>
      <w:tabs>
        <w:tab w:val="left" w:pos="720"/>
      </w:tabs>
      <w:ind w:firstLine="420"/>
    </w:pPr>
    <w:rPr>
      <w:rFonts w:ascii="Times New Roman" w:hAnsi="Times New Roman"/>
    </w:rPr>
  </w:style>
  <w:style w:type="paragraph" w:styleId="3">
    <w:name w:val="Body Text Indent"/>
    <w:basedOn w:val="1"/>
    <w:next w:val="1"/>
    <w:qFormat/>
    <w:uiPriority w:val="0"/>
    <w:pPr>
      <w:ind w:left="420" w:leftChars="200"/>
    </w:pPr>
    <w:rPr>
      <w:szCs w:val="24"/>
    </w:rPr>
  </w:style>
  <w:style w:type="paragraph" w:styleId="4">
    <w:name w:val="Normal Indent"/>
    <w:basedOn w:val="1"/>
    <w:next w:val="5"/>
    <w:qFormat/>
    <w:uiPriority w:val="0"/>
    <w:pPr>
      <w:spacing w:line="240" w:lineRule="auto"/>
      <w:jc w:val="both"/>
    </w:pPr>
    <w:rPr>
      <w:rFonts w:eastAsia="宋体"/>
      <w:sz w:val="21"/>
    </w:rPr>
  </w:style>
  <w:style w:type="paragraph" w:customStyle="1" w:styleId="5">
    <w:name w:val="Default"/>
    <w:qFormat/>
    <w:uiPriority w:val="0"/>
    <w:pPr>
      <w:widowControl w:val="0"/>
      <w:autoSpaceDE w:val="0"/>
      <w:autoSpaceDN w:val="0"/>
      <w:adjustRightInd w:val="0"/>
    </w:pPr>
    <w:rPr>
      <w:rFonts w:ascii="黑体" w:hAnsi="Calibri" w:eastAsia="黑体" w:cs="Times New Roman"/>
      <w:lang w:val="en-US" w:eastAsia="zh-CN" w:bidi="ar-SA"/>
    </w:rPr>
  </w:style>
  <w:style w:type="paragraph" w:styleId="6">
    <w:name w:val="Body Text"/>
    <w:basedOn w:val="1"/>
    <w:next w:val="7"/>
    <w:qFormat/>
    <w:uiPriority w:val="0"/>
    <w:pPr>
      <w:spacing w:after="120"/>
    </w:pPr>
  </w:style>
  <w:style w:type="paragraph" w:customStyle="1" w:styleId="7">
    <w:name w:val="1"/>
    <w:basedOn w:val="1"/>
    <w:next w:val="3"/>
    <w:qFormat/>
    <w:uiPriority w:val="0"/>
    <w:pPr>
      <w:spacing w:afterLines="50" w:line="360" w:lineRule="auto"/>
    </w:pPr>
    <w:rPr>
      <w:rFonts w:ascii="宋体" w:hAnsi="宋体"/>
      <w:b/>
      <w:sz w:val="30"/>
      <w:szCs w:val="21"/>
    </w:rPr>
  </w:style>
  <w:style w:type="paragraph" w:styleId="8">
    <w:name w:val="footer"/>
    <w:basedOn w:val="1"/>
    <w:link w:val="15"/>
    <w:semiHidden/>
    <w:unhideWhenUsed/>
    <w:qFormat/>
    <w:uiPriority w:val="99"/>
    <w:pPr>
      <w:tabs>
        <w:tab w:val="center" w:pos="4153"/>
        <w:tab w:val="right" w:pos="8306"/>
      </w:tabs>
      <w:snapToGrid w:val="0"/>
      <w:jc w:val="left"/>
    </w:pPr>
    <w:rPr>
      <w:sz w:val="18"/>
      <w:szCs w:val="18"/>
    </w:rPr>
  </w:style>
  <w:style w:type="paragraph" w:styleId="9">
    <w:name w:val="header"/>
    <w:basedOn w:val="1"/>
    <w:link w:val="14"/>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Body Text First Indent"/>
    <w:basedOn w:val="6"/>
    <w:qFormat/>
    <w:uiPriority w:val="0"/>
    <w:pPr>
      <w:spacing w:line="360" w:lineRule="auto"/>
      <w:ind w:firstLine="309" w:firstLineChars="100"/>
      <w:outlineLvl w:val="0"/>
    </w:pPr>
    <w:rPr>
      <w:bCs/>
      <w:color w:val="000000"/>
      <w:kern w:val="28"/>
      <w:szCs w:val="21"/>
    </w:rPr>
  </w:style>
  <w:style w:type="table" w:styleId="12">
    <w:name w:val="Table Grid"/>
    <w:basedOn w:val="11"/>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4">
    <w:name w:val="页眉 Char"/>
    <w:basedOn w:val="13"/>
    <w:link w:val="9"/>
    <w:semiHidden/>
    <w:qFormat/>
    <w:uiPriority w:val="99"/>
    <w:rPr>
      <w:sz w:val="18"/>
      <w:szCs w:val="18"/>
    </w:rPr>
  </w:style>
  <w:style w:type="character" w:customStyle="1" w:styleId="15">
    <w:name w:val="页脚 Char"/>
    <w:basedOn w:val="13"/>
    <w:link w:val="8"/>
    <w:semiHidden/>
    <w:qFormat/>
    <w:uiPriority w:val="99"/>
    <w:rPr>
      <w:sz w:val="18"/>
      <w:szCs w:val="18"/>
    </w:rPr>
  </w:style>
  <w:style w:type="paragraph" w:customStyle="1" w:styleId="16">
    <w:name w:val="List Paragraph"/>
    <w:basedOn w:val="1"/>
    <w:qFormat/>
    <w:uiPriority w:val="0"/>
    <w:pPr>
      <w:ind w:firstLine="420" w:firstLineChars="200"/>
    </w:pPr>
    <w:rPr>
      <w:rFonts w:ascii="等线" w:hAnsi="等线" w:eastAsia="等线" w:cs="Times New Roman"/>
      <w:szCs w:val="2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1844</Words>
  <Characters>2015</Characters>
  <Lines>12</Lines>
  <Paragraphs>3</Paragraphs>
  <TotalTime>19</TotalTime>
  <ScaleCrop>false</ScaleCrop>
  <LinksUpToDate>false</LinksUpToDate>
  <CharactersWithSpaces>2021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2023-03-27T02:38:00Z</dcterms:created>
  <dc:creator>Windows 用户</dc:creator>
  <cp:lastModifiedBy>小人物</cp:lastModifiedBy>
  <cp:lastPrinted>2024-10-22T01:34:00Z</cp:lastPrinted>
  <dcterms:modified xsi:type="dcterms:W3CDTF">2025-04-08T04:15:25Z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eyJoZGlkIjoiZDI5NjhjYTQ1YmI0MTU1ZjE2MzZhYjkwYTgzOGVlZGIiLCJ1c2VySWQiOiI1NDY2NDY1MzcifQ==</vt:lpwstr>
  </property>
  <property fmtid="{D5CDD505-2E9C-101B-9397-08002B2CF9AE}" pid="3" name="KSOProductBuildVer">
    <vt:lpwstr>2052-12.1.0.20305</vt:lpwstr>
  </property>
  <property fmtid="{D5CDD505-2E9C-101B-9397-08002B2CF9AE}" pid="4" name="ICV">
    <vt:lpwstr>810B1D688558476CB5E859D21B29A099_12</vt:lpwstr>
  </property>
</Properties>
</file>