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4C6CD">
      <w:pPr>
        <w:numPr>
          <w:ilvl w:val="0"/>
          <w:numId w:val="0"/>
        </w:numPr>
        <w:spacing w:before="162" w:line="224" w:lineRule="auto"/>
        <w:jc w:val="center"/>
        <w:outlineLvl w:val="0"/>
        <w:rPr>
          <w:rFonts w:hint="default" w:ascii="宋体" w:hAnsi="宋体" w:eastAsia="宋体" w:cs="宋体"/>
          <w:b/>
          <w:bCs/>
          <w:spacing w:val="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32"/>
          <w:szCs w:val="32"/>
          <w:lang w:val="en-US" w:eastAsia="zh-CN"/>
        </w:rPr>
        <w:t>株洲市渌口区明德小学饮水设备采购方案</w:t>
      </w:r>
    </w:p>
    <w:p w14:paraId="2DDFC6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pacing w:val="5"/>
          <w:sz w:val="28"/>
          <w:szCs w:val="28"/>
          <w:lang w:val="en-US" w:eastAsia="zh-CN"/>
        </w:rPr>
      </w:pPr>
    </w:p>
    <w:p w14:paraId="04C83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pacing w:val="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28"/>
          <w:szCs w:val="28"/>
          <w:lang w:val="en-US" w:eastAsia="zh-CN"/>
        </w:rPr>
        <w:t>一、饮水设备意向采购品牌：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生命伟业、金泉涞</w:t>
      </w:r>
    </w:p>
    <w:p w14:paraId="0582B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pacing w:val="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28"/>
          <w:szCs w:val="28"/>
          <w:lang w:val="en-US" w:eastAsia="zh-CN"/>
        </w:rPr>
        <w:t>二、饮水设备采购项目预算：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15万元</w:t>
      </w:r>
    </w:p>
    <w:tbl>
      <w:tblPr>
        <w:tblStyle w:val="3"/>
        <w:tblW w:w="6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750"/>
        <w:gridCol w:w="925"/>
        <w:gridCol w:w="1838"/>
      </w:tblGrid>
      <w:tr w14:paraId="7EF6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43" w:type="dxa"/>
          </w:tcPr>
          <w:p w14:paraId="52E62BDC">
            <w:pPr>
              <w:numPr>
                <w:ilvl w:val="0"/>
                <w:numId w:val="0"/>
              </w:numPr>
              <w:spacing w:before="162" w:line="224" w:lineRule="auto"/>
              <w:jc w:val="center"/>
              <w:outlineLvl w:val="0"/>
              <w:rPr>
                <w:rFonts w:hint="default" w:asciiTheme="minorEastAsia" w:hAnsiTheme="minorEastAsia" w:eastAsiaTheme="minorEastAsia" w:cstheme="minorEastAsia"/>
                <w:b/>
                <w:bCs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5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50" w:type="dxa"/>
          </w:tcPr>
          <w:p w14:paraId="64C5217A">
            <w:pPr>
              <w:numPr>
                <w:ilvl w:val="0"/>
                <w:numId w:val="0"/>
              </w:numPr>
              <w:spacing w:before="162" w:line="224" w:lineRule="auto"/>
              <w:jc w:val="center"/>
              <w:outlineLvl w:val="0"/>
              <w:rPr>
                <w:rFonts w:hint="default" w:asciiTheme="minorEastAsia" w:hAnsiTheme="minorEastAsia" w:eastAsiaTheme="minorEastAsia" w:cstheme="minorEastAsia"/>
                <w:b/>
                <w:bCs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5"/>
                <w:sz w:val="24"/>
                <w:szCs w:val="24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925" w:type="dxa"/>
          </w:tcPr>
          <w:p w14:paraId="75287682">
            <w:pPr>
              <w:numPr>
                <w:ilvl w:val="0"/>
                <w:numId w:val="0"/>
              </w:numPr>
              <w:spacing w:before="162" w:line="224" w:lineRule="auto"/>
              <w:jc w:val="center"/>
              <w:outlineLvl w:val="0"/>
              <w:rPr>
                <w:rFonts w:hint="default" w:asciiTheme="minorEastAsia" w:hAnsiTheme="minorEastAsia" w:eastAsiaTheme="minorEastAsia" w:cstheme="minorEastAsia"/>
                <w:b/>
                <w:bCs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5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838" w:type="dxa"/>
          </w:tcPr>
          <w:p w14:paraId="51C5BA99">
            <w:pPr>
              <w:numPr>
                <w:ilvl w:val="0"/>
                <w:numId w:val="0"/>
              </w:numPr>
              <w:spacing w:before="162" w:line="224" w:lineRule="auto"/>
              <w:jc w:val="center"/>
              <w:outlineLvl w:val="0"/>
              <w:rPr>
                <w:rFonts w:hint="default" w:asciiTheme="minorEastAsia" w:hAnsiTheme="minorEastAsia" w:cstheme="minorEastAsia"/>
                <w:b/>
                <w:bCs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5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98D9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743" w:type="dxa"/>
            <w:vAlign w:val="center"/>
          </w:tcPr>
          <w:p w14:paraId="6388444A">
            <w:pPr>
              <w:numPr>
                <w:ilvl w:val="0"/>
                <w:numId w:val="0"/>
              </w:numPr>
              <w:spacing w:before="162" w:line="224" w:lineRule="auto"/>
              <w:jc w:val="center"/>
              <w:outlineLvl w:val="0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50" w:type="dxa"/>
            <w:vAlign w:val="center"/>
          </w:tcPr>
          <w:p w14:paraId="47ABBAED">
            <w:pPr>
              <w:numPr>
                <w:ilvl w:val="0"/>
                <w:numId w:val="0"/>
              </w:numPr>
              <w:spacing w:before="162" w:line="224" w:lineRule="auto"/>
              <w:jc w:val="center"/>
              <w:outlineLvl w:val="0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  <w:t>饮水设备（四个水嘴）</w:t>
            </w:r>
          </w:p>
        </w:tc>
        <w:tc>
          <w:tcPr>
            <w:tcW w:w="925" w:type="dxa"/>
            <w:vAlign w:val="center"/>
          </w:tcPr>
          <w:p w14:paraId="5596BB49">
            <w:pPr>
              <w:numPr>
                <w:ilvl w:val="0"/>
                <w:numId w:val="0"/>
              </w:numPr>
              <w:spacing w:before="162" w:line="224" w:lineRule="auto"/>
              <w:jc w:val="center"/>
              <w:outlineLvl w:val="0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  <w:t>14台</w:t>
            </w:r>
          </w:p>
        </w:tc>
        <w:tc>
          <w:tcPr>
            <w:tcW w:w="1838" w:type="dxa"/>
          </w:tcPr>
          <w:p w14:paraId="1F802AD4">
            <w:pPr>
              <w:numPr>
                <w:ilvl w:val="0"/>
                <w:numId w:val="0"/>
              </w:numPr>
              <w:spacing w:before="162" w:line="224" w:lineRule="auto"/>
              <w:jc w:val="center"/>
              <w:outlineLvl w:val="0"/>
              <w:rPr>
                <w:rFonts w:hint="default" w:asciiTheme="minorEastAsia" w:hAnsi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  <w:t>含水电安装</w:t>
            </w:r>
            <w:bookmarkStart w:id="0" w:name="_GoBack"/>
            <w:bookmarkEnd w:id="0"/>
          </w:p>
          <w:p w14:paraId="7B243482">
            <w:pPr>
              <w:numPr>
                <w:ilvl w:val="0"/>
                <w:numId w:val="0"/>
              </w:numPr>
              <w:spacing w:before="162" w:line="224" w:lineRule="auto"/>
              <w:jc w:val="center"/>
              <w:outlineLvl w:val="0"/>
              <w:rPr>
                <w:rFonts w:hint="default" w:asciiTheme="minorEastAsia" w:hAnsi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  <w:t>及质保2年</w:t>
            </w:r>
          </w:p>
        </w:tc>
      </w:tr>
      <w:tr w14:paraId="2CCF2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43" w:type="dxa"/>
            <w:vAlign w:val="center"/>
          </w:tcPr>
          <w:p w14:paraId="3FB33C35">
            <w:pPr>
              <w:numPr>
                <w:ilvl w:val="0"/>
                <w:numId w:val="0"/>
              </w:numPr>
              <w:spacing w:before="162" w:line="224" w:lineRule="auto"/>
              <w:jc w:val="center"/>
              <w:outlineLvl w:val="0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50" w:type="dxa"/>
            <w:vAlign w:val="center"/>
          </w:tcPr>
          <w:p w14:paraId="3DC9A96A">
            <w:pPr>
              <w:numPr>
                <w:ilvl w:val="0"/>
                <w:numId w:val="0"/>
              </w:numPr>
              <w:spacing w:before="162" w:line="224" w:lineRule="auto"/>
              <w:jc w:val="center"/>
              <w:outlineLvl w:val="0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  <w:t>定制不锈钢架</w:t>
            </w:r>
          </w:p>
        </w:tc>
        <w:tc>
          <w:tcPr>
            <w:tcW w:w="925" w:type="dxa"/>
            <w:vAlign w:val="center"/>
          </w:tcPr>
          <w:p w14:paraId="605EE564">
            <w:pPr>
              <w:numPr>
                <w:ilvl w:val="0"/>
                <w:numId w:val="0"/>
              </w:numPr>
              <w:spacing w:before="162" w:line="224" w:lineRule="auto"/>
              <w:jc w:val="center"/>
              <w:outlineLvl w:val="0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  <w:t>3个</w:t>
            </w:r>
          </w:p>
        </w:tc>
        <w:tc>
          <w:tcPr>
            <w:tcW w:w="1838" w:type="dxa"/>
            <w:vAlign w:val="center"/>
          </w:tcPr>
          <w:p w14:paraId="7A02430F">
            <w:pPr>
              <w:numPr>
                <w:ilvl w:val="0"/>
                <w:numId w:val="0"/>
              </w:numPr>
              <w:spacing w:before="162" w:line="224" w:lineRule="auto"/>
              <w:jc w:val="center"/>
              <w:outlineLvl w:val="0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5"/>
                <w:sz w:val="24"/>
                <w:szCs w:val="24"/>
                <w:vertAlign w:val="baseline"/>
                <w:lang w:val="en-US" w:eastAsia="zh-CN"/>
              </w:rPr>
              <w:t>含运费及安装</w:t>
            </w:r>
          </w:p>
        </w:tc>
      </w:tr>
    </w:tbl>
    <w:p w14:paraId="1463E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outlineLvl w:val="0"/>
        <w:rPr>
          <w:rFonts w:hint="default" w:ascii="宋体" w:hAnsi="宋体" w:eastAsia="宋体" w:cs="宋体"/>
          <w:b/>
          <w:bCs/>
          <w:spacing w:val="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28"/>
          <w:szCs w:val="28"/>
          <w:lang w:val="en-US" w:eastAsia="zh-CN"/>
        </w:rPr>
        <w:t>三、项目采购要求</w:t>
      </w:r>
    </w:p>
    <w:p w14:paraId="7689D5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right="45" w:hanging="8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（1）净水工艺：采用 5 级及以上过滤工艺</w:t>
      </w:r>
    </w:p>
    <w:p w14:paraId="2C96CD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right="45" w:hanging="8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（2）净水流量：≥60L/H，额定总净水量：≥5m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vertAlign w:val="superscript"/>
        </w:rPr>
        <w:t>3</w:t>
      </w:r>
    </w:p>
    <w:p w14:paraId="3F55DB1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right="45" w:hanging="8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（3）加热内胆：≥35L</w:t>
      </w:r>
    </w:p>
    <w:p w14:paraId="4BEA569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right="45" w:hanging="8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（4）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饮水机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产品尺寸：1200*450*1500mm</w:t>
      </w:r>
    </w:p>
    <w:p w14:paraId="246B93C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right="45" w:hanging="8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（5）水嘴数量：4 个（温水，触摸式取水方式）</w:t>
      </w:r>
    </w:p>
    <w:p w14:paraId="1CCB31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right="45" w:hanging="8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（6）出水水质：符合《生活饮用水质处理器卫生安全与功能评价规范—— 反渗透处理装置》（2001）的要求</w:t>
      </w:r>
    </w:p>
    <w:p w14:paraId="20BCE4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right="45" w:hanging="8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（7）其他功能：带智能运行显示，紫外线杀菌功能，具备防干烧、防漏电等多重安全保护。</w:t>
      </w:r>
    </w:p>
    <w:p w14:paraId="7A0B20A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right="45" w:hanging="8"/>
        <w:textAlignment w:val="auto"/>
        <w:rPr>
          <w:rFonts w:hint="default" w:asciiTheme="minorEastAsia" w:hAnsiTheme="minorEastAsia" w:cstheme="minorEastAsia"/>
          <w:b/>
          <w:bCs/>
          <w:color w:val="0000FF"/>
          <w:spacing w:val="5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pacing w:val="-3"/>
          <w:sz w:val="24"/>
          <w:szCs w:val="24"/>
        </w:rPr>
        <w:t>（8）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pacing w:val="-3"/>
          <w:sz w:val="24"/>
          <w:szCs w:val="24"/>
          <w:lang w:val="en-US" w:eastAsia="zh-CN"/>
        </w:rPr>
        <w:t>设备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pacing w:val="-3"/>
          <w:sz w:val="24"/>
          <w:szCs w:val="24"/>
        </w:rPr>
        <w:t>安装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pacing w:val="-3"/>
          <w:sz w:val="24"/>
          <w:szCs w:val="24"/>
          <w:lang w:val="en-US" w:eastAsia="zh-CN"/>
        </w:rPr>
        <w:t>及配套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pacing w:val="-3"/>
          <w:sz w:val="24"/>
          <w:szCs w:val="24"/>
        </w:rPr>
        <w:t>要求：负责饮水设备的配套电源、给排水管线材料的供应及安装，保障正常供水。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pacing w:val="-3"/>
          <w:sz w:val="24"/>
          <w:szCs w:val="24"/>
          <w:lang w:val="en-US" w:eastAsia="zh-CN"/>
        </w:rPr>
        <w:t>另定制3个不锈钢</w:t>
      </w:r>
      <w:r>
        <w:rPr>
          <w:rFonts w:hint="eastAsia" w:asciiTheme="minorEastAsia" w:hAnsiTheme="minorEastAsia" w:cstheme="minorEastAsia"/>
          <w:b/>
          <w:bCs/>
          <w:color w:val="0000FF"/>
          <w:spacing w:val="5"/>
          <w:sz w:val="24"/>
          <w:szCs w:val="24"/>
          <w:vertAlign w:val="baseline"/>
          <w:lang w:val="en-US" w:eastAsia="zh-CN"/>
        </w:rPr>
        <w:t>架，规格要求：长度不低于3米，高度不低于2.5米，背景框预留饮水项目公示内容（附参考图）。</w:t>
      </w:r>
    </w:p>
    <w:p w14:paraId="3C7F070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right="45" w:hanging="8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（9）验收要求：饮水设备安装完毕，正式投入使用前应出具1份第三方权威检测机构的合格水质检验报告。</w:t>
      </w:r>
    </w:p>
    <w:p w14:paraId="049E18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right="45" w:hanging="8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（10）服务要求：饮水设备出现故障时，乙方接到电话后1小时到达现场，2小时内解决问题。如4小时内无法恢复供水，须第一时间上报学校，并做好应急供水方案。</w:t>
      </w:r>
    </w:p>
    <w:p w14:paraId="7A3F33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right="45" w:hanging="8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（11）资质要求：提供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饮水设备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整机涉及饮用水卫生安全产品卫生许可批件复印件加盖公章，提供饮水设备厂家针对本项目的授权书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饮水设备厂家售后服务承诺书另盖厂家公章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。</w:t>
      </w:r>
    </w:p>
    <w:p w14:paraId="03324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spacing w:val="-3"/>
          <w:kern w:val="2"/>
          <w:sz w:val="24"/>
          <w:szCs w:val="24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pacing w:val="-3"/>
          <w:kern w:val="2"/>
          <w:sz w:val="24"/>
          <w:szCs w:val="24"/>
          <w:lang w:val="en-US" w:eastAsia="en-US" w:bidi="ar-SA"/>
        </w:rPr>
        <w:t>12）其他要求：提供整机质保2年，以及质保期内每学期1次饮水设备耗材更换和1次第三方权威检测机构水质检测服务。在竞价前需向甲方提供样品，在取得校方的样品合格证明后，方可参与报价。否则竞价无效。</w:t>
      </w:r>
    </w:p>
    <w:p w14:paraId="153FB60A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64D9E50C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5A5A6BCA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C409F1F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FF"/>
          <w:spacing w:val="-3"/>
          <w:sz w:val="24"/>
          <w:szCs w:val="24"/>
          <w:lang w:val="en-US" w:eastAsia="zh-CN"/>
        </w:rPr>
        <w:t>附：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pacing w:val="-3"/>
          <w:sz w:val="24"/>
          <w:szCs w:val="24"/>
          <w:lang w:val="en-US" w:eastAsia="zh-CN"/>
        </w:rPr>
        <w:t>不锈钢</w:t>
      </w:r>
      <w:r>
        <w:rPr>
          <w:rFonts w:hint="eastAsia" w:asciiTheme="minorEastAsia" w:hAnsiTheme="minorEastAsia" w:cstheme="minorEastAsia"/>
          <w:b/>
          <w:bCs/>
          <w:color w:val="0000FF"/>
          <w:spacing w:val="5"/>
          <w:sz w:val="24"/>
          <w:szCs w:val="24"/>
          <w:vertAlign w:val="baseline"/>
          <w:lang w:val="en-US" w:eastAsia="zh-CN"/>
        </w:rPr>
        <w:t>架参考图</w:t>
      </w:r>
    </w:p>
    <w:p w14:paraId="6E04EBF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153025" cy="3335020"/>
            <wp:effectExtent l="0" t="0" r="3175" b="5080"/>
            <wp:docPr id="2" name="图片 2" descr="1750926794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09267943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B4760"/>
    <w:rsid w:val="04553F6E"/>
    <w:rsid w:val="0AB24B18"/>
    <w:rsid w:val="0BA53A2D"/>
    <w:rsid w:val="0E3D7000"/>
    <w:rsid w:val="179E7583"/>
    <w:rsid w:val="1E875215"/>
    <w:rsid w:val="200C59D1"/>
    <w:rsid w:val="209D1658"/>
    <w:rsid w:val="232E2103"/>
    <w:rsid w:val="256A4F48"/>
    <w:rsid w:val="283F26BC"/>
    <w:rsid w:val="2D214A86"/>
    <w:rsid w:val="2DC773DC"/>
    <w:rsid w:val="2F234AE5"/>
    <w:rsid w:val="36F942BF"/>
    <w:rsid w:val="40860A30"/>
    <w:rsid w:val="41564B68"/>
    <w:rsid w:val="429513FF"/>
    <w:rsid w:val="42C811FF"/>
    <w:rsid w:val="441D624B"/>
    <w:rsid w:val="465B64BB"/>
    <w:rsid w:val="469E0D48"/>
    <w:rsid w:val="4AD8632C"/>
    <w:rsid w:val="4EDB288F"/>
    <w:rsid w:val="4FB21842"/>
    <w:rsid w:val="50901457"/>
    <w:rsid w:val="601B4760"/>
    <w:rsid w:val="628F5A13"/>
    <w:rsid w:val="6BD34BC2"/>
    <w:rsid w:val="6E906EEB"/>
    <w:rsid w:val="6FA81EC2"/>
    <w:rsid w:val="77FE6B23"/>
    <w:rsid w:val="79951709"/>
    <w:rsid w:val="7DB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747</Characters>
  <Lines>0</Lines>
  <Paragraphs>0</Paragraphs>
  <TotalTime>14</TotalTime>
  <ScaleCrop>false</ScaleCrop>
  <LinksUpToDate>false</LinksUpToDate>
  <CharactersWithSpaces>751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2025-06-16T02:56:00Z</dcterms:created>
  <dc:creator>成长快乐</dc:creator>
  <cp:lastModifiedBy>ZX</cp:lastModifiedBy>
  <dcterms:modified xsi:type="dcterms:W3CDTF">2025-07-01T08:27:11Z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159405B0025C42AD8949D000BF5697EC_13</vt:lpwstr>
  </property>
  <property fmtid="{D5CDD505-2E9C-101B-9397-08002B2CF9AE}" pid="4" name="KSOTemplateDocerSaveRecord">
    <vt:lpwstr>eyJoZGlkIjoiOTY1YjNlMTY5NGI4YTY1MWJmNDQzN2VmZWI0N2FlNDAiLCJ1c2VySWQiOiIxMDc4ODYwMTM1In0=</vt:lpwstr>
  </property>
</Properties>
</file>