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EF75DB">
      <w:pPr>
        <w:spacing w:line="282" w:lineRule="auto"/>
        <w:rPr>
          <w:rFonts w:ascii="Arial"/>
          <w:sz w:val="21"/>
        </w:rPr>
      </w:pPr>
    </w:p>
    <w:p w14:paraId="033332E7">
      <w:pPr>
        <w:spacing w:line="282" w:lineRule="auto"/>
        <w:rPr>
          <w:rFonts w:ascii="Arial"/>
          <w:sz w:val="21"/>
        </w:rPr>
      </w:pPr>
    </w:p>
    <w:p w14:paraId="4A66EAAA">
      <w:pPr>
        <w:pStyle w:val="2"/>
        <w:keepNext w:val="0"/>
        <w:keepLines w:val="0"/>
        <w:pageBreakBefore w:val="0"/>
        <w:widowControl/>
        <w:kinsoku w:val="0"/>
        <w:wordWrap/>
        <w:overflowPunct/>
        <w:topLinePunct w:val="0"/>
        <w:autoSpaceDE w:val="0"/>
        <w:autoSpaceDN w:val="0"/>
        <w:bidi w:val="0"/>
        <w:adjustRightInd w:val="0"/>
        <w:snapToGrid w:val="0"/>
        <w:spacing w:before="114" w:line="360" w:lineRule="auto"/>
        <w:ind w:left="0"/>
        <w:jc w:val="center"/>
        <w:textAlignment w:val="baseline"/>
        <w:outlineLvl w:val="0"/>
        <w:rPr>
          <w:sz w:val="35"/>
          <w:szCs w:val="35"/>
        </w:rPr>
      </w:pPr>
      <w:r>
        <w:rPr>
          <w:b/>
          <w:bCs/>
          <w:spacing w:val="4"/>
          <w:sz w:val="35"/>
          <w:szCs w:val="35"/>
        </w:rPr>
        <w:t>长沙市公安局交通警察支队</w:t>
      </w:r>
      <w:r>
        <w:rPr>
          <w:rFonts w:hint="eastAsia"/>
          <w:b/>
          <w:bCs/>
          <w:spacing w:val="4"/>
          <w:sz w:val="35"/>
          <w:szCs w:val="35"/>
        </w:rPr>
        <w:t>智慧交管指挥调度平台“三快”功能研发</w:t>
      </w:r>
      <w:r>
        <w:rPr>
          <w:b/>
          <w:bCs/>
          <w:spacing w:val="4"/>
          <w:sz w:val="35"/>
          <w:szCs w:val="35"/>
        </w:rPr>
        <w:t>项</w:t>
      </w:r>
      <w:r>
        <w:rPr>
          <w:b/>
          <w:bCs/>
          <w:spacing w:val="2"/>
          <w:sz w:val="35"/>
          <w:szCs w:val="35"/>
        </w:rPr>
        <w:t>目采购文件</w:t>
      </w:r>
    </w:p>
    <w:p w14:paraId="265FFF9D">
      <w:pPr>
        <w:spacing w:line="263" w:lineRule="auto"/>
        <w:rPr>
          <w:rFonts w:ascii="Arial"/>
          <w:sz w:val="21"/>
        </w:rPr>
      </w:pPr>
    </w:p>
    <w:p w14:paraId="33CFE30F">
      <w:pPr>
        <w:spacing w:line="264" w:lineRule="auto"/>
        <w:rPr>
          <w:rFonts w:ascii="Arial"/>
          <w:sz w:val="21"/>
        </w:rPr>
      </w:pPr>
    </w:p>
    <w:p w14:paraId="63399831">
      <w:pPr>
        <w:spacing w:line="264" w:lineRule="auto"/>
        <w:rPr>
          <w:rFonts w:ascii="Arial"/>
          <w:sz w:val="21"/>
        </w:rPr>
      </w:pPr>
    </w:p>
    <w:p w14:paraId="10D41D4F">
      <w:pPr>
        <w:spacing w:line="264" w:lineRule="auto"/>
        <w:rPr>
          <w:rFonts w:ascii="Arial"/>
          <w:sz w:val="21"/>
        </w:rPr>
      </w:pPr>
    </w:p>
    <w:p w14:paraId="42BC8D02">
      <w:pPr>
        <w:spacing w:before="91" w:line="222" w:lineRule="auto"/>
        <w:ind w:left="633"/>
        <w:outlineLvl w:val="2"/>
        <w:rPr>
          <w:rFonts w:ascii="黑体" w:hAnsi="黑体" w:eastAsia="黑体" w:cs="黑体"/>
          <w:sz w:val="28"/>
          <w:szCs w:val="28"/>
        </w:rPr>
      </w:pPr>
      <w:r>
        <w:rPr>
          <w:rFonts w:ascii="黑体" w:hAnsi="黑体" w:eastAsia="黑体" w:cs="黑体"/>
          <w:b/>
          <w:bCs/>
          <w:spacing w:val="21"/>
          <w:sz w:val="28"/>
          <w:szCs w:val="28"/>
        </w:rPr>
        <w:t>一</w:t>
      </w:r>
      <w:r>
        <w:rPr>
          <w:rFonts w:ascii="黑体" w:hAnsi="黑体" w:eastAsia="黑体" w:cs="黑体"/>
          <w:spacing w:val="-12"/>
          <w:sz w:val="28"/>
          <w:szCs w:val="28"/>
        </w:rPr>
        <w:t xml:space="preserve"> </w:t>
      </w:r>
      <w:r>
        <w:rPr>
          <w:rFonts w:ascii="黑体" w:hAnsi="黑体" w:eastAsia="黑体" w:cs="黑体"/>
          <w:b/>
          <w:bCs/>
          <w:spacing w:val="21"/>
          <w:sz w:val="28"/>
          <w:szCs w:val="28"/>
        </w:rPr>
        <w:t>、项目名称</w:t>
      </w:r>
    </w:p>
    <w:p w14:paraId="39E0EB4B">
      <w:pPr>
        <w:spacing w:line="436" w:lineRule="auto"/>
        <w:rPr>
          <w:rFonts w:ascii="Arial"/>
          <w:sz w:val="21"/>
        </w:rPr>
      </w:pPr>
    </w:p>
    <w:p w14:paraId="5FE54FB9">
      <w:pPr>
        <w:pStyle w:val="2"/>
        <w:keepNext w:val="0"/>
        <w:keepLines w:val="0"/>
        <w:pageBreakBefore w:val="0"/>
        <w:widowControl/>
        <w:kinsoku w:val="0"/>
        <w:wordWrap/>
        <w:overflowPunct/>
        <w:topLinePunct w:val="0"/>
        <w:autoSpaceDE w:val="0"/>
        <w:autoSpaceDN w:val="0"/>
        <w:bidi w:val="0"/>
        <w:adjustRightInd w:val="0"/>
        <w:snapToGrid w:val="0"/>
        <w:spacing w:before="91" w:line="408" w:lineRule="auto"/>
        <w:ind w:left="0" w:firstLine="560" w:firstLineChars="200"/>
        <w:textAlignment w:val="baseline"/>
      </w:pPr>
      <w:r>
        <w:rPr>
          <w:rFonts w:hint="eastAsia"/>
        </w:rPr>
        <w:t>长沙市公安局交通警察支队智慧交管指挥调度平台“三快”功能研发项目</w:t>
      </w:r>
    </w:p>
    <w:p w14:paraId="56C1BEF9">
      <w:pPr>
        <w:spacing w:line="475" w:lineRule="auto"/>
        <w:rPr>
          <w:rFonts w:ascii="Arial"/>
          <w:sz w:val="21"/>
        </w:rPr>
      </w:pPr>
    </w:p>
    <w:p w14:paraId="4A75BAC4">
      <w:pPr>
        <w:spacing w:before="92" w:line="222" w:lineRule="auto"/>
        <w:ind w:left="633"/>
        <w:outlineLvl w:val="2"/>
        <w:rPr>
          <w:rFonts w:ascii="黑体" w:hAnsi="黑体" w:eastAsia="黑体" w:cs="黑体"/>
          <w:sz w:val="28"/>
          <w:szCs w:val="28"/>
        </w:rPr>
      </w:pPr>
      <w:r>
        <w:rPr>
          <w:rFonts w:ascii="黑体" w:hAnsi="黑体" w:eastAsia="黑体" w:cs="黑体"/>
          <w:b/>
          <w:bCs/>
          <w:spacing w:val="21"/>
          <w:sz w:val="28"/>
          <w:szCs w:val="28"/>
        </w:rPr>
        <w:t>二</w:t>
      </w:r>
      <w:r>
        <w:rPr>
          <w:rFonts w:ascii="黑体" w:hAnsi="黑体" w:eastAsia="黑体" w:cs="黑体"/>
          <w:spacing w:val="-11"/>
          <w:sz w:val="28"/>
          <w:szCs w:val="28"/>
        </w:rPr>
        <w:t xml:space="preserve"> </w:t>
      </w:r>
      <w:r>
        <w:rPr>
          <w:rFonts w:ascii="黑体" w:hAnsi="黑体" w:eastAsia="黑体" w:cs="黑体"/>
          <w:b/>
          <w:bCs/>
          <w:spacing w:val="21"/>
          <w:sz w:val="28"/>
          <w:szCs w:val="28"/>
        </w:rPr>
        <w:t>、采购预算</w:t>
      </w:r>
    </w:p>
    <w:p w14:paraId="7150A603">
      <w:pPr>
        <w:spacing w:line="443" w:lineRule="auto"/>
        <w:rPr>
          <w:rFonts w:ascii="Arial"/>
          <w:sz w:val="21"/>
        </w:rPr>
      </w:pPr>
    </w:p>
    <w:p w14:paraId="002E4DFE">
      <w:pPr>
        <w:pStyle w:val="2"/>
        <w:spacing w:before="91" w:line="219" w:lineRule="auto"/>
        <w:ind w:left="559"/>
      </w:pPr>
      <w:r>
        <w:rPr>
          <w:spacing w:val="13"/>
        </w:rPr>
        <w:t>人民币</w:t>
      </w:r>
      <w:r>
        <w:rPr>
          <w:rFonts w:hint="eastAsia"/>
          <w:spacing w:val="13"/>
          <w:lang w:val="en-US" w:eastAsia="zh-CN"/>
        </w:rPr>
        <w:t>壹拾捌万捌仟伍佰元</w:t>
      </w:r>
      <w:r>
        <w:rPr>
          <w:spacing w:val="13"/>
        </w:rPr>
        <w:t>整(¥</w:t>
      </w:r>
      <w:r>
        <w:rPr>
          <w:rFonts w:hint="eastAsia"/>
          <w:spacing w:val="13"/>
        </w:rPr>
        <w:t>188500</w:t>
      </w:r>
      <w:r>
        <w:rPr>
          <w:spacing w:val="13"/>
        </w:rPr>
        <w:t>.00)</w:t>
      </w:r>
    </w:p>
    <w:p w14:paraId="27126AB0">
      <w:pPr>
        <w:spacing w:line="471" w:lineRule="auto"/>
        <w:rPr>
          <w:rFonts w:ascii="Arial"/>
          <w:sz w:val="21"/>
        </w:rPr>
      </w:pPr>
    </w:p>
    <w:p w14:paraId="7A758DBD">
      <w:pPr>
        <w:spacing w:before="92" w:line="222" w:lineRule="auto"/>
        <w:ind w:left="633"/>
        <w:outlineLvl w:val="2"/>
        <w:rPr>
          <w:rFonts w:ascii="黑体" w:hAnsi="黑体" w:eastAsia="黑体" w:cs="黑体"/>
          <w:sz w:val="28"/>
          <w:szCs w:val="28"/>
        </w:rPr>
      </w:pPr>
      <w:r>
        <w:rPr>
          <w:rFonts w:ascii="黑体" w:hAnsi="黑体" w:eastAsia="黑体" w:cs="黑体"/>
          <w:b/>
          <w:bCs/>
          <w:spacing w:val="16"/>
          <w:sz w:val="28"/>
          <w:szCs w:val="28"/>
        </w:rPr>
        <w:t>三</w:t>
      </w:r>
      <w:r>
        <w:rPr>
          <w:rFonts w:ascii="黑体" w:hAnsi="黑体" w:eastAsia="黑体" w:cs="黑体"/>
          <w:spacing w:val="-10"/>
          <w:sz w:val="28"/>
          <w:szCs w:val="28"/>
        </w:rPr>
        <w:t xml:space="preserve"> </w:t>
      </w:r>
      <w:r>
        <w:rPr>
          <w:rFonts w:ascii="黑体" w:hAnsi="黑体" w:eastAsia="黑体" w:cs="黑体"/>
          <w:b/>
          <w:bCs/>
          <w:spacing w:val="16"/>
          <w:sz w:val="28"/>
          <w:szCs w:val="28"/>
        </w:rPr>
        <w:t>、采购内容</w:t>
      </w:r>
    </w:p>
    <w:p w14:paraId="520A10C7">
      <w:pPr>
        <w:spacing w:line="467" w:lineRule="auto"/>
        <w:rPr>
          <w:rFonts w:ascii="Arial"/>
          <w:sz w:val="21"/>
        </w:rPr>
      </w:pPr>
    </w:p>
    <w:p w14:paraId="12AE92B5">
      <w:pPr>
        <w:pStyle w:val="2"/>
        <w:keepNext w:val="0"/>
        <w:keepLines w:val="0"/>
        <w:pageBreakBefore w:val="0"/>
        <w:widowControl/>
        <w:kinsoku w:val="0"/>
        <w:wordWrap/>
        <w:overflowPunct/>
        <w:topLinePunct w:val="0"/>
        <w:autoSpaceDE w:val="0"/>
        <w:autoSpaceDN w:val="0"/>
        <w:bidi w:val="0"/>
        <w:adjustRightInd w:val="0"/>
        <w:snapToGrid w:val="0"/>
        <w:spacing w:before="91" w:line="408" w:lineRule="auto"/>
        <w:ind w:right="0" w:firstLine="600" w:firstLineChars="200"/>
        <w:jc w:val="both"/>
        <w:textAlignment w:val="baseline"/>
      </w:pPr>
      <w:r>
        <w:rPr>
          <w:spacing w:val="10"/>
        </w:rPr>
        <w:t>为进一步</w:t>
      </w:r>
      <w:r>
        <w:rPr>
          <w:rFonts w:hint="eastAsia"/>
          <w:spacing w:val="10"/>
          <w:lang w:val="en-US" w:eastAsia="zh-CN"/>
        </w:rPr>
        <w:t>实现</w:t>
      </w:r>
      <w:r>
        <w:rPr>
          <w:rFonts w:hint="eastAsia"/>
          <w:spacing w:val="10"/>
        </w:rPr>
        <w:t>跨部门、跨行业综合统筹，达到“决策支持数据化”、“指挥调度场景化”、“接警处警快速化”的建设目标</w:t>
      </w:r>
      <w:r>
        <w:rPr>
          <w:spacing w:val="-10"/>
        </w:rPr>
        <w:t>，</w:t>
      </w:r>
      <w:r>
        <w:t xml:space="preserve"> 按照</w:t>
      </w:r>
      <w:r>
        <w:rPr>
          <w:rFonts w:hint="eastAsia"/>
          <w:lang w:val="en-US" w:eastAsia="zh-CN"/>
        </w:rPr>
        <w:t>“三快”工作的建设要求，</w:t>
      </w:r>
      <w:r>
        <w:rPr>
          <w:rFonts w:hint="eastAsia"/>
        </w:rPr>
        <w:t>项目建设内容主要包括领导驾驶舱和“三快”警情处置两部分。领导驾驶舱包括支队大屏开发、大队大屏开发、中队大屏开发等；“三快”警情处置包括互联网数据接入、平台数据融合、警情处置、对接“三快”小程序</w:t>
      </w:r>
      <w:r>
        <w:rPr>
          <w:spacing w:val="-5"/>
        </w:rPr>
        <w:t>。</w:t>
      </w:r>
    </w:p>
    <w:p w14:paraId="11531198">
      <w:pPr>
        <w:keepNext w:val="0"/>
        <w:keepLines w:val="0"/>
        <w:pageBreakBefore w:val="0"/>
        <w:widowControl/>
        <w:kinsoku w:val="0"/>
        <w:wordWrap/>
        <w:overflowPunct/>
        <w:topLinePunct w:val="0"/>
        <w:autoSpaceDE w:val="0"/>
        <w:autoSpaceDN w:val="0"/>
        <w:bidi w:val="0"/>
        <w:adjustRightInd w:val="0"/>
        <w:snapToGrid w:val="0"/>
        <w:spacing w:line="408" w:lineRule="auto"/>
        <w:ind w:right="0" w:firstLine="420" w:firstLineChars="200"/>
        <w:jc w:val="both"/>
        <w:textAlignment w:val="baseline"/>
        <w:sectPr>
          <w:footerReference r:id="rId5" w:type="default"/>
          <w:pgSz w:w="11900" w:h="16800"/>
          <w:pgMar w:top="1428" w:right="1785" w:bottom="1126" w:left="1670" w:header="0" w:footer="999" w:gutter="0"/>
          <w:cols w:space="720" w:num="1"/>
        </w:sectPr>
      </w:pPr>
    </w:p>
    <w:p w14:paraId="1DFBC350">
      <w:pPr>
        <w:spacing w:line="290" w:lineRule="auto"/>
        <w:rPr>
          <w:rFonts w:ascii="Arial"/>
          <w:sz w:val="21"/>
        </w:rPr>
      </w:pPr>
    </w:p>
    <w:p w14:paraId="40434650">
      <w:pPr>
        <w:spacing w:line="290" w:lineRule="auto"/>
        <w:rPr>
          <w:rFonts w:ascii="Arial"/>
          <w:sz w:val="21"/>
        </w:rPr>
      </w:pPr>
    </w:p>
    <w:p w14:paraId="5E3EB328">
      <w:pPr>
        <w:spacing w:line="291" w:lineRule="auto"/>
        <w:rPr>
          <w:rFonts w:ascii="Arial"/>
          <w:sz w:val="21"/>
        </w:rPr>
      </w:pPr>
    </w:p>
    <w:p w14:paraId="780251F9">
      <w:pPr>
        <w:spacing w:before="92" w:line="222" w:lineRule="auto"/>
        <w:ind w:left="633"/>
        <w:outlineLvl w:val="2"/>
        <w:rPr>
          <w:rFonts w:ascii="黑体" w:hAnsi="黑体" w:eastAsia="黑体" w:cs="黑体"/>
          <w:b/>
          <w:bCs/>
          <w:spacing w:val="16"/>
          <w:sz w:val="28"/>
          <w:szCs w:val="28"/>
        </w:rPr>
      </w:pPr>
      <w:r>
        <w:rPr>
          <w:rFonts w:ascii="黑体" w:hAnsi="黑体" w:eastAsia="黑体" w:cs="黑体"/>
          <w:b/>
          <w:bCs/>
          <w:spacing w:val="16"/>
          <w:sz w:val="28"/>
          <w:szCs w:val="28"/>
        </w:rPr>
        <w:t>四、业务需求</w:t>
      </w:r>
    </w:p>
    <w:p w14:paraId="3AB3BF64">
      <w:pPr>
        <w:spacing w:line="458" w:lineRule="auto"/>
        <w:rPr>
          <w:rFonts w:ascii="Arial"/>
          <w:sz w:val="21"/>
        </w:rPr>
      </w:pPr>
    </w:p>
    <w:p w14:paraId="5507A510">
      <w:pPr>
        <w:pStyle w:val="2"/>
        <w:spacing w:before="91" w:line="409" w:lineRule="auto"/>
        <w:ind w:right="44" w:firstLine="549"/>
        <w:jc w:val="both"/>
        <w:rPr>
          <w:spacing w:val="10"/>
        </w:rPr>
      </w:pPr>
      <w:r>
        <w:rPr>
          <w:rFonts w:hint="eastAsia"/>
          <w:spacing w:val="10"/>
          <w:lang w:val="en-US" w:eastAsia="zh-CN"/>
        </w:rPr>
        <w:t>开发建设</w:t>
      </w:r>
      <w:r>
        <w:rPr>
          <w:rFonts w:hint="eastAsia"/>
          <w:spacing w:val="10"/>
        </w:rPr>
        <w:t>智慧交管指挥调度平台“三快”功能</w:t>
      </w:r>
      <w:r>
        <w:rPr>
          <w:spacing w:val="10"/>
        </w:rPr>
        <w:t>，</w:t>
      </w:r>
      <w:r>
        <w:rPr>
          <w:rFonts w:hint="eastAsia"/>
          <w:spacing w:val="10"/>
          <w:lang w:val="en-US" w:eastAsia="zh-CN"/>
        </w:rPr>
        <w:t>应包含</w:t>
      </w:r>
      <w:r>
        <w:rPr>
          <w:spacing w:val="10"/>
        </w:rPr>
        <w:t>以下功能清单业务功能：</w:t>
      </w:r>
    </w:p>
    <w:tbl>
      <w:tblPr>
        <w:tblStyle w:val="3"/>
        <w:tblW w:w="4997" w:type="pct"/>
        <w:tblInd w:w="0" w:type="dxa"/>
        <w:tblLayout w:type="fixed"/>
        <w:tblCellMar>
          <w:top w:w="0" w:type="dxa"/>
          <w:left w:w="108" w:type="dxa"/>
          <w:bottom w:w="0" w:type="dxa"/>
          <w:right w:w="108" w:type="dxa"/>
        </w:tblCellMar>
      </w:tblPr>
      <w:tblGrid>
        <w:gridCol w:w="697"/>
        <w:gridCol w:w="2376"/>
        <w:gridCol w:w="3480"/>
        <w:gridCol w:w="480"/>
        <w:gridCol w:w="434"/>
        <w:gridCol w:w="1186"/>
      </w:tblGrid>
      <w:tr w14:paraId="2BB55144">
        <w:tblPrEx>
          <w:tblCellMar>
            <w:top w:w="0" w:type="dxa"/>
            <w:left w:w="108" w:type="dxa"/>
            <w:bottom w:w="0" w:type="dxa"/>
            <w:right w:w="108" w:type="dxa"/>
          </w:tblCellMar>
        </w:tblPrEx>
        <w:trPr>
          <w:trHeight w:val="428" w:hRule="atLeast"/>
          <w:tblHeader/>
        </w:trPr>
        <w:tc>
          <w:tcPr>
            <w:tcW w:w="402" w:type="pct"/>
            <w:tcBorders>
              <w:top w:val="single" w:color="auto" w:sz="8" w:space="0"/>
              <w:left w:val="single" w:color="auto" w:sz="8" w:space="0"/>
              <w:bottom w:val="single" w:color="auto" w:sz="8" w:space="0"/>
              <w:right w:val="single" w:color="auto" w:sz="8" w:space="0"/>
            </w:tcBorders>
            <w:shd w:val="clear" w:color="auto" w:fill="auto"/>
            <w:noWrap/>
            <w:vAlign w:val="center"/>
          </w:tcPr>
          <w:p w14:paraId="7E2D0CEC">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序号</w:t>
            </w:r>
          </w:p>
        </w:tc>
        <w:tc>
          <w:tcPr>
            <w:tcW w:w="1372" w:type="pct"/>
            <w:tcBorders>
              <w:top w:val="single" w:color="auto" w:sz="8" w:space="0"/>
              <w:left w:val="nil"/>
              <w:bottom w:val="single" w:color="auto" w:sz="8" w:space="0"/>
              <w:right w:val="single" w:color="auto" w:sz="8" w:space="0"/>
            </w:tcBorders>
            <w:shd w:val="clear" w:color="auto" w:fill="auto"/>
            <w:noWrap/>
            <w:vAlign w:val="center"/>
          </w:tcPr>
          <w:p w14:paraId="2155AE8D">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功能名称</w:t>
            </w:r>
          </w:p>
        </w:tc>
        <w:tc>
          <w:tcPr>
            <w:tcW w:w="2010" w:type="pct"/>
            <w:tcBorders>
              <w:top w:val="single" w:color="auto" w:sz="8" w:space="0"/>
              <w:left w:val="nil"/>
              <w:bottom w:val="single" w:color="auto" w:sz="8" w:space="0"/>
              <w:right w:val="single" w:color="auto" w:sz="8" w:space="0"/>
            </w:tcBorders>
            <w:shd w:val="clear" w:color="auto" w:fill="auto"/>
            <w:vAlign w:val="center"/>
          </w:tcPr>
          <w:p w14:paraId="6F161197">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功能描述</w:t>
            </w:r>
          </w:p>
        </w:tc>
        <w:tc>
          <w:tcPr>
            <w:tcW w:w="277" w:type="pct"/>
            <w:tcBorders>
              <w:top w:val="single" w:color="auto" w:sz="8" w:space="0"/>
              <w:left w:val="nil"/>
              <w:bottom w:val="single" w:color="auto" w:sz="8" w:space="0"/>
              <w:right w:val="single" w:color="auto" w:sz="8" w:space="0"/>
            </w:tcBorders>
            <w:shd w:val="clear" w:color="auto" w:fill="auto"/>
            <w:noWrap/>
            <w:vAlign w:val="center"/>
          </w:tcPr>
          <w:p w14:paraId="3CADBACD">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单位</w:t>
            </w:r>
            <w:bookmarkStart w:id="0" w:name="_GoBack"/>
            <w:bookmarkEnd w:id="0"/>
          </w:p>
        </w:tc>
        <w:tc>
          <w:tcPr>
            <w:tcW w:w="250" w:type="pct"/>
            <w:tcBorders>
              <w:top w:val="single" w:color="auto" w:sz="8" w:space="0"/>
              <w:left w:val="nil"/>
              <w:bottom w:val="single" w:color="auto" w:sz="8" w:space="0"/>
              <w:right w:val="single" w:color="auto" w:sz="8" w:space="0"/>
            </w:tcBorders>
            <w:shd w:val="clear" w:color="auto" w:fill="auto"/>
            <w:noWrap/>
            <w:vAlign w:val="center"/>
          </w:tcPr>
          <w:p w14:paraId="6FE42881">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数量</w:t>
            </w:r>
          </w:p>
        </w:tc>
        <w:tc>
          <w:tcPr>
            <w:tcW w:w="685" w:type="pct"/>
            <w:tcBorders>
              <w:top w:val="single" w:color="auto" w:sz="8" w:space="0"/>
              <w:left w:val="nil"/>
              <w:bottom w:val="single" w:color="auto" w:sz="8" w:space="0"/>
              <w:right w:val="single" w:color="auto" w:sz="8" w:space="0"/>
            </w:tcBorders>
            <w:shd w:val="clear" w:color="auto" w:fill="auto"/>
            <w:noWrap/>
            <w:vAlign w:val="center"/>
          </w:tcPr>
          <w:p w14:paraId="538CF6A6">
            <w:pPr>
              <w:widowControl/>
              <w:spacing w:line="240" w:lineRule="auto"/>
              <w:ind w:firstLine="0" w:firstLineChars="0"/>
              <w:jc w:val="center"/>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预算单价（元）</w:t>
            </w:r>
          </w:p>
        </w:tc>
      </w:tr>
      <w:tr w14:paraId="52F4D3B6">
        <w:tblPrEx>
          <w:tblCellMar>
            <w:top w:w="0" w:type="dxa"/>
            <w:left w:w="108" w:type="dxa"/>
            <w:bottom w:w="0" w:type="dxa"/>
            <w:right w:w="108" w:type="dxa"/>
          </w:tblCellMar>
        </w:tblPrEx>
        <w:trPr>
          <w:trHeight w:val="428" w:hRule="atLeast"/>
        </w:trPr>
        <w:tc>
          <w:tcPr>
            <w:tcW w:w="1775" w:type="pct"/>
            <w:gridSpan w:val="2"/>
            <w:tcBorders>
              <w:top w:val="single" w:color="auto" w:sz="8" w:space="0"/>
              <w:left w:val="single" w:color="auto" w:sz="8" w:space="0"/>
              <w:bottom w:val="single" w:color="auto" w:sz="8" w:space="0"/>
              <w:right w:val="single" w:color="000000" w:sz="8" w:space="0"/>
            </w:tcBorders>
            <w:shd w:val="clear" w:color="auto" w:fill="auto"/>
            <w:noWrap/>
            <w:vAlign w:val="center"/>
          </w:tcPr>
          <w:p w14:paraId="45EE1475">
            <w:pPr>
              <w:widowControl/>
              <w:spacing w:line="240" w:lineRule="auto"/>
              <w:ind w:firstLine="0" w:firstLineChars="0"/>
              <w:jc w:val="left"/>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一、领导驾驶舱</w:t>
            </w:r>
          </w:p>
        </w:tc>
        <w:tc>
          <w:tcPr>
            <w:tcW w:w="2010" w:type="pct"/>
            <w:tcBorders>
              <w:top w:val="nil"/>
              <w:left w:val="nil"/>
              <w:bottom w:val="single" w:color="auto" w:sz="8" w:space="0"/>
              <w:right w:val="single" w:color="auto" w:sz="8" w:space="0"/>
            </w:tcBorders>
            <w:shd w:val="clear" w:color="auto" w:fill="auto"/>
            <w:vAlign w:val="center"/>
          </w:tcPr>
          <w:p w14:paraId="5993963B">
            <w:pPr>
              <w:widowControl/>
              <w:spacing w:line="240" w:lineRule="auto"/>
              <w:ind w:firstLine="0" w:firstLineChars="0"/>
              <w:jc w:val="left"/>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277" w:type="pct"/>
            <w:tcBorders>
              <w:top w:val="nil"/>
              <w:left w:val="nil"/>
              <w:bottom w:val="single" w:color="auto" w:sz="8" w:space="0"/>
              <w:right w:val="single" w:color="auto" w:sz="8" w:space="0"/>
            </w:tcBorders>
            <w:shd w:val="clear" w:color="auto" w:fill="auto"/>
            <w:noWrap/>
            <w:vAlign w:val="center"/>
          </w:tcPr>
          <w:p w14:paraId="0DF74B73">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250" w:type="pct"/>
            <w:tcBorders>
              <w:top w:val="nil"/>
              <w:left w:val="nil"/>
              <w:bottom w:val="single" w:color="auto" w:sz="8" w:space="0"/>
              <w:right w:val="single" w:color="auto" w:sz="8" w:space="0"/>
            </w:tcBorders>
            <w:shd w:val="clear" w:color="auto" w:fill="auto"/>
            <w:noWrap/>
            <w:vAlign w:val="center"/>
          </w:tcPr>
          <w:p w14:paraId="63163179">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685" w:type="pct"/>
            <w:tcBorders>
              <w:top w:val="nil"/>
              <w:left w:val="nil"/>
              <w:bottom w:val="single" w:color="auto" w:sz="8" w:space="0"/>
              <w:right w:val="single" w:color="auto" w:sz="8" w:space="0"/>
            </w:tcBorders>
            <w:shd w:val="clear" w:color="auto" w:fill="auto"/>
            <w:noWrap/>
            <w:vAlign w:val="center"/>
          </w:tcPr>
          <w:p w14:paraId="0F9D1BF1">
            <w:pPr>
              <w:widowControl/>
              <w:spacing w:line="240" w:lineRule="auto"/>
              <w:ind w:firstLine="0" w:firstLineChars="0"/>
              <w:jc w:val="center"/>
              <w:rPr>
                <w:rFonts w:hint="eastAsia" w:ascii="宋体" w:hAnsi="宋体" w:eastAsia="宋体" w:cs="宋体"/>
                <w:b/>
                <w:bCs/>
                <w:color w:val="000000"/>
                <w:kern w:val="0"/>
                <w:sz w:val="24"/>
                <w:szCs w:val="24"/>
              </w:rPr>
            </w:pPr>
          </w:p>
        </w:tc>
      </w:tr>
      <w:tr w14:paraId="78651C2D">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0FB065A2">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372" w:type="pct"/>
            <w:tcBorders>
              <w:top w:val="nil"/>
              <w:left w:val="nil"/>
              <w:bottom w:val="single" w:color="auto" w:sz="8" w:space="0"/>
              <w:right w:val="single" w:color="auto" w:sz="8" w:space="0"/>
            </w:tcBorders>
            <w:shd w:val="clear" w:color="auto" w:fill="auto"/>
            <w:noWrap/>
            <w:vAlign w:val="center"/>
          </w:tcPr>
          <w:p w14:paraId="7D37C027">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支队大屏开发</w:t>
            </w:r>
          </w:p>
        </w:tc>
        <w:tc>
          <w:tcPr>
            <w:tcW w:w="2010" w:type="pct"/>
            <w:tcBorders>
              <w:top w:val="nil"/>
              <w:left w:val="nil"/>
              <w:bottom w:val="single" w:color="auto" w:sz="8" w:space="0"/>
              <w:right w:val="single" w:color="auto" w:sz="8" w:space="0"/>
            </w:tcBorders>
            <w:shd w:val="clear" w:color="auto" w:fill="auto"/>
            <w:vAlign w:val="center"/>
          </w:tcPr>
          <w:p w14:paraId="5ED3A33C">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277" w:type="pct"/>
            <w:tcBorders>
              <w:top w:val="nil"/>
              <w:left w:val="nil"/>
              <w:bottom w:val="single" w:color="auto" w:sz="8" w:space="0"/>
              <w:right w:val="single" w:color="auto" w:sz="8" w:space="0"/>
            </w:tcBorders>
            <w:shd w:val="clear" w:color="auto" w:fill="auto"/>
            <w:noWrap/>
            <w:vAlign w:val="center"/>
          </w:tcPr>
          <w:p w14:paraId="782A136E">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250" w:type="pct"/>
            <w:tcBorders>
              <w:top w:val="nil"/>
              <w:left w:val="nil"/>
              <w:bottom w:val="single" w:color="auto" w:sz="8" w:space="0"/>
              <w:right w:val="single" w:color="auto" w:sz="8" w:space="0"/>
            </w:tcBorders>
            <w:shd w:val="clear" w:color="auto" w:fill="auto"/>
            <w:noWrap/>
            <w:vAlign w:val="center"/>
          </w:tcPr>
          <w:p w14:paraId="01384C9D">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685" w:type="pct"/>
            <w:tcBorders>
              <w:top w:val="nil"/>
              <w:left w:val="nil"/>
              <w:bottom w:val="single" w:color="auto" w:sz="8" w:space="0"/>
              <w:right w:val="single" w:color="auto" w:sz="8" w:space="0"/>
            </w:tcBorders>
            <w:shd w:val="clear" w:color="auto" w:fill="auto"/>
            <w:noWrap/>
            <w:vAlign w:val="center"/>
          </w:tcPr>
          <w:p w14:paraId="196E2291">
            <w:pPr>
              <w:widowControl/>
              <w:spacing w:line="240" w:lineRule="auto"/>
              <w:ind w:firstLine="0" w:firstLineChars="0"/>
              <w:jc w:val="center"/>
              <w:rPr>
                <w:rFonts w:hint="eastAsia" w:ascii="宋体" w:hAnsi="宋体" w:eastAsia="宋体" w:cs="宋体"/>
                <w:color w:val="000000"/>
                <w:kern w:val="0"/>
                <w:sz w:val="24"/>
                <w:szCs w:val="24"/>
              </w:rPr>
            </w:pPr>
          </w:p>
        </w:tc>
      </w:tr>
      <w:tr w14:paraId="11255DA0">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76B65C89">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w:t>
            </w:r>
          </w:p>
        </w:tc>
        <w:tc>
          <w:tcPr>
            <w:tcW w:w="1372" w:type="pct"/>
            <w:tcBorders>
              <w:top w:val="nil"/>
              <w:left w:val="nil"/>
              <w:bottom w:val="single" w:color="auto" w:sz="8" w:space="0"/>
              <w:right w:val="single" w:color="auto" w:sz="8" w:space="0"/>
            </w:tcBorders>
            <w:shd w:val="clear" w:color="auto" w:fill="auto"/>
            <w:noWrap/>
            <w:vAlign w:val="center"/>
          </w:tcPr>
          <w:p w14:paraId="4D08E80F">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交通态势</w:t>
            </w:r>
          </w:p>
        </w:tc>
        <w:tc>
          <w:tcPr>
            <w:tcW w:w="2010" w:type="pct"/>
            <w:tcBorders>
              <w:top w:val="nil"/>
              <w:left w:val="nil"/>
              <w:bottom w:val="single" w:color="auto" w:sz="8" w:space="0"/>
              <w:right w:val="single" w:color="auto" w:sz="8" w:space="0"/>
            </w:tcBorders>
            <w:shd w:val="clear" w:color="auto" w:fill="auto"/>
            <w:vAlign w:val="center"/>
          </w:tcPr>
          <w:p w14:paraId="69BB5DB1">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（1）展示长沙市机动车保有量；</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（2）展示长沙市驾驶人总数；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（3）展示长沙市路网密度；</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（4）通行态势：展示长沙市实时拥堵里程和同比、展示长沙市实时平均速度和同比、展示长沙市实时拥堵指数和同比；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（5）内部交通压力：展示实时长沙市日活跃车辆和周同比、展示实时长沙市在途车辆和周同比；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（6）进出交通压力：展示实时进城数量、展示实时出城数量；</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（7）警情态势：展示长沙市警情总数和周同比、展示长沙市按警情类型分类的饼状图；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（8）警情概况分析：可按时间、警情类型展示警情变化趋势，大队警情数量排名和周同比，高发路段警情数量排名和周同比，警情类型饼状图分析，警情状态饼状图分析。</w:t>
            </w:r>
          </w:p>
        </w:tc>
        <w:tc>
          <w:tcPr>
            <w:tcW w:w="277" w:type="pct"/>
            <w:tcBorders>
              <w:top w:val="nil"/>
              <w:left w:val="nil"/>
              <w:bottom w:val="single" w:color="auto" w:sz="8" w:space="0"/>
              <w:right w:val="single" w:color="auto" w:sz="8" w:space="0"/>
            </w:tcBorders>
            <w:shd w:val="clear" w:color="auto" w:fill="auto"/>
            <w:noWrap/>
            <w:vAlign w:val="center"/>
          </w:tcPr>
          <w:p w14:paraId="54062BC3">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0BC9B73A">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7E83444F">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22000</w:t>
            </w:r>
          </w:p>
        </w:tc>
      </w:tr>
      <w:tr w14:paraId="4798D9CB">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2DB9A10F">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w:t>
            </w:r>
          </w:p>
        </w:tc>
        <w:tc>
          <w:tcPr>
            <w:tcW w:w="1372" w:type="pct"/>
            <w:tcBorders>
              <w:top w:val="nil"/>
              <w:left w:val="nil"/>
              <w:bottom w:val="single" w:color="auto" w:sz="8" w:space="0"/>
              <w:right w:val="single" w:color="auto" w:sz="8" w:space="0"/>
            </w:tcBorders>
            <w:shd w:val="clear" w:color="auto" w:fill="auto"/>
            <w:noWrap/>
            <w:vAlign w:val="center"/>
          </w:tcPr>
          <w:p w14:paraId="4564922B">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图层展示</w:t>
            </w:r>
          </w:p>
        </w:tc>
        <w:tc>
          <w:tcPr>
            <w:tcW w:w="2010" w:type="pct"/>
            <w:tcBorders>
              <w:top w:val="nil"/>
              <w:left w:val="nil"/>
              <w:bottom w:val="single" w:color="auto" w:sz="8" w:space="0"/>
              <w:right w:val="single" w:color="auto" w:sz="8" w:space="0"/>
            </w:tcBorders>
            <w:shd w:val="clear" w:color="auto" w:fill="auto"/>
            <w:vAlign w:val="center"/>
          </w:tcPr>
          <w:p w14:paraId="3E484DAB">
            <w:pPr>
              <w:widowControl/>
              <w:numPr>
                <w:ilvl w:val="0"/>
                <w:numId w:val="1"/>
              </w:numPr>
              <w:spacing w:line="240" w:lineRule="auto"/>
              <w:ind w:firstLine="0" w:firstLineChars="0"/>
              <w:jc w:val="left"/>
              <w:rPr>
                <w:rFonts w:hint="eastAsia" w:ascii="宋体" w:hAnsi="宋体" w:eastAsia="宋体" w:cs="宋体"/>
                <w:color w:val="auto"/>
                <w:kern w:val="0"/>
                <w:sz w:val="24"/>
                <w:szCs w:val="24"/>
              </w:rPr>
            </w:pPr>
            <w:r>
              <w:rPr>
                <w:rFonts w:hint="eastAsia" w:ascii="宋体" w:hAnsi="宋体" w:eastAsia="宋体" w:cs="宋体"/>
                <w:color w:val="000000"/>
                <w:kern w:val="0"/>
                <w:sz w:val="24"/>
                <w:szCs w:val="24"/>
              </w:rPr>
              <w:t>路况：展示互联网路况数据；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（2）警力：展示对讲机GPS和铁骑摩托车GPG实时数据，点击警力图标，弹框显示详情，详情内容包含：车牌号牌、部门名称、设备类型，并支持轨迹回放；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（3）警情：展示警情扎点数据，点击警情图标，弹框显示详情，详情内容包含：警情类型、警情来源、警情级别、所属部门、警情地点、警情描述；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（4）视频：展示视频扎点数据，点击视频图标，可播放视频实时监控，并支持视频回放，云台控制，倍速播放；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（5）信号：展示信号扎点数据，点击信号图标，可查看当前信号机的配时方案；</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（6）关键点：展示关键点信息，包含党政机关、小区、社区、重要路口、义警执勤、主要干道、次要干道、支路、积水路段、积水点、重点商圈、市场、学校、医院；</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（7）关键点信息录入页面：</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【重点关注点位】录入内容包含类型、名称、所属大队、所属中队、坐标、联系人姓名、联系人电话、描述等。</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【重点关注道路】录入内容包含类型、名称、所属大队、所属中队、坐标、长度、描述、交通乱源、车道、起始点、主要单位、事故类型、事故成因、描述、联勤联动。</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【重点关注区域】录入内容包含类型、</w:t>
            </w:r>
            <w:r>
              <w:rPr>
                <w:rFonts w:hint="eastAsia" w:ascii="宋体" w:hAnsi="宋体" w:eastAsia="宋体" w:cs="宋体"/>
                <w:color w:val="auto"/>
                <w:kern w:val="0"/>
                <w:sz w:val="24"/>
                <w:szCs w:val="24"/>
              </w:rPr>
              <w:t>名称、所属大队、所属中队、坐标、负责人、负责人电话。</w:t>
            </w:r>
          </w:p>
          <w:p w14:paraId="39DEE075">
            <w:pPr>
              <w:ind w:firstLine="560"/>
              <w:rPr>
                <w:color w:val="auto"/>
              </w:rPr>
            </w:pPr>
            <w:r>
              <w:rPr>
                <w:rFonts w:hint="eastAsia"/>
                <w:color w:val="auto"/>
              </w:rPr>
              <w:t>（</w:t>
            </w:r>
            <w:r>
              <w:rPr>
                <w:rFonts w:hint="eastAsia" w:eastAsia="宋体"/>
                <w:color w:val="auto"/>
                <w:lang w:val="en-US" w:eastAsia="zh-CN"/>
              </w:rPr>
              <w:t>8</w:t>
            </w:r>
            <w:r>
              <w:rPr>
                <w:rFonts w:hint="eastAsia"/>
                <w:color w:val="auto"/>
              </w:rPr>
              <w:t>）辖区的非现场执法设备统计展示，含违停球，鹰眼铁骑，警务通数量；</w:t>
            </w:r>
          </w:p>
          <w:p w14:paraId="3655BE26">
            <w:pPr>
              <w:ind w:firstLine="560"/>
              <w:rPr>
                <w:color w:val="auto"/>
              </w:rPr>
            </w:pPr>
            <w:r>
              <w:rPr>
                <w:rFonts w:hint="eastAsia"/>
                <w:color w:val="auto"/>
              </w:rPr>
              <w:t>（</w:t>
            </w:r>
            <w:r>
              <w:rPr>
                <w:rFonts w:hint="eastAsia" w:eastAsia="宋体"/>
                <w:color w:val="auto"/>
                <w:lang w:val="en-US" w:eastAsia="zh-CN"/>
              </w:rPr>
              <w:t>9</w:t>
            </w:r>
            <w:r>
              <w:rPr>
                <w:rFonts w:hint="eastAsia"/>
                <w:color w:val="auto"/>
              </w:rPr>
              <w:t>）电警违法行为分类统计展示，包括闯红灯，开车打电话，货车闯禁，摩托车闯禁，不按规定车道(实线变道)等；</w:t>
            </w:r>
          </w:p>
          <w:p w14:paraId="419940DE">
            <w:pPr>
              <w:ind w:firstLine="560"/>
              <w:rPr>
                <w:color w:val="auto"/>
              </w:rPr>
            </w:pPr>
            <w:r>
              <w:rPr>
                <w:rFonts w:hint="eastAsia"/>
                <w:color w:val="auto"/>
              </w:rPr>
              <w:t>（1</w:t>
            </w:r>
            <w:r>
              <w:rPr>
                <w:rFonts w:hint="eastAsia" w:eastAsia="宋体"/>
                <w:color w:val="auto"/>
                <w:lang w:val="en-US" w:eastAsia="zh-CN"/>
              </w:rPr>
              <w:t>0</w:t>
            </w:r>
            <w:r>
              <w:rPr>
                <w:rFonts w:hint="eastAsia"/>
                <w:color w:val="auto"/>
              </w:rPr>
              <w:t>）交通违法行为抓拍数(六合一有效数据)每天自动更新并展示。</w:t>
            </w:r>
          </w:p>
          <w:p w14:paraId="05EF0056">
            <w:pPr>
              <w:widowControl/>
              <w:numPr>
                <w:ilvl w:val="0"/>
                <w:numId w:val="0"/>
              </w:numPr>
              <w:spacing w:line="240" w:lineRule="auto"/>
              <w:jc w:val="left"/>
              <w:rPr>
                <w:rFonts w:hint="eastAsia" w:ascii="宋体" w:hAnsi="宋体" w:eastAsia="宋体" w:cs="宋体"/>
                <w:color w:val="000000"/>
                <w:kern w:val="0"/>
                <w:sz w:val="24"/>
                <w:szCs w:val="24"/>
              </w:rPr>
            </w:pPr>
          </w:p>
        </w:tc>
        <w:tc>
          <w:tcPr>
            <w:tcW w:w="277" w:type="pct"/>
            <w:tcBorders>
              <w:top w:val="nil"/>
              <w:left w:val="nil"/>
              <w:bottom w:val="single" w:color="auto" w:sz="8" w:space="0"/>
              <w:right w:val="single" w:color="auto" w:sz="8" w:space="0"/>
            </w:tcBorders>
            <w:shd w:val="clear" w:color="auto" w:fill="auto"/>
            <w:noWrap/>
            <w:vAlign w:val="center"/>
          </w:tcPr>
          <w:p w14:paraId="76D86EFC">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6826BFE4">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5E8DFBB3">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21000</w:t>
            </w:r>
          </w:p>
        </w:tc>
      </w:tr>
      <w:tr w14:paraId="1F95B486">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777F80E8">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w:t>
            </w:r>
          </w:p>
        </w:tc>
        <w:tc>
          <w:tcPr>
            <w:tcW w:w="1372" w:type="pct"/>
            <w:tcBorders>
              <w:top w:val="nil"/>
              <w:left w:val="nil"/>
              <w:bottom w:val="single" w:color="auto" w:sz="8" w:space="0"/>
              <w:right w:val="single" w:color="auto" w:sz="8" w:space="0"/>
            </w:tcBorders>
            <w:shd w:val="clear" w:color="auto" w:fill="auto"/>
            <w:noWrap/>
            <w:vAlign w:val="center"/>
          </w:tcPr>
          <w:p w14:paraId="71813173">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大队交通概况轮播</w:t>
            </w:r>
          </w:p>
        </w:tc>
        <w:tc>
          <w:tcPr>
            <w:tcW w:w="2010" w:type="pct"/>
            <w:tcBorders>
              <w:top w:val="nil"/>
              <w:left w:val="nil"/>
              <w:bottom w:val="single" w:color="auto" w:sz="8" w:space="0"/>
              <w:right w:val="single" w:color="auto" w:sz="8" w:space="0"/>
            </w:tcBorders>
            <w:shd w:val="clear" w:color="auto" w:fill="auto"/>
            <w:vAlign w:val="center"/>
          </w:tcPr>
          <w:p w14:paraId="0452FBA5">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展示各大队的平均速度和拥堵指数，并支持点击下钻至大队大屏。</w:t>
            </w:r>
          </w:p>
        </w:tc>
        <w:tc>
          <w:tcPr>
            <w:tcW w:w="277" w:type="pct"/>
            <w:tcBorders>
              <w:top w:val="nil"/>
              <w:left w:val="nil"/>
              <w:bottom w:val="single" w:color="auto" w:sz="8" w:space="0"/>
              <w:right w:val="single" w:color="auto" w:sz="8" w:space="0"/>
            </w:tcBorders>
            <w:shd w:val="clear" w:color="auto" w:fill="auto"/>
            <w:noWrap/>
            <w:vAlign w:val="center"/>
          </w:tcPr>
          <w:p w14:paraId="7E8CADF2">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75FA2847">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71008840">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3000</w:t>
            </w:r>
          </w:p>
        </w:tc>
      </w:tr>
      <w:tr w14:paraId="5A5CB168">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5FE0EA0F">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w:t>
            </w:r>
          </w:p>
        </w:tc>
        <w:tc>
          <w:tcPr>
            <w:tcW w:w="1372" w:type="pct"/>
            <w:tcBorders>
              <w:top w:val="nil"/>
              <w:left w:val="nil"/>
              <w:bottom w:val="single" w:color="auto" w:sz="8" w:space="0"/>
              <w:right w:val="single" w:color="auto" w:sz="8" w:space="0"/>
            </w:tcBorders>
            <w:shd w:val="clear" w:color="auto" w:fill="auto"/>
            <w:noWrap/>
            <w:vAlign w:val="center"/>
          </w:tcPr>
          <w:p w14:paraId="5280330A">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重点关注</w:t>
            </w:r>
          </w:p>
        </w:tc>
        <w:tc>
          <w:tcPr>
            <w:tcW w:w="2010" w:type="pct"/>
            <w:tcBorders>
              <w:top w:val="nil"/>
              <w:left w:val="nil"/>
              <w:bottom w:val="single" w:color="auto" w:sz="8" w:space="0"/>
              <w:right w:val="single" w:color="auto" w:sz="8" w:space="0"/>
            </w:tcBorders>
            <w:shd w:val="clear" w:color="auto" w:fill="auto"/>
            <w:vAlign w:val="center"/>
          </w:tcPr>
          <w:p w14:paraId="1B32EE90">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（1）高架道路：显示长沙市TOP4高架道路排名和同比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（2）过江桥隧：显示长沙市TOP4过江桥隧排名和同比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（3）重点区域：显示长沙市TOP4重点区域排名和同比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（4）主要干道：显示长沙市TOP4主要干道排名和同比，并支持下钻至干道屏</w:t>
            </w:r>
          </w:p>
        </w:tc>
        <w:tc>
          <w:tcPr>
            <w:tcW w:w="277" w:type="pct"/>
            <w:tcBorders>
              <w:top w:val="nil"/>
              <w:left w:val="nil"/>
              <w:bottom w:val="single" w:color="auto" w:sz="8" w:space="0"/>
              <w:right w:val="single" w:color="auto" w:sz="8" w:space="0"/>
            </w:tcBorders>
            <w:shd w:val="clear" w:color="auto" w:fill="auto"/>
            <w:noWrap/>
            <w:vAlign w:val="center"/>
          </w:tcPr>
          <w:p w14:paraId="0BF6BB52">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137CE453">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3C54DDCE">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12000</w:t>
            </w:r>
          </w:p>
        </w:tc>
      </w:tr>
      <w:tr w14:paraId="02BD4896">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1847611A">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w:t>
            </w:r>
          </w:p>
        </w:tc>
        <w:tc>
          <w:tcPr>
            <w:tcW w:w="1372" w:type="pct"/>
            <w:tcBorders>
              <w:top w:val="nil"/>
              <w:left w:val="nil"/>
              <w:bottom w:val="single" w:color="auto" w:sz="8" w:space="0"/>
              <w:right w:val="single" w:color="auto" w:sz="8" w:space="0"/>
            </w:tcBorders>
            <w:shd w:val="clear" w:color="auto" w:fill="auto"/>
            <w:noWrap/>
            <w:vAlign w:val="center"/>
          </w:tcPr>
          <w:p w14:paraId="0564EBE1">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警情事件</w:t>
            </w:r>
          </w:p>
        </w:tc>
        <w:tc>
          <w:tcPr>
            <w:tcW w:w="2010" w:type="pct"/>
            <w:tcBorders>
              <w:top w:val="nil"/>
              <w:left w:val="nil"/>
              <w:bottom w:val="single" w:color="auto" w:sz="8" w:space="0"/>
              <w:right w:val="single" w:color="auto" w:sz="8" w:space="0"/>
            </w:tcBorders>
            <w:shd w:val="clear" w:color="auto" w:fill="auto"/>
            <w:vAlign w:val="center"/>
          </w:tcPr>
          <w:p w14:paraId="0BB9CA84">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展示实时的警情数据，支持声光预警，点击警情可跳转至处警台。</w:t>
            </w:r>
          </w:p>
        </w:tc>
        <w:tc>
          <w:tcPr>
            <w:tcW w:w="277" w:type="pct"/>
            <w:tcBorders>
              <w:top w:val="nil"/>
              <w:left w:val="nil"/>
              <w:bottom w:val="single" w:color="auto" w:sz="8" w:space="0"/>
              <w:right w:val="single" w:color="auto" w:sz="8" w:space="0"/>
            </w:tcBorders>
            <w:shd w:val="clear" w:color="auto" w:fill="auto"/>
            <w:noWrap/>
            <w:vAlign w:val="center"/>
          </w:tcPr>
          <w:p w14:paraId="719AF122">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6021949E">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648A584C">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3000</w:t>
            </w:r>
          </w:p>
        </w:tc>
      </w:tr>
      <w:tr w14:paraId="2974DB76">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1776DF71">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372" w:type="pct"/>
            <w:tcBorders>
              <w:top w:val="nil"/>
              <w:left w:val="nil"/>
              <w:bottom w:val="single" w:color="auto" w:sz="8" w:space="0"/>
              <w:right w:val="single" w:color="auto" w:sz="8" w:space="0"/>
            </w:tcBorders>
            <w:shd w:val="clear" w:color="auto" w:fill="auto"/>
            <w:noWrap/>
            <w:vAlign w:val="center"/>
          </w:tcPr>
          <w:p w14:paraId="4666C047">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大队大屏开发</w:t>
            </w:r>
          </w:p>
        </w:tc>
        <w:tc>
          <w:tcPr>
            <w:tcW w:w="2010" w:type="pct"/>
            <w:tcBorders>
              <w:top w:val="nil"/>
              <w:left w:val="nil"/>
              <w:bottom w:val="single" w:color="auto" w:sz="8" w:space="0"/>
              <w:right w:val="single" w:color="auto" w:sz="8" w:space="0"/>
            </w:tcBorders>
            <w:shd w:val="clear" w:color="auto" w:fill="auto"/>
            <w:vAlign w:val="center"/>
          </w:tcPr>
          <w:p w14:paraId="6EEB2F8B">
            <w:pPr>
              <w:widowControl/>
              <w:spacing w:line="240" w:lineRule="auto"/>
              <w:ind w:firstLine="0" w:firstLineChars="0"/>
              <w:jc w:val="left"/>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277" w:type="pct"/>
            <w:tcBorders>
              <w:top w:val="nil"/>
              <w:left w:val="nil"/>
              <w:bottom w:val="single" w:color="auto" w:sz="8" w:space="0"/>
              <w:right w:val="single" w:color="auto" w:sz="8" w:space="0"/>
            </w:tcBorders>
            <w:shd w:val="clear" w:color="auto" w:fill="auto"/>
            <w:noWrap/>
            <w:vAlign w:val="center"/>
          </w:tcPr>
          <w:p w14:paraId="4F8BD9D6">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250" w:type="pct"/>
            <w:tcBorders>
              <w:top w:val="nil"/>
              <w:left w:val="nil"/>
              <w:bottom w:val="single" w:color="auto" w:sz="8" w:space="0"/>
              <w:right w:val="single" w:color="auto" w:sz="8" w:space="0"/>
            </w:tcBorders>
            <w:shd w:val="clear" w:color="auto" w:fill="auto"/>
            <w:noWrap/>
            <w:vAlign w:val="center"/>
          </w:tcPr>
          <w:p w14:paraId="4330C7C6">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685" w:type="pct"/>
            <w:tcBorders>
              <w:top w:val="nil"/>
              <w:left w:val="nil"/>
              <w:bottom w:val="single" w:color="auto" w:sz="8" w:space="0"/>
              <w:right w:val="single" w:color="auto" w:sz="8" w:space="0"/>
            </w:tcBorders>
            <w:shd w:val="clear" w:color="auto" w:fill="auto"/>
            <w:noWrap/>
            <w:vAlign w:val="center"/>
          </w:tcPr>
          <w:p w14:paraId="133B5E07">
            <w:pPr>
              <w:widowControl/>
              <w:spacing w:line="240" w:lineRule="auto"/>
              <w:ind w:firstLine="0" w:firstLineChars="0"/>
              <w:jc w:val="right"/>
              <w:rPr>
                <w:rFonts w:hint="eastAsia" w:ascii="宋体" w:hAnsi="宋体" w:eastAsia="宋体" w:cs="宋体"/>
                <w:b/>
                <w:bCs/>
                <w:color w:val="000000"/>
                <w:kern w:val="0"/>
                <w:sz w:val="24"/>
                <w:szCs w:val="24"/>
              </w:rPr>
            </w:pPr>
            <w:r>
              <w:rPr>
                <w:rFonts w:hint="eastAsia" w:ascii="宋体" w:hAnsi="宋体" w:eastAsia="宋体" w:cs="宋体"/>
                <w:color w:val="000000"/>
                <w:kern w:val="0"/>
                <w:sz w:val="22"/>
                <w:szCs w:val="22"/>
              </w:rPr>
              <w:t>　</w:t>
            </w:r>
          </w:p>
        </w:tc>
      </w:tr>
      <w:tr w14:paraId="2AA289C2">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6A0E3EC4">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2.1</w:t>
            </w:r>
          </w:p>
        </w:tc>
        <w:tc>
          <w:tcPr>
            <w:tcW w:w="1372" w:type="pct"/>
            <w:tcBorders>
              <w:top w:val="nil"/>
              <w:left w:val="nil"/>
              <w:bottom w:val="single" w:color="auto" w:sz="8" w:space="0"/>
              <w:right w:val="single" w:color="auto" w:sz="8" w:space="0"/>
            </w:tcBorders>
            <w:shd w:val="clear" w:color="auto" w:fill="auto"/>
            <w:vAlign w:val="center"/>
          </w:tcPr>
          <w:p w14:paraId="3F8AC1F7">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交通态势</w:t>
            </w:r>
          </w:p>
        </w:tc>
        <w:tc>
          <w:tcPr>
            <w:tcW w:w="2010" w:type="pct"/>
            <w:tcBorders>
              <w:top w:val="nil"/>
              <w:left w:val="nil"/>
              <w:bottom w:val="single" w:color="auto" w:sz="8" w:space="0"/>
              <w:right w:val="single" w:color="auto" w:sz="8" w:space="0"/>
            </w:tcBorders>
            <w:shd w:val="clear" w:color="auto" w:fill="auto"/>
            <w:vAlign w:val="center"/>
          </w:tcPr>
          <w:p w14:paraId="493FF5A0">
            <w:pPr>
              <w:widowControl/>
              <w:numPr>
                <w:ilvl w:val="0"/>
                <w:numId w:val="2"/>
              </w:numPr>
              <w:spacing w:line="240" w:lineRule="auto"/>
              <w:ind w:firstLine="0" w:firstLineChars="0"/>
              <w:jc w:val="left"/>
              <w:rPr>
                <w:rFonts w:hint="eastAsia" w:ascii="宋体" w:hAnsi="宋体" w:eastAsia="宋体" w:cs="宋体"/>
                <w:color w:val="auto"/>
                <w:kern w:val="0"/>
                <w:sz w:val="24"/>
                <w:szCs w:val="24"/>
              </w:rPr>
            </w:pPr>
            <w:r>
              <w:rPr>
                <w:rFonts w:hint="eastAsia" w:ascii="宋体" w:hAnsi="宋体" w:eastAsia="宋体" w:cs="宋体"/>
                <w:color w:val="000000"/>
                <w:kern w:val="0"/>
                <w:sz w:val="24"/>
                <w:szCs w:val="24"/>
              </w:rPr>
              <w:t>展示大队辖区面积；</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（2）展示大队路网密度；</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（3）通行态势：展示大队实时拥堵里程和同比、展示大队实时平均速度和同比、展示大队实时拥堵指数和同比；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（4）内部交通压力：展示实时大队日活跃车辆和周同比、展示实时大队在途车辆和周同比；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（5）进出交通压力：展示实时进区数量、展示实时出区数量；</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（6）警情态势：展示大队警情总数和周同比、展示大队按警情类型分类的饼状图；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（7）警情概况分析：可按时间、警情类型展示警情变化趋势，中队警</w:t>
            </w:r>
            <w:r>
              <w:rPr>
                <w:rFonts w:hint="eastAsia" w:ascii="宋体" w:hAnsi="宋体" w:eastAsia="宋体" w:cs="宋体"/>
                <w:color w:val="auto"/>
                <w:kern w:val="0"/>
                <w:sz w:val="24"/>
                <w:szCs w:val="24"/>
              </w:rPr>
              <w:t>情数量排名和周同比，高发路段警情数量排名和周同比，警情类型饼状图分析，警情状态饼状图分析。</w:t>
            </w:r>
          </w:p>
          <w:p w14:paraId="23B9F2F2">
            <w:pPr>
              <w:ind w:firstLine="560"/>
              <w:rPr>
                <w:color w:val="auto"/>
              </w:rPr>
            </w:pPr>
            <w:r>
              <w:rPr>
                <w:rFonts w:hint="eastAsia"/>
                <w:color w:val="auto"/>
              </w:rPr>
              <w:t>（</w:t>
            </w:r>
            <w:r>
              <w:rPr>
                <w:rFonts w:hint="eastAsia" w:eastAsia="宋体"/>
                <w:color w:val="auto"/>
                <w:lang w:val="en-US" w:eastAsia="zh-CN"/>
              </w:rPr>
              <w:t>8</w:t>
            </w:r>
            <w:r>
              <w:rPr>
                <w:rFonts w:hint="eastAsia"/>
                <w:color w:val="auto"/>
              </w:rPr>
              <w:t>）辖区的非现场执法设备统计展示，含违停球，鹰眼铁骑，警务通数量；</w:t>
            </w:r>
          </w:p>
          <w:p w14:paraId="09C4D3C5">
            <w:pPr>
              <w:ind w:firstLine="560"/>
              <w:rPr>
                <w:color w:val="auto"/>
              </w:rPr>
            </w:pPr>
            <w:r>
              <w:rPr>
                <w:rFonts w:hint="eastAsia"/>
                <w:color w:val="auto"/>
              </w:rPr>
              <w:t>（</w:t>
            </w:r>
            <w:r>
              <w:rPr>
                <w:rFonts w:hint="eastAsia" w:eastAsia="宋体"/>
                <w:color w:val="auto"/>
                <w:lang w:val="en-US" w:eastAsia="zh-CN"/>
              </w:rPr>
              <w:t>9</w:t>
            </w:r>
            <w:r>
              <w:rPr>
                <w:rFonts w:hint="eastAsia"/>
                <w:color w:val="auto"/>
              </w:rPr>
              <w:t>）电警违法行为分类统计展示，包括闯红灯，开车打电话，货车闯禁，摩托车闯禁，不按规定车道(实线变道)等；</w:t>
            </w:r>
          </w:p>
          <w:p w14:paraId="4A2752AE">
            <w:pPr>
              <w:ind w:firstLine="560"/>
              <w:rPr>
                <w:color w:val="auto"/>
              </w:rPr>
            </w:pPr>
            <w:r>
              <w:rPr>
                <w:rFonts w:hint="eastAsia"/>
                <w:color w:val="auto"/>
              </w:rPr>
              <w:t>（1</w:t>
            </w:r>
            <w:r>
              <w:rPr>
                <w:rFonts w:hint="eastAsia" w:eastAsia="宋体"/>
                <w:color w:val="auto"/>
                <w:lang w:val="en-US" w:eastAsia="zh-CN"/>
              </w:rPr>
              <w:t>0</w:t>
            </w:r>
            <w:r>
              <w:rPr>
                <w:rFonts w:hint="eastAsia"/>
                <w:color w:val="auto"/>
              </w:rPr>
              <w:t>）交通违法行为抓拍数(六合一有效数据)每天自动更新并展示。</w:t>
            </w:r>
          </w:p>
          <w:p w14:paraId="2A798DB1">
            <w:pPr>
              <w:widowControl/>
              <w:numPr>
                <w:ilvl w:val="0"/>
                <w:numId w:val="0"/>
              </w:numPr>
              <w:spacing w:line="240" w:lineRule="auto"/>
              <w:jc w:val="left"/>
              <w:rPr>
                <w:rFonts w:hint="eastAsia" w:ascii="宋体" w:hAnsi="宋体" w:eastAsia="宋体" w:cs="宋体"/>
                <w:color w:val="000000"/>
                <w:kern w:val="0"/>
                <w:sz w:val="24"/>
                <w:szCs w:val="24"/>
              </w:rPr>
            </w:pPr>
          </w:p>
        </w:tc>
        <w:tc>
          <w:tcPr>
            <w:tcW w:w="277" w:type="pct"/>
            <w:tcBorders>
              <w:top w:val="nil"/>
              <w:left w:val="nil"/>
              <w:bottom w:val="single" w:color="auto" w:sz="8" w:space="0"/>
              <w:right w:val="single" w:color="auto" w:sz="8" w:space="0"/>
            </w:tcBorders>
            <w:shd w:val="clear" w:color="auto" w:fill="auto"/>
            <w:noWrap/>
            <w:vAlign w:val="center"/>
          </w:tcPr>
          <w:p w14:paraId="35BECD3F">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73D4C6B8">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0A504A66">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21000</w:t>
            </w:r>
          </w:p>
        </w:tc>
      </w:tr>
      <w:tr w14:paraId="0F16DAB5">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75B66A16">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2.2</w:t>
            </w:r>
          </w:p>
        </w:tc>
        <w:tc>
          <w:tcPr>
            <w:tcW w:w="1372" w:type="pct"/>
            <w:tcBorders>
              <w:top w:val="nil"/>
              <w:left w:val="nil"/>
              <w:bottom w:val="single" w:color="auto" w:sz="8" w:space="0"/>
              <w:right w:val="single" w:color="auto" w:sz="8" w:space="0"/>
            </w:tcBorders>
            <w:shd w:val="clear" w:color="auto" w:fill="auto"/>
            <w:vAlign w:val="center"/>
          </w:tcPr>
          <w:p w14:paraId="7210D4DC">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中队交通概况轮播</w:t>
            </w:r>
          </w:p>
        </w:tc>
        <w:tc>
          <w:tcPr>
            <w:tcW w:w="2010" w:type="pct"/>
            <w:tcBorders>
              <w:top w:val="nil"/>
              <w:left w:val="nil"/>
              <w:bottom w:val="single" w:color="auto" w:sz="8" w:space="0"/>
              <w:right w:val="single" w:color="auto" w:sz="8" w:space="0"/>
            </w:tcBorders>
            <w:shd w:val="clear" w:color="auto" w:fill="auto"/>
            <w:vAlign w:val="center"/>
          </w:tcPr>
          <w:p w14:paraId="0AC2FA54">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展示各中队的平均速度和拥堵指数，并支持点击下钻至中队队大屏。</w:t>
            </w:r>
          </w:p>
        </w:tc>
        <w:tc>
          <w:tcPr>
            <w:tcW w:w="277" w:type="pct"/>
            <w:tcBorders>
              <w:top w:val="nil"/>
              <w:left w:val="nil"/>
              <w:bottom w:val="single" w:color="auto" w:sz="8" w:space="0"/>
              <w:right w:val="single" w:color="auto" w:sz="8" w:space="0"/>
            </w:tcBorders>
            <w:shd w:val="clear" w:color="auto" w:fill="auto"/>
            <w:noWrap/>
            <w:vAlign w:val="center"/>
          </w:tcPr>
          <w:p w14:paraId="750A2C79">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2259147F">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72B0B6B4">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3000</w:t>
            </w:r>
          </w:p>
        </w:tc>
      </w:tr>
      <w:tr w14:paraId="654FE7FF">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676486F9">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2.3</w:t>
            </w:r>
          </w:p>
        </w:tc>
        <w:tc>
          <w:tcPr>
            <w:tcW w:w="1372" w:type="pct"/>
            <w:tcBorders>
              <w:top w:val="nil"/>
              <w:left w:val="nil"/>
              <w:bottom w:val="single" w:color="auto" w:sz="8" w:space="0"/>
              <w:right w:val="single" w:color="auto" w:sz="8" w:space="0"/>
            </w:tcBorders>
            <w:shd w:val="clear" w:color="auto" w:fill="auto"/>
            <w:vAlign w:val="center"/>
          </w:tcPr>
          <w:p w14:paraId="169AF4C6">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重点关注</w:t>
            </w:r>
          </w:p>
        </w:tc>
        <w:tc>
          <w:tcPr>
            <w:tcW w:w="2010" w:type="pct"/>
            <w:tcBorders>
              <w:top w:val="nil"/>
              <w:left w:val="nil"/>
              <w:bottom w:val="single" w:color="auto" w:sz="8" w:space="0"/>
              <w:right w:val="single" w:color="auto" w:sz="8" w:space="0"/>
            </w:tcBorders>
            <w:shd w:val="clear" w:color="auto" w:fill="auto"/>
            <w:vAlign w:val="center"/>
          </w:tcPr>
          <w:p w14:paraId="51ACFC23">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（1）高架道路：显示大队TOP4高架道路排名和同比。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（2）过江桥隧：显示大队TOP4过江桥隧排名和同比。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（3）重点区域：显示大队TOP4重点区域排名和同比。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（4）主要干道：显示大队TOP4主要干道排名和同比，并支持下钻至干道屏。</w:t>
            </w:r>
          </w:p>
        </w:tc>
        <w:tc>
          <w:tcPr>
            <w:tcW w:w="277" w:type="pct"/>
            <w:tcBorders>
              <w:top w:val="nil"/>
              <w:left w:val="nil"/>
              <w:bottom w:val="single" w:color="auto" w:sz="8" w:space="0"/>
              <w:right w:val="single" w:color="auto" w:sz="8" w:space="0"/>
            </w:tcBorders>
            <w:shd w:val="clear" w:color="auto" w:fill="auto"/>
            <w:noWrap/>
            <w:vAlign w:val="center"/>
          </w:tcPr>
          <w:p w14:paraId="7451AAFF">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7C19E222">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056F41C2">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12000</w:t>
            </w:r>
          </w:p>
        </w:tc>
      </w:tr>
      <w:tr w14:paraId="3D4B4893">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28EE7850">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372" w:type="pct"/>
            <w:tcBorders>
              <w:top w:val="nil"/>
              <w:left w:val="nil"/>
              <w:bottom w:val="single" w:color="auto" w:sz="8" w:space="0"/>
              <w:right w:val="single" w:color="auto" w:sz="8" w:space="0"/>
            </w:tcBorders>
            <w:shd w:val="clear" w:color="auto" w:fill="auto"/>
            <w:noWrap/>
            <w:vAlign w:val="center"/>
          </w:tcPr>
          <w:p w14:paraId="5F8A5799">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中队大屏开发</w:t>
            </w:r>
          </w:p>
        </w:tc>
        <w:tc>
          <w:tcPr>
            <w:tcW w:w="2010" w:type="pct"/>
            <w:tcBorders>
              <w:top w:val="nil"/>
              <w:left w:val="nil"/>
              <w:bottom w:val="single" w:color="auto" w:sz="8" w:space="0"/>
              <w:right w:val="single" w:color="auto" w:sz="8" w:space="0"/>
            </w:tcBorders>
            <w:shd w:val="clear" w:color="auto" w:fill="auto"/>
            <w:vAlign w:val="center"/>
          </w:tcPr>
          <w:p w14:paraId="594F6DCF">
            <w:pPr>
              <w:widowControl/>
              <w:spacing w:line="240" w:lineRule="auto"/>
              <w:ind w:firstLine="0" w:firstLineChars="0"/>
              <w:jc w:val="left"/>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277" w:type="pct"/>
            <w:tcBorders>
              <w:top w:val="nil"/>
              <w:left w:val="nil"/>
              <w:bottom w:val="single" w:color="auto" w:sz="8" w:space="0"/>
              <w:right w:val="single" w:color="auto" w:sz="8" w:space="0"/>
            </w:tcBorders>
            <w:shd w:val="clear" w:color="auto" w:fill="auto"/>
            <w:noWrap/>
            <w:vAlign w:val="center"/>
          </w:tcPr>
          <w:p w14:paraId="5734873F">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250" w:type="pct"/>
            <w:tcBorders>
              <w:top w:val="nil"/>
              <w:left w:val="nil"/>
              <w:bottom w:val="single" w:color="auto" w:sz="8" w:space="0"/>
              <w:right w:val="single" w:color="auto" w:sz="8" w:space="0"/>
            </w:tcBorders>
            <w:shd w:val="clear" w:color="auto" w:fill="auto"/>
            <w:noWrap/>
            <w:vAlign w:val="center"/>
          </w:tcPr>
          <w:p w14:paraId="15356F0E">
            <w:pPr>
              <w:widowControl/>
              <w:spacing w:line="240" w:lineRule="auto"/>
              <w:ind w:firstLine="0" w:firstLineChars="0"/>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685" w:type="pct"/>
            <w:tcBorders>
              <w:top w:val="nil"/>
              <w:left w:val="nil"/>
              <w:bottom w:val="single" w:color="auto" w:sz="8" w:space="0"/>
              <w:right w:val="single" w:color="auto" w:sz="8" w:space="0"/>
            </w:tcBorders>
            <w:shd w:val="clear" w:color="auto" w:fill="auto"/>
            <w:noWrap/>
            <w:vAlign w:val="center"/>
          </w:tcPr>
          <w:p w14:paraId="0C9F27C4">
            <w:pPr>
              <w:widowControl/>
              <w:spacing w:line="240" w:lineRule="auto"/>
              <w:ind w:firstLine="0" w:firstLineChars="0"/>
              <w:jc w:val="right"/>
              <w:rPr>
                <w:rFonts w:hint="eastAsia" w:ascii="宋体" w:hAnsi="宋体" w:eastAsia="宋体" w:cs="宋体"/>
                <w:b/>
                <w:bCs/>
                <w:color w:val="000000"/>
                <w:kern w:val="0"/>
                <w:sz w:val="24"/>
                <w:szCs w:val="24"/>
              </w:rPr>
            </w:pPr>
            <w:r>
              <w:rPr>
                <w:rFonts w:hint="eastAsia" w:ascii="宋体" w:hAnsi="宋体" w:eastAsia="宋体" w:cs="宋体"/>
                <w:color w:val="000000"/>
                <w:kern w:val="0"/>
                <w:sz w:val="22"/>
                <w:szCs w:val="22"/>
              </w:rPr>
              <w:t>　</w:t>
            </w:r>
          </w:p>
        </w:tc>
      </w:tr>
      <w:tr w14:paraId="207E1E94">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2AF97C46">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3.1</w:t>
            </w:r>
          </w:p>
        </w:tc>
        <w:tc>
          <w:tcPr>
            <w:tcW w:w="1372" w:type="pct"/>
            <w:tcBorders>
              <w:top w:val="nil"/>
              <w:left w:val="nil"/>
              <w:bottom w:val="single" w:color="auto" w:sz="8" w:space="0"/>
              <w:right w:val="single" w:color="auto" w:sz="8" w:space="0"/>
            </w:tcBorders>
            <w:shd w:val="clear" w:color="auto" w:fill="auto"/>
            <w:vAlign w:val="center"/>
          </w:tcPr>
          <w:p w14:paraId="40214094">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交通态势</w:t>
            </w:r>
          </w:p>
        </w:tc>
        <w:tc>
          <w:tcPr>
            <w:tcW w:w="2010" w:type="pct"/>
            <w:tcBorders>
              <w:top w:val="nil"/>
              <w:left w:val="nil"/>
              <w:bottom w:val="single" w:color="auto" w:sz="8" w:space="0"/>
              <w:right w:val="single" w:color="auto" w:sz="8" w:space="0"/>
            </w:tcBorders>
            <w:shd w:val="clear" w:color="auto" w:fill="auto"/>
            <w:vAlign w:val="center"/>
          </w:tcPr>
          <w:p w14:paraId="56B73B9D">
            <w:pPr>
              <w:widowControl/>
              <w:numPr>
                <w:ilvl w:val="0"/>
                <w:numId w:val="3"/>
              </w:numPr>
              <w:spacing w:line="240" w:lineRule="auto"/>
              <w:ind w:firstLine="0" w:firstLineChars="0"/>
              <w:jc w:val="left"/>
              <w:rPr>
                <w:rFonts w:hint="eastAsia" w:ascii="宋体" w:hAnsi="宋体" w:eastAsia="宋体" w:cs="宋体"/>
                <w:color w:val="auto"/>
                <w:kern w:val="0"/>
                <w:sz w:val="24"/>
                <w:szCs w:val="24"/>
              </w:rPr>
            </w:pPr>
            <w:r>
              <w:rPr>
                <w:rFonts w:hint="eastAsia" w:ascii="宋体" w:hAnsi="宋体" w:eastAsia="宋体" w:cs="宋体"/>
                <w:color w:val="000000"/>
                <w:kern w:val="0"/>
                <w:sz w:val="24"/>
                <w:szCs w:val="24"/>
              </w:rPr>
              <w:t>展示中队辖区面积；</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（2）展示中队勤务排班：显示当前勤务岗位、姓名、点位、时间、对讲机号、联系电话；</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（3）展示中队路网密度；</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（4）通行态势：展示中队实时拥堵里程和同比、展示中队实时平均速度和同比、展示中队实时拥堵指数和同比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（5）内部交通压力：展示实时中队日活跃车辆和周同比、展示实时中队在途车辆和周同比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（6）进出交通压力：展示实时进区数量、展示实时出区数量</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（7）警情态势：展示中队警情总数和周同比、展示中队按警情类型分类的饼状图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（8）警情概况分析：可按时间、警情类型展示警情变化趋势，高发路段警情数量排名和周同比，警情类</w:t>
            </w:r>
            <w:r>
              <w:rPr>
                <w:rFonts w:hint="eastAsia" w:ascii="宋体" w:hAnsi="宋体" w:eastAsia="宋体" w:cs="宋体"/>
                <w:color w:val="auto"/>
                <w:kern w:val="0"/>
                <w:sz w:val="24"/>
                <w:szCs w:val="24"/>
              </w:rPr>
              <w:t>型饼状图分析，警情状态饼状图分析。</w:t>
            </w:r>
          </w:p>
          <w:p w14:paraId="4A98A167">
            <w:pPr>
              <w:ind w:firstLine="560"/>
              <w:rPr>
                <w:color w:val="auto"/>
              </w:rPr>
            </w:pPr>
            <w:r>
              <w:rPr>
                <w:rFonts w:hint="eastAsia"/>
                <w:color w:val="auto"/>
              </w:rPr>
              <w:t>（9）辖区的非现场执法设备统计展示，含违停球，鹰眼铁骑，警务通数量；</w:t>
            </w:r>
          </w:p>
          <w:p w14:paraId="19CAB174">
            <w:pPr>
              <w:ind w:firstLine="560"/>
              <w:rPr>
                <w:color w:val="auto"/>
              </w:rPr>
            </w:pPr>
            <w:r>
              <w:rPr>
                <w:rFonts w:hint="eastAsia"/>
                <w:color w:val="auto"/>
              </w:rPr>
              <w:t>（10）电警违法行为分类统计展示，包括闯红灯，开车打电话，货车闯禁，摩托车闯禁，不按规定车道(实线变道)等；</w:t>
            </w:r>
          </w:p>
          <w:p w14:paraId="6360A7E9">
            <w:pPr>
              <w:ind w:firstLine="560"/>
              <w:rPr>
                <w:color w:val="auto"/>
              </w:rPr>
            </w:pPr>
            <w:r>
              <w:rPr>
                <w:rFonts w:hint="eastAsia"/>
                <w:color w:val="auto"/>
              </w:rPr>
              <w:t>（11）交通违法行为抓拍数(六合一有效数据)每天自动更新并展示。</w:t>
            </w:r>
          </w:p>
          <w:p w14:paraId="279D62C8">
            <w:pPr>
              <w:widowControl/>
              <w:numPr>
                <w:ilvl w:val="0"/>
                <w:numId w:val="0"/>
              </w:numPr>
              <w:spacing w:line="240" w:lineRule="auto"/>
              <w:jc w:val="left"/>
              <w:rPr>
                <w:rFonts w:hint="eastAsia" w:ascii="宋体" w:hAnsi="宋体" w:eastAsia="宋体" w:cs="宋体"/>
                <w:color w:val="000000"/>
                <w:kern w:val="0"/>
                <w:sz w:val="24"/>
                <w:szCs w:val="24"/>
              </w:rPr>
            </w:pPr>
          </w:p>
        </w:tc>
        <w:tc>
          <w:tcPr>
            <w:tcW w:w="277" w:type="pct"/>
            <w:tcBorders>
              <w:top w:val="nil"/>
              <w:left w:val="nil"/>
              <w:bottom w:val="single" w:color="auto" w:sz="8" w:space="0"/>
              <w:right w:val="single" w:color="auto" w:sz="8" w:space="0"/>
            </w:tcBorders>
            <w:shd w:val="clear" w:color="auto" w:fill="auto"/>
            <w:noWrap/>
            <w:vAlign w:val="center"/>
          </w:tcPr>
          <w:p w14:paraId="4E76EBAC">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433C0611">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0222D638">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21000</w:t>
            </w:r>
          </w:p>
        </w:tc>
      </w:tr>
      <w:tr w14:paraId="31E4C830">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5878BD8A">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w:t>
            </w:r>
          </w:p>
        </w:tc>
        <w:tc>
          <w:tcPr>
            <w:tcW w:w="1372" w:type="pct"/>
            <w:tcBorders>
              <w:top w:val="nil"/>
              <w:left w:val="nil"/>
              <w:bottom w:val="single" w:color="auto" w:sz="8" w:space="0"/>
              <w:right w:val="single" w:color="auto" w:sz="8" w:space="0"/>
            </w:tcBorders>
            <w:shd w:val="clear" w:color="auto" w:fill="auto"/>
            <w:vAlign w:val="center"/>
          </w:tcPr>
          <w:p w14:paraId="2B0C3851">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重点关注</w:t>
            </w:r>
          </w:p>
        </w:tc>
        <w:tc>
          <w:tcPr>
            <w:tcW w:w="2010" w:type="pct"/>
            <w:tcBorders>
              <w:top w:val="nil"/>
              <w:left w:val="nil"/>
              <w:bottom w:val="single" w:color="auto" w:sz="8" w:space="0"/>
              <w:right w:val="single" w:color="auto" w:sz="8" w:space="0"/>
            </w:tcBorders>
            <w:shd w:val="clear" w:color="auto" w:fill="auto"/>
            <w:vAlign w:val="center"/>
          </w:tcPr>
          <w:p w14:paraId="0ED94575">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（1）重点区域：显示中队TOP4重点区域排名和同比；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（2）主要干道：显示中队TOP4主要干道排名和同比，并支持下钻至干道屏；</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（3）重要路口：显示中队TOP4重要路口排名和同比，并支持下钻至路口屏。</w:t>
            </w:r>
          </w:p>
        </w:tc>
        <w:tc>
          <w:tcPr>
            <w:tcW w:w="277" w:type="pct"/>
            <w:tcBorders>
              <w:top w:val="nil"/>
              <w:left w:val="nil"/>
              <w:bottom w:val="single" w:color="auto" w:sz="8" w:space="0"/>
              <w:right w:val="single" w:color="auto" w:sz="8" w:space="0"/>
            </w:tcBorders>
            <w:shd w:val="clear" w:color="auto" w:fill="auto"/>
            <w:noWrap/>
            <w:vAlign w:val="center"/>
          </w:tcPr>
          <w:p w14:paraId="404A5EAA">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001E6C57">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467D2966">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12000</w:t>
            </w:r>
          </w:p>
        </w:tc>
      </w:tr>
      <w:tr w14:paraId="71607E42">
        <w:tblPrEx>
          <w:tblCellMar>
            <w:top w:w="0" w:type="dxa"/>
            <w:left w:w="108" w:type="dxa"/>
            <w:bottom w:w="0" w:type="dxa"/>
            <w:right w:w="108" w:type="dxa"/>
          </w:tblCellMar>
        </w:tblPrEx>
        <w:trPr>
          <w:trHeight w:val="428" w:hRule="atLeast"/>
        </w:trPr>
        <w:tc>
          <w:tcPr>
            <w:tcW w:w="1775" w:type="pct"/>
            <w:gridSpan w:val="2"/>
            <w:tcBorders>
              <w:top w:val="single" w:color="auto" w:sz="8" w:space="0"/>
              <w:left w:val="single" w:color="auto" w:sz="8" w:space="0"/>
              <w:bottom w:val="single" w:color="auto" w:sz="8" w:space="0"/>
              <w:right w:val="single" w:color="000000" w:sz="8" w:space="0"/>
            </w:tcBorders>
            <w:shd w:val="clear" w:color="auto" w:fill="auto"/>
            <w:noWrap/>
            <w:vAlign w:val="center"/>
          </w:tcPr>
          <w:p w14:paraId="40B52277">
            <w:pPr>
              <w:widowControl/>
              <w:spacing w:line="240" w:lineRule="auto"/>
              <w:ind w:firstLine="0" w:firstLineChars="0"/>
              <w:jc w:val="left"/>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二、“三快”警情处置</w:t>
            </w:r>
          </w:p>
        </w:tc>
        <w:tc>
          <w:tcPr>
            <w:tcW w:w="2010" w:type="pct"/>
            <w:tcBorders>
              <w:top w:val="nil"/>
              <w:left w:val="nil"/>
              <w:bottom w:val="single" w:color="auto" w:sz="8" w:space="0"/>
              <w:right w:val="single" w:color="auto" w:sz="8" w:space="0"/>
            </w:tcBorders>
            <w:shd w:val="clear" w:color="auto" w:fill="auto"/>
            <w:vAlign w:val="center"/>
          </w:tcPr>
          <w:p w14:paraId="7FF80C37">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277" w:type="pct"/>
            <w:tcBorders>
              <w:top w:val="nil"/>
              <w:left w:val="nil"/>
              <w:bottom w:val="single" w:color="auto" w:sz="8" w:space="0"/>
              <w:right w:val="single" w:color="auto" w:sz="8" w:space="0"/>
            </w:tcBorders>
            <w:shd w:val="clear" w:color="auto" w:fill="auto"/>
            <w:noWrap/>
            <w:vAlign w:val="center"/>
          </w:tcPr>
          <w:p w14:paraId="69F983C7">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250" w:type="pct"/>
            <w:tcBorders>
              <w:top w:val="nil"/>
              <w:left w:val="nil"/>
              <w:bottom w:val="single" w:color="auto" w:sz="8" w:space="0"/>
              <w:right w:val="single" w:color="auto" w:sz="8" w:space="0"/>
            </w:tcBorders>
            <w:shd w:val="clear" w:color="auto" w:fill="auto"/>
            <w:noWrap/>
            <w:vAlign w:val="center"/>
          </w:tcPr>
          <w:p w14:paraId="2441556B">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685" w:type="pct"/>
            <w:tcBorders>
              <w:top w:val="nil"/>
              <w:left w:val="nil"/>
              <w:bottom w:val="single" w:color="auto" w:sz="8" w:space="0"/>
              <w:right w:val="single" w:color="auto" w:sz="8" w:space="0"/>
            </w:tcBorders>
            <w:shd w:val="clear" w:color="auto" w:fill="auto"/>
            <w:noWrap/>
            <w:vAlign w:val="center"/>
          </w:tcPr>
          <w:p w14:paraId="3D0CCAB9">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　</w:t>
            </w:r>
          </w:p>
        </w:tc>
      </w:tr>
      <w:tr w14:paraId="41E101BC">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722EF15C">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372" w:type="pct"/>
            <w:tcBorders>
              <w:top w:val="nil"/>
              <w:left w:val="nil"/>
              <w:bottom w:val="single" w:color="auto" w:sz="8" w:space="0"/>
              <w:right w:val="single" w:color="auto" w:sz="8" w:space="0"/>
            </w:tcBorders>
            <w:shd w:val="clear" w:color="auto" w:fill="auto"/>
            <w:vAlign w:val="center"/>
          </w:tcPr>
          <w:p w14:paraId="0DEE428C">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互联网数据接入</w:t>
            </w:r>
          </w:p>
        </w:tc>
        <w:tc>
          <w:tcPr>
            <w:tcW w:w="2010" w:type="pct"/>
            <w:tcBorders>
              <w:top w:val="nil"/>
              <w:left w:val="nil"/>
              <w:bottom w:val="single" w:color="auto" w:sz="8" w:space="0"/>
              <w:right w:val="single" w:color="auto" w:sz="8" w:space="0"/>
            </w:tcBorders>
            <w:shd w:val="clear" w:color="auto" w:fill="auto"/>
            <w:vAlign w:val="center"/>
          </w:tcPr>
          <w:p w14:paraId="087BAC89">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（1）根据互联网数据协议，支持将互联网道路link数据接入指挥调度平台，并支持定时全量更新道路link数据；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（2）定时全量更新道路路况数据，更新频率不得低于2分钟一次；</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（3）支持定时获取最新预警数据，获取频率不得低于1分钟一次；</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（4）根据需要，通过自定义的城区范围，对互联网地图link数据和互联网拥堵预警数据进行过滤，剔除距离城区比较偏远的数据；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（5）将获取到的互联网地图link数据和互联网拥堵预警数据中涉及的坐标属性，将坐标由坐标系BD-09坐标系转为WGS84坐标系，方便在交警各业务平台使用；</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（6）通过互联网拥堵预警数据上传的警情ID编号对数据进行去重，防止重复警情接入指挥调度平台；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（7）根据互联网地图提供的拥堵指数、拥堵距离等数据，将拥堵预警分为缓行、轻度拥堵和严重拥堵三类，同一警情在拥堵升级的情况下，也需要进行预警；</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（8）通过空间距离算法，根据经纬度对互联网拥堵预警数据进行过滤筛分，剔除重复概率较高的警情，提升一线人员工作效率；</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通过配置文件的方式，快速切换需要接入的互联网地图拥堵警情类型和拥堵警情所属辖区；</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（9）通过拥堵警情所属道路类型和拥堵距离，对不满足需要的拥堵预警进行筛分，提升一线人员工作效率。</w:t>
            </w:r>
          </w:p>
        </w:tc>
        <w:tc>
          <w:tcPr>
            <w:tcW w:w="277" w:type="pct"/>
            <w:tcBorders>
              <w:top w:val="nil"/>
              <w:left w:val="nil"/>
              <w:bottom w:val="single" w:color="auto" w:sz="8" w:space="0"/>
              <w:right w:val="single" w:color="auto" w:sz="8" w:space="0"/>
            </w:tcBorders>
            <w:shd w:val="clear" w:color="auto" w:fill="auto"/>
            <w:noWrap/>
            <w:vAlign w:val="center"/>
          </w:tcPr>
          <w:p w14:paraId="0B96B5AD">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2FC46047">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659860EA">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20000</w:t>
            </w:r>
          </w:p>
        </w:tc>
      </w:tr>
      <w:tr w14:paraId="12B63F1D">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61E4614B">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372" w:type="pct"/>
            <w:tcBorders>
              <w:top w:val="nil"/>
              <w:left w:val="nil"/>
              <w:bottom w:val="single" w:color="auto" w:sz="8" w:space="0"/>
              <w:right w:val="single" w:color="auto" w:sz="8" w:space="0"/>
            </w:tcBorders>
            <w:shd w:val="clear" w:color="auto" w:fill="auto"/>
            <w:vAlign w:val="center"/>
          </w:tcPr>
          <w:p w14:paraId="11755A28">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平台数据融合</w:t>
            </w:r>
          </w:p>
        </w:tc>
        <w:tc>
          <w:tcPr>
            <w:tcW w:w="2010" w:type="pct"/>
            <w:tcBorders>
              <w:top w:val="nil"/>
              <w:left w:val="nil"/>
              <w:bottom w:val="single" w:color="auto" w:sz="8" w:space="0"/>
              <w:right w:val="single" w:color="auto" w:sz="8" w:space="0"/>
            </w:tcBorders>
            <w:shd w:val="clear" w:color="auto" w:fill="auto"/>
            <w:vAlign w:val="center"/>
          </w:tcPr>
          <w:p w14:paraId="5E107730">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（1）支持旧版协议兼容，对于前期项目建设的事件检测器等老旧设备所上报警情依然可以正常接入和处理；</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（2）将百度、高德、海康事件检测器和佳都平台等提供的交通拥堵警情数据进行融合分析，可以通过警情所属部门、道路、报警时间和空间坐标等信息，对疑似重复警情进行过滤</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（3）接入的警情与允许新增时间段限制，如午夜拥堵报警的不接入平台；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（4）按照警情空间坐标信息和各种对辖区范围，将拥堵预警直接关联到中队辖区，对环城和特勤大队警情需特殊处理。</w:t>
            </w:r>
          </w:p>
        </w:tc>
        <w:tc>
          <w:tcPr>
            <w:tcW w:w="277" w:type="pct"/>
            <w:tcBorders>
              <w:top w:val="nil"/>
              <w:left w:val="nil"/>
              <w:bottom w:val="single" w:color="auto" w:sz="8" w:space="0"/>
              <w:right w:val="single" w:color="auto" w:sz="8" w:space="0"/>
            </w:tcBorders>
            <w:shd w:val="clear" w:color="auto" w:fill="auto"/>
            <w:noWrap/>
            <w:vAlign w:val="center"/>
          </w:tcPr>
          <w:p w14:paraId="38B9514B">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38707074">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64DD4872">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12000</w:t>
            </w:r>
          </w:p>
        </w:tc>
      </w:tr>
      <w:tr w14:paraId="6ABF2C51">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8" w:space="0"/>
              <w:right w:val="single" w:color="auto" w:sz="8" w:space="0"/>
            </w:tcBorders>
            <w:shd w:val="clear" w:color="auto" w:fill="auto"/>
            <w:noWrap/>
            <w:vAlign w:val="center"/>
          </w:tcPr>
          <w:p w14:paraId="4E7893FB">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372" w:type="pct"/>
            <w:tcBorders>
              <w:top w:val="nil"/>
              <w:left w:val="nil"/>
              <w:bottom w:val="single" w:color="auto" w:sz="8" w:space="0"/>
              <w:right w:val="single" w:color="auto" w:sz="8" w:space="0"/>
            </w:tcBorders>
            <w:shd w:val="clear" w:color="auto" w:fill="auto"/>
            <w:noWrap/>
            <w:vAlign w:val="center"/>
          </w:tcPr>
          <w:p w14:paraId="02D1EBE3">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警情处置</w:t>
            </w:r>
          </w:p>
        </w:tc>
        <w:tc>
          <w:tcPr>
            <w:tcW w:w="2010" w:type="pct"/>
            <w:tcBorders>
              <w:top w:val="nil"/>
              <w:left w:val="nil"/>
              <w:bottom w:val="single" w:color="auto" w:sz="8" w:space="0"/>
              <w:right w:val="single" w:color="auto" w:sz="8" w:space="0"/>
            </w:tcBorders>
            <w:shd w:val="clear" w:color="auto" w:fill="auto"/>
            <w:vAlign w:val="center"/>
          </w:tcPr>
          <w:p w14:paraId="4A5325ED">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（1）支持和兼容chrome、edge和火狐等现代浏览器；</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（2）支持大队和中队用户处理接收到的相关警情，中队用户只接收和处置本中队警情，大队用户可以接收和处置本大队所属中队相关警情；</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（3）数据查询条件中，支持中队级别的部门筛选；</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（4）数据查询条件中，支持警情提供商的筛选；</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（5）已经处置完毕的警情，应该支持最近一段时间警情的查询；</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（6）支持无插件模式播放路面球机、高点和枪机等实时视频；</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（7）对百度和高德等互联网厂商提供的拥堵警情，在地图上以红色线段展示其拥堵范围；</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（8）对交通拥堵警情，警情等级改为缓行、轻度拥堵和严重拥堵，其他类型警情依然展示三级、二级和一级；</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（9）支持高德和百度等互联网厂商提供路况图层的展示；</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（10）违停等违法预警，新增警情图片展示功能，并支持双击图片查看大图；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（11）支持从鲁班大屏跳转到【处警台】页面中；</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（12）新增接警-&gt;派警-&gt;反馈-&gt;结警的流程控制组件，方便查看当前警情处置状态，流程控制组件和警情指令发送组件进行联动，发送指令后及时刷新警情处置过程；</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（13）优化警情详细信息展示，新增数据推送厂家，去掉联系电话、附件信息等内容；</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（14）开发警情和周边视频关联关系手动匹配功能，视频设备按照匹配关系优先展示，没有匹配的话展示周边视频；</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（15）支持信号灯态查看，但禁止在警情处置页面进行信号灯控制，防止出现同一信号机多头调控的问题。</w:t>
            </w:r>
          </w:p>
        </w:tc>
        <w:tc>
          <w:tcPr>
            <w:tcW w:w="277" w:type="pct"/>
            <w:tcBorders>
              <w:top w:val="nil"/>
              <w:left w:val="nil"/>
              <w:bottom w:val="single" w:color="auto" w:sz="8" w:space="0"/>
              <w:right w:val="single" w:color="auto" w:sz="8" w:space="0"/>
            </w:tcBorders>
            <w:shd w:val="clear" w:color="auto" w:fill="auto"/>
            <w:noWrap/>
            <w:vAlign w:val="center"/>
          </w:tcPr>
          <w:p w14:paraId="72E2D35B">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8" w:space="0"/>
              <w:right w:val="single" w:color="auto" w:sz="8" w:space="0"/>
            </w:tcBorders>
            <w:shd w:val="clear" w:color="auto" w:fill="auto"/>
            <w:noWrap/>
            <w:vAlign w:val="center"/>
          </w:tcPr>
          <w:p w14:paraId="02D34E3C">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8" w:space="0"/>
              <w:right w:val="single" w:color="auto" w:sz="8" w:space="0"/>
            </w:tcBorders>
            <w:shd w:val="clear" w:color="auto" w:fill="auto"/>
            <w:noWrap/>
            <w:vAlign w:val="center"/>
          </w:tcPr>
          <w:p w14:paraId="2DD6B90D">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rPr>
              <w:t>21000</w:t>
            </w:r>
          </w:p>
        </w:tc>
      </w:tr>
      <w:tr w14:paraId="392B0EBE">
        <w:tblPrEx>
          <w:tblCellMar>
            <w:top w:w="0" w:type="dxa"/>
            <w:left w:w="108" w:type="dxa"/>
            <w:bottom w:w="0" w:type="dxa"/>
            <w:right w:w="108" w:type="dxa"/>
          </w:tblCellMar>
        </w:tblPrEx>
        <w:trPr>
          <w:trHeight w:val="428" w:hRule="atLeast"/>
        </w:trPr>
        <w:tc>
          <w:tcPr>
            <w:tcW w:w="402" w:type="pct"/>
            <w:tcBorders>
              <w:top w:val="nil"/>
              <w:left w:val="single" w:color="auto" w:sz="8" w:space="0"/>
              <w:bottom w:val="single" w:color="auto" w:sz="4" w:space="0"/>
              <w:right w:val="single" w:color="auto" w:sz="8" w:space="0"/>
            </w:tcBorders>
            <w:shd w:val="clear" w:color="auto" w:fill="auto"/>
            <w:noWrap/>
            <w:vAlign w:val="center"/>
          </w:tcPr>
          <w:p w14:paraId="0656D320">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1372" w:type="pct"/>
            <w:tcBorders>
              <w:top w:val="nil"/>
              <w:left w:val="nil"/>
              <w:bottom w:val="single" w:color="auto" w:sz="4" w:space="0"/>
              <w:right w:val="single" w:color="auto" w:sz="8" w:space="0"/>
            </w:tcBorders>
            <w:shd w:val="clear" w:color="auto" w:fill="auto"/>
            <w:noWrap/>
            <w:vAlign w:val="center"/>
          </w:tcPr>
          <w:p w14:paraId="4BEE2966">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对接“三快”小程序</w:t>
            </w:r>
          </w:p>
        </w:tc>
        <w:tc>
          <w:tcPr>
            <w:tcW w:w="2010" w:type="pct"/>
            <w:tcBorders>
              <w:top w:val="nil"/>
              <w:left w:val="nil"/>
              <w:bottom w:val="single" w:color="auto" w:sz="4" w:space="0"/>
              <w:right w:val="single" w:color="auto" w:sz="8" w:space="0"/>
            </w:tcBorders>
            <w:shd w:val="clear" w:color="auto" w:fill="auto"/>
            <w:vAlign w:val="center"/>
          </w:tcPr>
          <w:p w14:paraId="0AB6FF6E">
            <w:pPr>
              <w:widowControl/>
              <w:spacing w:line="240" w:lineRule="auto"/>
              <w:ind w:firstLine="0" w:firstLineChars="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（1）支持按照拟定的协议，将指挥调度平台将警情下发到“三快”小程序，“三快”小程序将警情基本信息和警情下发部门和警员的信息进行处理，推送路面民警进行处置和反馈；</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（2）支持按照拟定的协议，“三快”小程序将警情信息和路面民警进行处置和反馈结果反馈到指挥调度平台。</w:t>
            </w:r>
          </w:p>
        </w:tc>
        <w:tc>
          <w:tcPr>
            <w:tcW w:w="277" w:type="pct"/>
            <w:tcBorders>
              <w:top w:val="nil"/>
              <w:left w:val="nil"/>
              <w:bottom w:val="single" w:color="auto" w:sz="4" w:space="0"/>
              <w:right w:val="single" w:color="auto" w:sz="8" w:space="0"/>
            </w:tcBorders>
            <w:shd w:val="clear" w:color="auto" w:fill="auto"/>
            <w:noWrap/>
            <w:vAlign w:val="center"/>
          </w:tcPr>
          <w:p w14:paraId="2971DC7B">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0" w:type="pct"/>
            <w:tcBorders>
              <w:top w:val="nil"/>
              <w:left w:val="nil"/>
              <w:bottom w:val="single" w:color="auto" w:sz="4" w:space="0"/>
              <w:right w:val="single" w:color="auto" w:sz="8" w:space="0"/>
            </w:tcBorders>
            <w:shd w:val="clear" w:color="auto" w:fill="auto"/>
            <w:noWrap/>
            <w:vAlign w:val="center"/>
          </w:tcPr>
          <w:p w14:paraId="10241308">
            <w:pPr>
              <w:widowControl/>
              <w:spacing w:line="240" w:lineRule="auto"/>
              <w:ind w:firstLine="0" w:firstLineChars="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685" w:type="pct"/>
            <w:tcBorders>
              <w:top w:val="nil"/>
              <w:left w:val="nil"/>
              <w:bottom w:val="single" w:color="auto" w:sz="4" w:space="0"/>
              <w:right w:val="single" w:color="auto" w:sz="8" w:space="0"/>
            </w:tcBorders>
            <w:shd w:val="clear" w:color="auto" w:fill="auto"/>
            <w:noWrap/>
            <w:vAlign w:val="center"/>
          </w:tcPr>
          <w:p w14:paraId="0E9E0A29">
            <w:pPr>
              <w:widowControl/>
              <w:spacing w:line="240" w:lineRule="auto"/>
              <w:ind w:firstLine="0" w:firstLineChars="0"/>
              <w:jc w:val="right"/>
              <w:rPr>
                <w:rFonts w:hint="eastAsia" w:ascii="宋体" w:hAnsi="宋体" w:eastAsia="宋体" w:cs="宋体"/>
                <w:color w:val="000000"/>
                <w:kern w:val="0"/>
                <w:sz w:val="24"/>
                <w:szCs w:val="24"/>
              </w:rPr>
            </w:pPr>
            <w:r>
              <w:rPr>
                <w:rFonts w:hint="eastAsia" w:ascii="宋体" w:hAnsi="宋体" w:eastAsia="宋体" w:cs="宋体"/>
                <w:color w:val="000000"/>
                <w:kern w:val="0"/>
                <w:sz w:val="22"/>
                <w:szCs w:val="22"/>
                <w:lang w:val="en-US" w:eastAsia="zh-CN"/>
              </w:rPr>
              <w:t>5500</w:t>
            </w:r>
          </w:p>
        </w:tc>
      </w:tr>
      <w:tr w14:paraId="27D131C9">
        <w:tblPrEx>
          <w:tblCellMar>
            <w:top w:w="0" w:type="dxa"/>
            <w:left w:w="108" w:type="dxa"/>
            <w:bottom w:w="0" w:type="dxa"/>
            <w:right w:w="108" w:type="dxa"/>
          </w:tblCellMar>
        </w:tblPrEx>
        <w:trPr>
          <w:trHeight w:val="428" w:hRule="atLeast"/>
        </w:trPr>
        <w:tc>
          <w:tcPr>
            <w:tcW w:w="4314" w:type="pct"/>
            <w:gridSpan w:val="5"/>
            <w:tcBorders>
              <w:top w:val="single" w:color="auto" w:sz="4" w:space="0"/>
              <w:left w:val="single" w:color="auto" w:sz="4" w:space="0"/>
              <w:bottom w:val="single" w:color="auto" w:sz="4" w:space="0"/>
              <w:right w:val="single" w:color="auto" w:sz="8" w:space="0"/>
            </w:tcBorders>
            <w:shd w:val="clear" w:color="auto" w:fill="auto"/>
            <w:noWrap/>
            <w:vAlign w:val="center"/>
          </w:tcPr>
          <w:p w14:paraId="41E80D9D">
            <w:pPr>
              <w:widowControl/>
              <w:spacing w:line="240" w:lineRule="auto"/>
              <w:ind w:firstLine="0" w:firstLineChars="0"/>
              <w:jc w:val="center"/>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合计（元）</w:t>
            </w:r>
          </w:p>
        </w:tc>
        <w:tc>
          <w:tcPr>
            <w:tcW w:w="685" w:type="pct"/>
            <w:tcBorders>
              <w:top w:val="single" w:color="auto" w:sz="4" w:space="0"/>
              <w:left w:val="nil"/>
              <w:bottom w:val="single" w:color="auto" w:sz="4" w:space="0"/>
              <w:right w:val="single" w:color="auto" w:sz="4" w:space="0"/>
            </w:tcBorders>
            <w:shd w:val="clear" w:color="auto" w:fill="auto"/>
            <w:noWrap/>
            <w:vAlign w:val="center"/>
          </w:tcPr>
          <w:p w14:paraId="43CDB697">
            <w:pPr>
              <w:widowControl/>
              <w:spacing w:line="240" w:lineRule="auto"/>
              <w:ind w:firstLine="0" w:firstLineChars="0"/>
              <w:jc w:val="right"/>
              <w:rPr>
                <w:rFonts w:hint="default"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188500</w:t>
            </w:r>
          </w:p>
        </w:tc>
      </w:tr>
    </w:tbl>
    <w:p w14:paraId="558BA289">
      <w:pPr>
        <w:spacing w:before="9"/>
      </w:pPr>
    </w:p>
    <w:p w14:paraId="51EE32A8">
      <w:pPr>
        <w:spacing w:before="8"/>
      </w:pPr>
    </w:p>
    <w:p w14:paraId="3C72A6F6">
      <w:pPr>
        <w:spacing w:line="423" w:lineRule="auto"/>
        <w:rPr>
          <w:rFonts w:ascii="Arial"/>
          <w:sz w:val="21"/>
        </w:rPr>
      </w:pPr>
    </w:p>
    <w:p w14:paraId="591ADE45">
      <w:pPr>
        <w:spacing w:before="101" w:line="222" w:lineRule="auto"/>
        <w:ind w:left="654"/>
        <w:outlineLvl w:val="2"/>
        <w:rPr>
          <w:rFonts w:ascii="黑体" w:hAnsi="黑体" w:eastAsia="黑体" w:cs="黑体"/>
          <w:sz w:val="31"/>
          <w:szCs w:val="31"/>
        </w:rPr>
      </w:pPr>
      <w:r>
        <w:rPr>
          <w:rFonts w:ascii="黑体" w:hAnsi="黑体" w:eastAsia="黑体" w:cs="黑体"/>
          <w:b/>
          <w:bCs/>
          <w:spacing w:val="9"/>
          <w:sz w:val="31"/>
          <w:szCs w:val="31"/>
        </w:rPr>
        <w:t>五、技术要求</w:t>
      </w:r>
    </w:p>
    <w:p w14:paraId="3872E09C">
      <w:pPr>
        <w:spacing w:line="456" w:lineRule="auto"/>
        <w:rPr>
          <w:rFonts w:ascii="Arial"/>
          <w:sz w:val="21"/>
        </w:rPr>
      </w:pPr>
    </w:p>
    <w:p w14:paraId="2AEECDE8">
      <w:pPr>
        <w:pStyle w:val="2"/>
        <w:spacing w:before="88" w:line="426" w:lineRule="auto"/>
        <w:ind w:right="19" w:firstLine="560"/>
        <w:jc w:val="both"/>
        <w:rPr>
          <w:sz w:val="27"/>
          <w:szCs w:val="27"/>
        </w:rPr>
      </w:pPr>
      <w:r>
        <w:rPr>
          <w:spacing w:val="11"/>
          <w:sz w:val="27"/>
          <w:szCs w:val="27"/>
        </w:rPr>
        <w:t>中标方需在中标结果公示后5个自然日内，提供系统高保真设计</w:t>
      </w:r>
      <w:r>
        <w:rPr>
          <w:spacing w:val="17"/>
          <w:sz w:val="27"/>
          <w:szCs w:val="27"/>
        </w:rPr>
        <w:t xml:space="preserve"> </w:t>
      </w:r>
      <w:r>
        <w:rPr>
          <w:spacing w:val="7"/>
          <w:sz w:val="27"/>
          <w:szCs w:val="27"/>
        </w:rPr>
        <w:t>原型交由采购方审核，审核通过后方可签订正式合同，如审核未通过</w:t>
      </w:r>
      <w:r>
        <w:rPr>
          <w:sz w:val="27"/>
          <w:szCs w:val="27"/>
        </w:rPr>
        <w:t xml:space="preserve"> </w:t>
      </w:r>
      <w:r>
        <w:rPr>
          <w:spacing w:val="6"/>
          <w:sz w:val="27"/>
          <w:szCs w:val="27"/>
        </w:rPr>
        <w:t>的，可在2个工作日后重新提交审核，仍未通过的，直</w:t>
      </w:r>
      <w:r>
        <w:rPr>
          <w:spacing w:val="5"/>
          <w:sz w:val="27"/>
          <w:szCs w:val="27"/>
        </w:rPr>
        <w:t>接作废标处理。</w:t>
      </w:r>
    </w:p>
    <w:p w14:paraId="624B1625">
      <w:pPr>
        <w:pStyle w:val="2"/>
        <w:spacing w:before="15" w:line="425" w:lineRule="auto"/>
        <w:ind w:right="123" w:firstLine="560"/>
        <w:jc w:val="both"/>
        <w:rPr>
          <w:rFonts w:ascii="Arial"/>
          <w:sz w:val="21"/>
        </w:rPr>
      </w:pPr>
      <w:r>
        <w:rPr>
          <w:spacing w:val="16"/>
          <w:sz w:val="27"/>
          <w:szCs w:val="27"/>
        </w:rPr>
        <w:t>中标方须在合同签订生效后15个自然日内完成系统主体功能开</w:t>
      </w:r>
      <w:r>
        <w:rPr>
          <w:spacing w:val="12"/>
          <w:sz w:val="27"/>
          <w:szCs w:val="27"/>
        </w:rPr>
        <w:t xml:space="preserve"> </w:t>
      </w:r>
      <w:r>
        <w:rPr>
          <w:spacing w:val="16"/>
          <w:sz w:val="27"/>
          <w:szCs w:val="27"/>
        </w:rPr>
        <w:t>发、测试及部署，30个自然日内完成业务需</w:t>
      </w:r>
      <w:r>
        <w:rPr>
          <w:spacing w:val="15"/>
          <w:sz w:val="27"/>
          <w:szCs w:val="27"/>
        </w:rPr>
        <w:t>求清单所有功能模块的</w:t>
      </w:r>
      <w:r>
        <w:rPr>
          <w:sz w:val="27"/>
          <w:szCs w:val="27"/>
        </w:rPr>
        <w:t xml:space="preserve"> </w:t>
      </w:r>
      <w:r>
        <w:rPr>
          <w:spacing w:val="4"/>
          <w:sz w:val="27"/>
          <w:szCs w:val="27"/>
        </w:rPr>
        <w:t>交付，投入实战应用。</w:t>
      </w:r>
    </w:p>
    <w:p w14:paraId="7FDF1BCA">
      <w:pPr>
        <w:spacing w:before="91" w:line="221" w:lineRule="auto"/>
        <w:ind w:left="769"/>
        <w:outlineLvl w:val="2"/>
        <w:rPr>
          <w:rFonts w:ascii="黑体" w:hAnsi="黑体" w:eastAsia="黑体" w:cs="黑体"/>
          <w:sz w:val="28"/>
          <w:szCs w:val="28"/>
        </w:rPr>
      </w:pPr>
      <w:r>
        <w:rPr>
          <w:rFonts w:ascii="黑体" w:hAnsi="黑体" w:eastAsia="黑体" w:cs="黑体"/>
          <w:b/>
          <w:bCs/>
          <w:spacing w:val="17"/>
          <w:sz w:val="28"/>
          <w:szCs w:val="28"/>
        </w:rPr>
        <w:t>六</w:t>
      </w:r>
      <w:r>
        <w:rPr>
          <w:rFonts w:ascii="黑体" w:hAnsi="黑体" w:eastAsia="黑体" w:cs="黑体"/>
          <w:spacing w:val="17"/>
          <w:sz w:val="28"/>
          <w:szCs w:val="28"/>
        </w:rPr>
        <w:t xml:space="preserve"> </w:t>
      </w:r>
      <w:r>
        <w:rPr>
          <w:rFonts w:ascii="黑体" w:hAnsi="黑体" w:eastAsia="黑体" w:cs="黑体"/>
          <w:b/>
          <w:bCs/>
          <w:spacing w:val="17"/>
          <w:sz w:val="28"/>
          <w:szCs w:val="28"/>
        </w:rPr>
        <w:t>、保密要求</w:t>
      </w:r>
    </w:p>
    <w:p w14:paraId="2097B9F6">
      <w:pPr>
        <w:spacing w:line="446" w:lineRule="auto"/>
        <w:rPr>
          <w:rFonts w:ascii="Arial"/>
          <w:sz w:val="21"/>
        </w:rPr>
      </w:pPr>
    </w:p>
    <w:p w14:paraId="46884B9B">
      <w:pPr>
        <w:pStyle w:val="2"/>
        <w:spacing w:before="92" w:line="412" w:lineRule="auto"/>
        <w:ind w:left="134" w:right="24" w:firstLine="530"/>
      </w:pPr>
      <w:r>
        <w:rPr>
          <w:spacing w:val="6"/>
        </w:rPr>
        <w:t>1</w:t>
      </w:r>
      <w:r>
        <w:rPr>
          <w:rFonts w:hint="eastAsia"/>
          <w:spacing w:val="6"/>
          <w:lang w:eastAsia="zh-CN"/>
        </w:rPr>
        <w:t>、</w:t>
      </w:r>
      <w:r>
        <w:rPr>
          <w:spacing w:val="6"/>
        </w:rPr>
        <w:t xml:space="preserve"> 保密内容(包括技术信息和经营信息)</w:t>
      </w:r>
      <w:r>
        <w:rPr>
          <w:rFonts w:hint="eastAsia"/>
          <w:spacing w:val="6"/>
          <w:lang w:eastAsia="zh-CN"/>
        </w:rPr>
        <w:t>：</w:t>
      </w:r>
      <w:r>
        <w:rPr>
          <w:spacing w:val="6"/>
        </w:rPr>
        <w:t>包括但不限于甲方提</w:t>
      </w:r>
      <w:r>
        <w:rPr>
          <w:spacing w:val="10"/>
        </w:rPr>
        <w:t xml:space="preserve"> </w:t>
      </w:r>
      <w:r>
        <w:rPr>
          <w:spacing w:val="-3"/>
        </w:rPr>
        <w:t>供的技术信息、数据及本项目交付甲方的研究成</w:t>
      </w:r>
      <w:r>
        <w:rPr>
          <w:spacing w:val="-4"/>
        </w:rPr>
        <w:t>果等；</w:t>
      </w:r>
    </w:p>
    <w:p w14:paraId="4AA4A4BC">
      <w:pPr>
        <w:pStyle w:val="2"/>
        <w:spacing w:before="1" w:line="218" w:lineRule="auto"/>
        <w:ind w:left="664"/>
      </w:pPr>
      <w:r>
        <w:rPr>
          <w:spacing w:val="-3"/>
        </w:rPr>
        <w:t>2</w:t>
      </w:r>
      <w:r>
        <w:rPr>
          <w:rFonts w:hint="eastAsia"/>
          <w:spacing w:val="-3"/>
          <w:lang w:eastAsia="zh-CN"/>
        </w:rPr>
        <w:t>、</w:t>
      </w:r>
      <w:r>
        <w:rPr>
          <w:spacing w:val="-3"/>
        </w:rPr>
        <w:t>涉密人员范围：本项目所有相关人员；</w:t>
      </w:r>
    </w:p>
    <w:p w14:paraId="11311D4D">
      <w:pPr>
        <w:spacing w:line="336" w:lineRule="auto"/>
        <w:rPr>
          <w:rFonts w:ascii="Arial"/>
          <w:sz w:val="21"/>
        </w:rPr>
      </w:pPr>
    </w:p>
    <w:p w14:paraId="492442F3">
      <w:pPr>
        <w:pStyle w:val="2"/>
        <w:spacing w:before="91" w:line="411" w:lineRule="auto"/>
        <w:ind w:left="134" w:firstLine="530"/>
      </w:pPr>
      <w:r>
        <w:rPr>
          <w:spacing w:val="2"/>
        </w:rPr>
        <w:t>3</w:t>
      </w:r>
      <w:r>
        <w:rPr>
          <w:rFonts w:hint="eastAsia"/>
          <w:spacing w:val="2"/>
          <w:lang w:eastAsia="zh-CN"/>
        </w:rPr>
        <w:t>、</w:t>
      </w:r>
      <w:r>
        <w:rPr>
          <w:spacing w:val="2"/>
        </w:rPr>
        <w:t>本项目在</w:t>
      </w:r>
      <w:r>
        <w:rPr>
          <w:rFonts w:hint="eastAsia"/>
          <w:spacing w:val="2"/>
          <w:lang w:val="en-US" w:eastAsia="zh-CN"/>
        </w:rPr>
        <w:t>视频专</w:t>
      </w:r>
      <w:r>
        <w:rPr>
          <w:spacing w:val="2"/>
        </w:rPr>
        <w:t>网运行，不涉及其他网络，须严格遵循</w:t>
      </w:r>
      <w:r>
        <w:rPr>
          <w:rFonts w:hint="eastAsia"/>
          <w:spacing w:val="2"/>
          <w:lang w:val="en-US" w:eastAsia="zh-CN"/>
        </w:rPr>
        <w:t>视频专网</w:t>
      </w:r>
      <w:r>
        <w:rPr>
          <w:spacing w:val="-5"/>
        </w:rPr>
        <w:t>信息安全相关保密管理规定。</w:t>
      </w:r>
    </w:p>
    <w:p w14:paraId="66F0EA7B">
      <w:pPr>
        <w:spacing w:before="278" w:line="222" w:lineRule="auto"/>
        <w:ind w:left="769"/>
        <w:outlineLvl w:val="2"/>
        <w:rPr>
          <w:rFonts w:ascii="黑体" w:hAnsi="黑体" w:eastAsia="黑体" w:cs="黑体"/>
          <w:sz w:val="28"/>
          <w:szCs w:val="28"/>
        </w:rPr>
      </w:pPr>
      <w:r>
        <w:rPr>
          <w:rFonts w:ascii="黑体" w:hAnsi="黑体" w:eastAsia="黑体" w:cs="黑体"/>
          <w:b/>
          <w:bCs/>
          <w:spacing w:val="20"/>
          <w:sz w:val="28"/>
          <w:szCs w:val="28"/>
        </w:rPr>
        <w:t>七</w:t>
      </w:r>
      <w:r>
        <w:rPr>
          <w:rFonts w:ascii="黑体" w:hAnsi="黑体" w:eastAsia="黑体" w:cs="黑体"/>
          <w:spacing w:val="20"/>
          <w:sz w:val="28"/>
          <w:szCs w:val="28"/>
        </w:rPr>
        <w:t xml:space="preserve"> </w:t>
      </w:r>
      <w:r>
        <w:rPr>
          <w:rFonts w:ascii="黑体" w:hAnsi="黑体" w:eastAsia="黑体" w:cs="黑体"/>
          <w:b/>
          <w:bCs/>
          <w:spacing w:val="20"/>
          <w:sz w:val="28"/>
          <w:szCs w:val="28"/>
        </w:rPr>
        <w:t>、维护要求</w:t>
      </w:r>
    </w:p>
    <w:p w14:paraId="0B36CA2C">
      <w:pPr>
        <w:spacing w:line="434" w:lineRule="auto"/>
        <w:rPr>
          <w:rFonts w:ascii="Arial"/>
          <w:sz w:val="21"/>
        </w:rPr>
      </w:pPr>
    </w:p>
    <w:p w14:paraId="2AA5BF87">
      <w:pPr>
        <w:pStyle w:val="2"/>
        <w:spacing w:before="92" w:line="416" w:lineRule="auto"/>
        <w:ind w:left="134" w:right="10" w:firstLine="530"/>
        <w:jc w:val="both"/>
      </w:pPr>
      <w:r>
        <w:rPr>
          <w:spacing w:val="-4"/>
        </w:rPr>
        <w:t>为确保本系统正常运行，满足采购方业务需</w:t>
      </w:r>
      <w:r>
        <w:rPr>
          <w:spacing w:val="-5"/>
        </w:rPr>
        <w:t>求，需自验收合格之</w:t>
      </w:r>
      <w:r>
        <w:t xml:space="preserve"> </w:t>
      </w:r>
      <w:r>
        <w:rPr>
          <w:spacing w:val="5"/>
        </w:rPr>
        <w:t>日起提供</w:t>
      </w:r>
      <w:r>
        <w:rPr>
          <w:rFonts w:hint="eastAsia"/>
          <w:spacing w:val="5"/>
          <w:lang w:val="en-US" w:eastAsia="zh-CN"/>
        </w:rPr>
        <w:t>一</w:t>
      </w:r>
      <w:r>
        <w:rPr>
          <w:spacing w:val="5"/>
        </w:rPr>
        <w:t>年质保服务，7*24小时响应，按采购方业务需求添加重</w:t>
      </w:r>
      <w:r>
        <w:rPr>
          <w:spacing w:val="6"/>
        </w:rPr>
        <w:t xml:space="preserve"> </w:t>
      </w:r>
      <w:r>
        <w:rPr>
          <w:spacing w:val="1"/>
        </w:rPr>
        <w:t>点关注对象。其中1、日常维护：包括但不限于数据备</w:t>
      </w:r>
      <w:r>
        <w:t xml:space="preserve">份、功能日常 </w:t>
      </w:r>
      <w:r>
        <w:rPr>
          <w:spacing w:val="1"/>
        </w:rPr>
        <w:t>巡查监控等，确保系统软件、硬件的正常运行。2、故障修复：对系</w:t>
      </w:r>
      <w:r>
        <w:rPr>
          <w:spacing w:val="5"/>
        </w:rPr>
        <w:t xml:space="preserve"> </w:t>
      </w:r>
      <w:r>
        <w:rPr>
          <w:spacing w:val="-4"/>
        </w:rPr>
        <w:t>统出现的所有故障进行及时响应和处理，包括但不限于系统崩溃、运</w:t>
      </w:r>
    </w:p>
    <w:p w14:paraId="0A2050E0">
      <w:pPr>
        <w:spacing w:line="416" w:lineRule="auto"/>
        <w:sectPr>
          <w:footerReference r:id="rId6" w:type="default"/>
          <w:pgSz w:w="11900" w:h="16840"/>
          <w:pgMar w:top="1431" w:right="1673" w:bottom="1056" w:left="1785" w:header="0" w:footer="929" w:gutter="0"/>
          <w:cols w:space="720" w:num="1"/>
        </w:sectPr>
      </w:pPr>
    </w:p>
    <w:p w14:paraId="5727E9DC">
      <w:pPr>
        <w:pStyle w:val="2"/>
        <w:spacing w:before="251" w:line="417" w:lineRule="auto"/>
        <w:ind w:right="20"/>
      </w:pPr>
      <w:r>
        <w:rPr>
          <w:spacing w:val="-3"/>
        </w:rPr>
        <w:t>行缓慢、功能异常等问题，确保系统稳定运行。出现问题</w:t>
      </w:r>
      <w:r>
        <w:rPr>
          <w:spacing w:val="5"/>
        </w:rPr>
        <w:t>需1小时内抵达现场解决问题故障。</w:t>
      </w:r>
    </w:p>
    <w:p w14:paraId="29E48ADE">
      <w:pPr>
        <w:spacing w:before="230" w:line="222" w:lineRule="auto"/>
        <w:ind w:left="623"/>
        <w:outlineLvl w:val="2"/>
        <w:rPr>
          <w:rFonts w:ascii="黑体" w:hAnsi="黑体" w:eastAsia="黑体" w:cs="黑体"/>
          <w:sz w:val="28"/>
          <w:szCs w:val="28"/>
        </w:rPr>
      </w:pPr>
      <w:r>
        <w:rPr>
          <w:rFonts w:ascii="黑体" w:hAnsi="黑体" w:eastAsia="黑体" w:cs="黑体"/>
          <w:b/>
          <w:bCs/>
          <w:spacing w:val="24"/>
          <w:sz w:val="28"/>
          <w:szCs w:val="28"/>
        </w:rPr>
        <w:t>八</w:t>
      </w:r>
      <w:r>
        <w:rPr>
          <w:rFonts w:ascii="黑体" w:hAnsi="黑体" w:eastAsia="黑体" w:cs="黑体"/>
          <w:spacing w:val="-9"/>
          <w:sz w:val="28"/>
          <w:szCs w:val="28"/>
        </w:rPr>
        <w:t xml:space="preserve"> </w:t>
      </w:r>
      <w:r>
        <w:rPr>
          <w:rFonts w:ascii="黑体" w:hAnsi="黑体" w:eastAsia="黑体" w:cs="黑体"/>
          <w:b/>
          <w:bCs/>
          <w:spacing w:val="24"/>
          <w:sz w:val="28"/>
          <w:szCs w:val="28"/>
        </w:rPr>
        <w:t>、知识产权要求</w:t>
      </w:r>
    </w:p>
    <w:p w14:paraId="70B41D8B">
      <w:pPr>
        <w:spacing w:line="450" w:lineRule="auto"/>
        <w:rPr>
          <w:rFonts w:ascii="Arial"/>
          <w:sz w:val="21"/>
        </w:rPr>
      </w:pPr>
    </w:p>
    <w:p w14:paraId="7BAA0D35">
      <w:pPr>
        <w:pStyle w:val="2"/>
        <w:spacing w:before="91" w:line="433" w:lineRule="auto"/>
        <w:ind w:right="19" w:firstLine="699"/>
        <w:jc w:val="both"/>
        <w:rPr>
          <w:sz w:val="22"/>
          <w:szCs w:val="22"/>
        </w:rPr>
      </w:pPr>
      <w:r>
        <w:rPr>
          <w:spacing w:val="7"/>
        </w:rPr>
        <w:t>(1)承建单位应当保证其交付的研究开发成果</w:t>
      </w:r>
      <w:r>
        <w:rPr>
          <w:spacing w:val="6"/>
        </w:rPr>
        <w:t>不侵犯任何第三</w:t>
      </w:r>
      <w:r>
        <w:t xml:space="preserve"> </w:t>
      </w:r>
      <w:r>
        <w:rPr>
          <w:spacing w:val="-3"/>
        </w:rPr>
        <w:t>人的合法权益。如发生第三方指控技术侵权，承建单位应当承担全部</w:t>
      </w:r>
      <w:r>
        <w:rPr>
          <w:spacing w:val="4"/>
        </w:rPr>
        <w:t xml:space="preserve"> </w:t>
      </w:r>
      <w:r>
        <w:rPr>
          <w:spacing w:val="-8"/>
          <w:sz w:val="22"/>
          <w:szCs w:val="22"/>
        </w:rPr>
        <w:t>责</w:t>
      </w:r>
      <w:r>
        <w:rPr>
          <w:spacing w:val="-34"/>
          <w:sz w:val="22"/>
          <w:szCs w:val="22"/>
        </w:rPr>
        <w:t xml:space="preserve"> </w:t>
      </w:r>
      <w:r>
        <w:rPr>
          <w:spacing w:val="-8"/>
          <w:sz w:val="22"/>
          <w:szCs w:val="22"/>
        </w:rPr>
        <w:t>任</w:t>
      </w:r>
      <w:r>
        <w:rPr>
          <w:spacing w:val="-41"/>
          <w:sz w:val="22"/>
          <w:szCs w:val="22"/>
        </w:rPr>
        <w:t xml:space="preserve"> </w:t>
      </w:r>
      <w:r>
        <w:rPr>
          <w:spacing w:val="-8"/>
          <w:sz w:val="22"/>
          <w:szCs w:val="22"/>
        </w:rPr>
        <w:t>。</w:t>
      </w:r>
    </w:p>
    <w:p w14:paraId="258833F7">
      <w:pPr>
        <w:pStyle w:val="2"/>
        <w:spacing w:before="52" w:line="418" w:lineRule="auto"/>
        <w:ind w:right="21" w:firstLine="699"/>
      </w:pPr>
      <w:r>
        <w:rPr>
          <w:spacing w:val="7"/>
        </w:rPr>
        <w:t>(2)本项目所产生的包括系统源代码在内的所有知识</w:t>
      </w:r>
      <w:r>
        <w:rPr>
          <w:spacing w:val="6"/>
        </w:rPr>
        <w:t>产权归长</w:t>
      </w:r>
      <w:r>
        <w:t xml:space="preserve"> </w:t>
      </w:r>
      <w:r>
        <w:rPr>
          <w:spacing w:val="-4"/>
        </w:rPr>
        <w:t>沙市公安局交通警察支队所有。</w:t>
      </w:r>
    </w:p>
    <w:p w14:paraId="5FF3E52B">
      <w:pPr>
        <w:spacing w:before="257" w:line="222" w:lineRule="auto"/>
        <w:ind w:left="623"/>
        <w:outlineLvl w:val="2"/>
        <w:rPr>
          <w:rFonts w:ascii="黑体" w:hAnsi="黑体" w:eastAsia="黑体" w:cs="黑体"/>
          <w:sz w:val="28"/>
          <w:szCs w:val="28"/>
        </w:rPr>
      </w:pPr>
      <w:r>
        <w:rPr>
          <w:rFonts w:ascii="黑体" w:hAnsi="黑体" w:eastAsia="黑体" w:cs="黑体"/>
          <w:b/>
          <w:bCs/>
          <w:spacing w:val="14"/>
          <w:sz w:val="28"/>
          <w:szCs w:val="28"/>
        </w:rPr>
        <w:t>九</w:t>
      </w:r>
      <w:r>
        <w:rPr>
          <w:rFonts w:ascii="黑体" w:hAnsi="黑体" w:eastAsia="黑体" w:cs="黑体"/>
          <w:spacing w:val="14"/>
          <w:sz w:val="28"/>
          <w:szCs w:val="28"/>
        </w:rPr>
        <w:t xml:space="preserve"> </w:t>
      </w:r>
      <w:r>
        <w:rPr>
          <w:rFonts w:ascii="黑体" w:hAnsi="黑体" w:eastAsia="黑体" w:cs="黑体"/>
          <w:b/>
          <w:bCs/>
          <w:spacing w:val="14"/>
          <w:sz w:val="28"/>
          <w:szCs w:val="28"/>
        </w:rPr>
        <w:t>、款项支付</w:t>
      </w:r>
    </w:p>
    <w:p w14:paraId="62012C2F">
      <w:pPr>
        <w:spacing w:line="444" w:lineRule="auto"/>
        <w:rPr>
          <w:rFonts w:ascii="Arial"/>
          <w:sz w:val="21"/>
        </w:rPr>
      </w:pPr>
    </w:p>
    <w:p w14:paraId="7559E48D">
      <w:pPr>
        <w:pStyle w:val="2"/>
        <w:spacing w:before="91" w:line="417" w:lineRule="auto"/>
        <w:ind w:right="24" w:firstLine="560"/>
        <w:jc w:val="both"/>
      </w:pPr>
      <w:r>
        <w:rPr>
          <w:spacing w:val="-3"/>
        </w:rPr>
        <w:t>本项目采用结算审计方式，在开发完成，经采购</w:t>
      </w:r>
      <w:r>
        <w:rPr>
          <w:spacing w:val="-4"/>
        </w:rPr>
        <w:t>方验收合格，付</w:t>
      </w:r>
      <w:r>
        <w:t xml:space="preserve"> </w:t>
      </w:r>
      <w:r>
        <w:rPr>
          <w:spacing w:val="10"/>
        </w:rPr>
        <w:t>审计结算金额的90%,质保期结束后一次性无</w:t>
      </w:r>
      <w:r>
        <w:rPr>
          <w:spacing w:val="9"/>
        </w:rPr>
        <w:t>息支付剩余款项(审计</w:t>
      </w:r>
      <w:r>
        <w:t xml:space="preserve"> </w:t>
      </w:r>
      <w:r>
        <w:rPr>
          <w:spacing w:val="16"/>
        </w:rPr>
        <w:t>结算金额的10%)。</w:t>
      </w:r>
    </w:p>
    <w:sectPr>
      <w:footerReference r:id="rId7" w:type="default"/>
      <w:pgSz w:w="11900" w:h="16840"/>
      <w:pgMar w:top="1431" w:right="1785" w:bottom="1022" w:left="1780" w:header="0" w:footer="88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FE053C">
    <w:pPr>
      <w:spacing w:line="173" w:lineRule="auto"/>
      <w:ind w:left="4259"/>
      <w:rPr>
        <w:rFonts w:ascii="Times New Roman" w:hAnsi="Times New Roman" w:eastAsia="Times New Roman" w:cs="Times New Roman"/>
        <w:sz w:val="14"/>
        <w:szCs w:val="14"/>
      </w:rPr>
    </w:pPr>
    <w:r>
      <w:rPr>
        <w:rFonts w:ascii="Times New Roman" w:hAnsi="Times New Roman" w:eastAsia="Times New Roman" w:cs="Times New Roman"/>
        <w:sz w:val="14"/>
        <w:szCs w:val="14"/>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5F2A8">
    <w:pPr>
      <w:spacing w:line="173" w:lineRule="auto"/>
      <w:ind w:left="4385"/>
      <w:rPr>
        <w:rFonts w:ascii="Times New Roman" w:hAnsi="Times New Roman" w:eastAsia="Times New Roman" w:cs="Times New Roman"/>
        <w:sz w:val="14"/>
        <w:szCs w:val="14"/>
      </w:rPr>
    </w:pPr>
    <w:r>
      <w:rPr>
        <w:rFonts w:ascii="Times New Roman" w:hAnsi="Times New Roman" w:eastAsia="Times New Roman" w:cs="Times New Roman"/>
        <w:spacing w:val="-5"/>
        <w:sz w:val="14"/>
        <w:szCs w:val="14"/>
      </w:rPr>
      <w:t>11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6929AB">
    <w:pPr>
      <w:spacing w:line="174" w:lineRule="auto"/>
      <w:ind w:left="4229"/>
      <w:rPr>
        <w:rFonts w:ascii="Times New Roman" w:hAnsi="Times New Roman" w:eastAsia="Times New Roman" w:cs="Times New Roman"/>
        <w:sz w:val="15"/>
        <w:szCs w:val="15"/>
      </w:rPr>
    </w:pPr>
    <w:r>
      <w:rPr>
        <w:rFonts w:ascii="Times New Roman" w:hAnsi="Times New Roman" w:eastAsia="Times New Roman" w:cs="Times New Roman"/>
        <w:spacing w:val="-5"/>
        <w:sz w:val="15"/>
        <w:szCs w:val="15"/>
      </w:rPr>
      <w:t>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DB3AE8"/>
    <w:multiLevelType w:val="singleLevel"/>
    <w:tmpl w:val="A1DB3AE8"/>
    <w:lvl w:ilvl="0" w:tentative="0">
      <w:start w:val="1"/>
      <w:numFmt w:val="decimal"/>
      <w:suff w:val="nothing"/>
      <w:lvlText w:val="（%1）"/>
      <w:lvlJc w:val="left"/>
    </w:lvl>
  </w:abstractNum>
  <w:abstractNum w:abstractNumId="1">
    <w:nsid w:val="23CD1CCC"/>
    <w:multiLevelType w:val="singleLevel"/>
    <w:tmpl w:val="23CD1CCC"/>
    <w:lvl w:ilvl="0" w:tentative="0">
      <w:start w:val="1"/>
      <w:numFmt w:val="decimal"/>
      <w:suff w:val="nothing"/>
      <w:lvlText w:val="（%1）"/>
      <w:lvlJc w:val="left"/>
    </w:lvl>
  </w:abstractNum>
  <w:abstractNum w:abstractNumId="2">
    <w:nsid w:val="6E28C5B2"/>
    <w:multiLevelType w:val="singleLevel"/>
    <w:tmpl w:val="6E28C5B2"/>
    <w:lvl w:ilvl="0" w:tentative="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2C31E14"/>
    <w:rsid w:val="04923710"/>
    <w:rsid w:val="0B5B4B22"/>
    <w:rsid w:val="1B6F0558"/>
    <w:rsid w:val="7DFD4C5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8"/>
      <w:szCs w:val="28"/>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11</Pages>
  <Words>2242</Words>
  <Characters>2301</Characters>
  <TotalTime>1</TotalTime>
  <ScaleCrop>false</ScaleCrop>
  <LinksUpToDate>false</LinksUpToDate>
  <CharactersWithSpaces>2317</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2025-03-28T16:36:00Z</dcterms:created>
  <dc:creator>86187</dc:creator>
  <cp:lastModifiedBy>拾贰</cp:lastModifiedBy>
  <dcterms:modified xsi:type="dcterms:W3CDTF">2025-04-01T08:19:53Z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wqlLaW5nc29mdCBQREYgdG8gV1BTIDExMEI</vt:lpwstr>
  </property>
  <property fmtid="{D5CDD505-2E9C-101B-9397-08002B2CF9AE}" pid="3" name="Created">
    <vt:filetime>2025-03-28T16:37:00Z</vt:filetime>
  </property>
  <property fmtid="{D5CDD505-2E9C-101B-9397-08002B2CF9AE}" pid="4" name="UsrData">
    <vt:lpwstr>67e65fa71ddca0001f1c70cdwl</vt:lpwstr>
  </property>
  <property fmtid="{D5CDD505-2E9C-101B-9397-08002B2CF9AE}" pid="5" name="KSOTemplateDocerSaveRecord">
    <vt:lpwstr>eyJoZGlkIjoiOTY1OWIwYzA5ODEyNzYxMTk0ZjM0ZWQ1ZTQzMGU2NzYiLCJ1c2VySWQiOiI0NDI4NzYzNTUifQ==</vt:lpwstr>
  </property>
  <property fmtid="{D5CDD505-2E9C-101B-9397-08002B2CF9AE}" pid="6" name="KSOProductBuildVer">
    <vt:lpwstr>2052-12.1.0.20784</vt:lpwstr>
  </property>
  <property fmtid="{D5CDD505-2E9C-101B-9397-08002B2CF9AE}" pid="7" name="ICV">
    <vt:lpwstr>1F1E3C77AF0D4E64B8F6772B2C31E31A_13</vt:lpwstr>
  </property>
</Properties>
</file>