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87566C">
      <w:pPr>
        <w:widowControl/>
        <w:spacing w:line="360" w:lineRule="auto"/>
        <w:ind w:firstLine="720" w:firstLineChars="200"/>
        <w:jc w:val="center"/>
        <w:rPr>
          <w:rFonts w:ascii="宋体" w:hAnsi="宋体" w:eastAsia="宋体" w:cs="宋体"/>
          <w:b/>
          <w:bCs/>
          <w:sz w:val="24"/>
          <w:szCs w:val="24"/>
        </w:rPr>
      </w:pPr>
      <w:r>
        <w:rPr>
          <w:rFonts w:hint="eastAsia" w:hAnsi="黑体"/>
          <w:b/>
          <w:sz w:val="36"/>
          <w:szCs w:val="36"/>
        </w:rPr>
        <w:t>实验室设备清单及详细技术参数</w:t>
      </w:r>
    </w:p>
    <w:tbl>
      <w:tblPr>
        <w:tblStyle w:val="6"/>
        <w:tblW w:w="4217" w:type="pct"/>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6"/>
        <w:gridCol w:w="1413"/>
        <w:gridCol w:w="4369"/>
        <w:gridCol w:w="566"/>
        <w:gridCol w:w="696"/>
        <w:gridCol w:w="923"/>
        <w:gridCol w:w="849"/>
        <w:gridCol w:w="1583"/>
      </w:tblGrid>
      <w:tr w14:paraId="66D1E7A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blHeader/>
          <w:jc w:val="center"/>
        </w:trPr>
        <w:tc>
          <w:tcPr>
            <w:tcW w:w="650" w:type="pct"/>
            <w:shd w:val="clear" w:color="auto" w:fill="F1F1F1" w:themeFill="background1" w:themeFillShade="F2"/>
            <w:noWrap/>
            <w:vAlign w:val="center"/>
          </w:tcPr>
          <w:p w14:paraId="7A0B13BF">
            <w:pPr>
              <w:widowControl/>
              <w:jc w:val="center"/>
              <w:textAlignment w:val="center"/>
              <w:rPr>
                <w:rFonts w:ascii="宋体" w:hAnsi="宋体" w:eastAsia="宋体" w:cs="宋体"/>
                <w:b/>
                <w:bCs/>
                <w:sz w:val="24"/>
                <w:szCs w:val="24"/>
              </w:rPr>
            </w:pPr>
            <w:r>
              <w:rPr>
                <w:rFonts w:hint="eastAsia" w:ascii="宋体" w:hAnsi="宋体" w:eastAsia="宋体" w:cs="宋体"/>
                <w:b/>
                <w:bCs/>
                <w:kern w:val="0"/>
                <w:sz w:val="24"/>
                <w:szCs w:val="24"/>
                <w:lang w:bidi="ar"/>
              </w:rPr>
              <w:t>货物名称</w:t>
            </w:r>
          </w:p>
        </w:tc>
        <w:tc>
          <w:tcPr>
            <w:tcW w:w="590" w:type="pct"/>
            <w:shd w:val="clear" w:color="auto" w:fill="F1F1F1" w:themeFill="background1" w:themeFillShade="F2"/>
            <w:noWrap/>
            <w:vAlign w:val="center"/>
          </w:tcPr>
          <w:p w14:paraId="16016E2A">
            <w:pPr>
              <w:widowControl/>
              <w:jc w:val="center"/>
              <w:textAlignment w:val="center"/>
              <w:rPr>
                <w:rFonts w:ascii="宋体" w:hAnsi="宋体" w:eastAsia="宋体" w:cs="宋体"/>
                <w:b/>
                <w:bCs/>
                <w:sz w:val="24"/>
                <w:szCs w:val="24"/>
              </w:rPr>
            </w:pPr>
            <w:r>
              <w:rPr>
                <w:rFonts w:hint="eastAsia" w:ascii="宋体" w:hAnsi="宋体" w:eastAsia="宋体" w:cs="宋体"/>
                <w:b/>
                <w:bCs/>
                <w:sz w:val="24"/>
                <w:szCs w:val="24"/>
              </w:rPr>
              <w:t>规格/产地</w:t>
            </w:r>
          </w:p>
        </w:tc>
        <w:tc>
          <w:tcPr>
            <w:tcW w:w="1827" w:type="pct"/>
            <w:shd w:val="clear" w:color="auto" w:fill="F1F1F1" w:themeFill="background1" w:themeFillShade="F2"/>
            <w:noWrap/>
            <w:vAlign w:val="center"/>
          </w:tcPr>
          <w:p w14:paraId="2D65BBF3">
            <w:pPr>
              <w:widowControl/>
              <w:jc w:val="center"/>
              <w:textAlignment w:val="center"/>
              <w:rPr>
                <w:rFonts w:ascii="宋体" w:hAnsi="宋体" w:eastAsia="宋体" w:cs="宋体"/>
                <w:b/>
                <w:bCs/>
                <w:sz w:val="24"/>
                <w:szCs w:val="24"/>
              </w:rPr>
            </w:pPr>
            <w:r>
              <w:rPr>
                <w:rFonts w:hint="eastAsia" w:ascii="宋体" w:hAnsi="宋体" w:eastAsia="宋体" w:cs="宋体"/>
                <w:b/>
                <w:bCs/>
                <w:kern w:val="0"/>
                <w:sz w:val="24"/>
                <w:szCs w:val="24"/>
                <w:lang w:bidi="ar"/>
              </w:rPr>
              <w:t>参数</w:t>
            </w:r>
          </w:p>
        </w:tc>
        <w:tc>
          <w:tcPr>
            <w:tcW w:w="236" w:type="pct"/>
            <w:shd w:val="clear" w:color="auto" w:fill="F1F1F1" w:themeFill="background1" w:themeFillShade="F2"/>
            <w:noWrap/>
            <w:vAlign w:val="center"/>
          </w:tcPr>
          <w:p w14:paraId="32E81C57">
            <w:pPr>
              <w:widowControl/>
              <w:jc w:val="center"/>
              <w:textAlignment w:val="center"/>
              <w:rPr>
                <w:rFonts w:ascii="宋体" w:hAnsi="宋体" w:eastAsia="宋体" w:cs="宋体"/>
                <w:b/>
                <w:bCs/>
                <w:sz w:val="24"/>
                <w:szCs w:val="24"/>
              </w:rPr>
            </w:pPr>
            <w:r>
              <w:rPr>
                <w:rFonts w:hint="eastAsia" w:ascii="宋体" w:hAnsi="宋体" w:eastAsia="宋体" w:cs="宋体"/>
                <w:b/>
                <w:bCs/>
                <w:kern w:val="0"/>
                <w:sz w:val="24"/>
                <w:szCs w:val="24"/>
                <w:lang w:bidi="ar"/>
              </w:rPr>
              <w:t>数量</w:t>
            </w:r>
          </w:p>
        </w:tc>
        <w:tc>
          <w:tcPr>
            <w:tcW w:w="291" w:type="pct"/>
            <w:shd w:val="clear" w:color="auto" w:fill="F1F1F1" w:themeFill="background1" w:themeFillShade="F2"/>
            <w:noWrap/>
            <w:vAlign w:val="center"/>
          </w:tcPr>
          <w:p w14:paraId="0D93FEE4">
            <w:pPr>
              <w:widowControl/>
              <w:jc w:val="center"/>
              <w:textAlignment w:val="center"/>
              <w:rPr>
                <w:rFonts w:ascii="宋体" w:hAnsi="宋体" w:eastAsia="宋体" w:cs="宋体"/>
                <w:b/>
                <w:bCs/>
                <w:sz w:val="24"/>
                <w:szCs w:val="24"/>
              </w:rPr>
            </w:pPr>
            <w:r>
              <w:rPr>
                <w:rFonts w:hint="eastAsia" w:ascii="宋体" w:hAnsi="宋体" w:eastAsia="宋体" w:cs="宋体"/>
                <w:b/>
                <w:bCs/>
                <w:kern w:val="0"/>
                <w:sz w:val="24"/>
                <w:szCs w:val="24"/>
                <w:lang w:bidi="ar"/>
              </w:rPr>
              <w:t>单位</w:t>
            </w:r>
          </w:p>
        </w:tc>
        <w:tc>
          <w:tcPr>
            <w:tcW w:w="385" w:type="pct"/>
            <w:shd w:val="clear" w:color="auto" w:fill="F1F1F1" w:themeFill="background1" w:themeFillShade="F2"/>
            <w:noWrap/>
            <w:vAlign w:val="center"/>
          </w:tcPr>
          <w:p w14:paraId="01A616AC">
            <w:pPr>
              <w:widowControl/>
              <w:jc w:val="center"/>
              <w:textAlignment w:val="center"/>
              <w:rPr>
                <w:rFonts w:ascii="宋体" w:hAnsi="宋体" w:eastAsia="宋体" w:cs="宋体"/>
                <w:b/>
                <w:bCs/>
                <w:sz w:val="24"/>
                <w:szCs w:val="24"/>
              </w:rPr>
            </w:pPr>
            <w:r>
              <w:rPr>
                <w:rFonts w:hint="eastAsia" w:ascii="宋体" w:hAnsi="宋体" w:eastAsia="宋体" w:cs="宋体"/>
                <w:b/>
                <w:bCs/>
                <w:kern w:val="0"/>
                <w:sz w:val="24"/>
                <w:szCs w:val="24"/>
                <w:lang w:bidi="ar"/>
              </w:rPr>
              <w:t>单价</w:t>
            </w:r>
          </w:p>
        </w:tc>
        <w:tc>
          <w:tcPr>
            <w:tcW w:w="355" w:type="pct"/>
            <w:shd w:val="clear" w:color="auto" w:fill="F1F1F1" w:themeFill="background1" w:themeFillShade="F2"/>
            <w:noWrap/>
            <w:vAlign w:val="center"/>
          </w:tcPr>
          <w:p w14:paraId="5BC06D8B">
            <w:pPr>
              <w:widowControl/>
              <w:jc w:val="center"/>
              <w:textAlignment w:val="center"/>
              <w:rPr>
                <w:rFonts w:ascii="宋体" w:hAnsi="宋体" w:eastAsia="宋体" w:cs="宋体"/>
                <w:b/>
                <w:bCs/>
                <w:sz w:val="24"/>
                <w:szCs w:val="24"/>
              </w:rPr>
            </w:pPr>
            <w:r>
              <w:rPr>
                <w:rFonts w:hint="eastAsia" w:ascii="宋体" w:hAnsi="宋体" w:eastAsia="宋体" w:cs="宋体"/>
                <w:b/>
                <w:bCs/>
                <w:kern w:val="0"/>
                <w:sz w:val="24"/>
                <w:szCs w:val="24"/>
                <w:lang w:bidi="ar"/>
              </w:rPr>
              <w:t>总价</w:t>
            </w:r>
          </w:p>
        </w:tc>
        <w:tc>
          <w:tcPr>
            <w:tcW w:w="662" w:type="pct"/>
            <w:shd w:val="clear" w:color="auto" w:fill="F1F1F1" w:themeFill="background1" w:themeFillShade="F2"/>
          </w:tcPr>
          <w:p w14:paraId="32C24F97">
            <w:pPr>
              <w:widowControl/>
              <w:jc w:val="center"/>
              <w:textAlignment w:val="center"/>
              <w:rPr>
                <w:rFonts w:ascii="宋体" w:hAnsi="宋体" w:eastAsia="宋体" w:cs="宋体"/>
                <w:b/>
                <w:bCs/>
                <w:kern w:val="0"/>
                <w:sz w:val="24"/>
                <w:szCs w:val="24"/>
                <w:lang w:bidi="ar"/>
              </w:rPr>
            </w:pPr>
            <w:r>
              <w:rPr>
                <w:rFonts w:hint="eastAsia" w:ascii="宋体" w:hAnsi="宋体" w:eastAsia="宋体" w:cs="宋体"/>
                <w:b/>
                <w:bCs/>
                <w:kern w:val="0"/>
                <w:sz w:val="24"/>
                <w:szCs w:val="24"/>
                <w:lang w:bidi="ar"/>
              </w:rPr>
              <w:t>备注</w:t>
            </w:r>
          </w:p>
        </w:tc>
      </w:tr>
      <w:tr w14:paraId="7B5CE90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865" w:hRule="atLeast"/>
          <w:jc w:val="center"/>
        </w:trPr>
        <w:tc>
          <w:tcPr>
            <w:tcW w:w="650" w:type="pct"/>
            <w:shd w:val="clear" w:color="auto" w:fill="auto"/>
            <w:vAlign w:val="center"/>
          </w:tcPr>
          <w:p w14:paraId="1DB20370">
            <w:pPr>
              <w:widowControl/>
              <w:jc w:val="center"/>
              <w:textAlignment w:val="center"/>
              <w:rPr>
                <w:rFonts w:ascii="宋体" w:hAnsi="宋体" w:eastAsia="宋体" w:cs="宋体"/>
                <w:szCs w:val="21"/>
              </w:rPr>
            </w:pPr>
            <w:r>
              <w:rPr>
                <w:rFonts w:hint="eastAsia" w:ascii="宋体" w:hAnsi="宋体" w:eastAsia="宋体" w:cs="宋体"/>
                <w:szCs w:val="21"/>
              </w:rPr>
              <w:t>固相萃取仪</w:t>
            </w:r>
          </w:p>
        </w:tc>
        <w:tc>
          <w:tcPr>
            <w:tcW w:w="590" w:type="pct"/>
            <w:shd w:val="clear" w:color="auto" w:fill="auto"/>
            <w:noWrap/>
            <w:vAlign w:val="center"/>
          </w:tcPr>
          <w:p w14:paraId="779BB7D6">
            <w:pPr>
              <w:rPr>
                <w:rFonts w:ascii="宋体" w:hAnsi="宋体" w:cs="宋体"/>
              </w:rPr>
            </w:pPr>
            <w:r>
              <w:rPr>
                <w:rFonts w:ascii="宋体" w:hAnsi="宋体" w:cs="宋体"/>
              </w:rPr>
              <w:t xml:space="preserve">ASE-12 </w:t>
            </w:r>
          </w:p>
          <w:p w14:paraId="513A9FE6">
            <w:pPr>
              <w:widowControl/>
              <w:jc w:val="center"/>
              <w:textAlignment w:val="center"/>
              <w:rPr>
                <w:rFonts w:ascii="宋体" w:hAnsi="宋体" w:eastAsia="宋体" w:cs="宋体"/>
                <w:szCs w:val="21"/>
              </w:rPr>
            </w:pPr>
            <w:r>
              <w:rPr>
                <w:rFonts w:hint="eastAsia" w:ascii="宋体" w:hAnsi="宋体" w:eastAsia="宋体" w:cs="宋体"/>
                <w:szCs w:val="21"/>
              </w:rPr>
              <w:t>天津奥特赛恩斯</w:t>
            </w:r>
          </w:p>
        </w:tc>
        <w:tc>
          <w:tcPr>
            <w:tcW w:w="1827" w:type="pct"/>
            <w:shd w:val="clear" w:color="auto" w:fill="auto"/>
            <w:vAlign w:val="center"/>
          </w:tcPr>
          <w:p w14:paraId="2FEED373">
            <w:pPr>
              <w:rPr>
                <w:rFonts w:ascii="宋体" w:hAnsi="宋体" w:cs="宋体"/>
              </w:rPr>
            </w:pPr>
            <w:r>
              <w:rPr>
                <w:rFonts w:ascii="宋体" w:hAnsi="宋体" w:cs="宋体"/>
              </w:rPr>
              <w:t xml:space="preserve">1.自带安全缓冲装置 </w:t>
            </w:r>
          </w:p>
          <w:p w14:paraId="7832A250">
            <w:pPr>
              <w:rPr>
                <w:rFonts w:ascii="宋体" w:hAnsi="宋体" w:cs="宋体"/>
              </w:rPr>
            </w:pPr>
            <w:r>
              <w:rPr>
                <w:rFonts w:ascii="宋体" w:hAnsi="宋体" w:cs="宋体"/>
              </w:rPr>
              <w:t xml:space="preserve">2.双泵头设计，双位“LED”压力显示; </w:t>
            </w:r>
          </w:p>
          <w:p w14:paraId="4989D877">
            <w:pPr>
              <w:rPr>
                <w:rFonts w:ascii="宋体" w:hAnsi="宋体" w:cs="宋体"/>
              </w:rPr>
            </w:pPr>
            <w:r>
              <w:rPr>
                <w:rFonts w:ascii="宋体" w:hAnsi="宋体" w:cs="宋体"/>
              </w:rPr>
              <w:t xml:space="preserve">3.带正压、负压两个接口； </w:t>
            </w:r>
          </w:p>
          <w:p w14:paraId="48421B61">
            <w:pPr>
              <w:rPr>
                <w:rFonts w:ascii="宋体" w:hAnsi="宋体" w:cs="宋体"/>
              </w:rPr>
            </w:pPr>
            <w:r>
              <w:rPr>
                <w:rFonts w:ascii="宋体" w:hAnsi="宋体" w:cs="宋体"/>
              </w:rPr>
              <w:t xml:space="preserve">4.防雾化真空槽，防交叉污染; 5. 处理模式：无相分离，可处理小体积试样; </w:t>
            </w:r>
          </w:p>
          <w:p w14:paraId="2B214363">
            <w:pPr>
              <w:rPr>
                <w:rFonts w:ascii="宋体" w:hAnsi="宋体" w:cs="宋体"/>
              </w:rPr>
            </w:pPr>
            <w:r>
              <w:rPr>
                <w:rFonts w:ascii="宋体" w:hAnsi="宋体" w:cs="宋体"/>
              </w:rPr>
              <w:t xml:space="preserve">6.处理容量：12通道可独立控制;可配大容量采集容器，可批量处理样品也可单个处理样品; </w:t>
            </w:r>
          </w:p>
          <w:p w14:paraId="3622FD10">
            <w:pPr>
              <w:rPr>
                <w:rFonts w:ascii="宋体" w:hAnsi="宋体" w:cs="宋体"/>
              </w:rPr>
            </w:pPr>
            <w:r>
              <w:rPr>
                <w:rFonts w:ascii="宋体" w:hAnsi="宋体" w:cs="宋体"/>
              </w:rPr>
              <w:t xml:space="preserve">7. 耐压指数：真空压力（Kpa） 0-80 可调； </w:t>
            </w:r>
          </w:p>
          <w:p w14:paraId="77532F51">
            <w:pPr>
              <w:rPr>
                <w:rFonts w:ascii="宋体" w:hAnsi="宋体" w:cs="宋体"/>
              </w:rPr>
            </w:pPr>
            <w:r>
              <w:rPr>
                <w:rFonts w:ascii="宋体" w:hAnsi="宋体" w:cs="宋体"/>
              </w:rPr>
              <w:t>8.压力（Kpa）： ＞150；</w:t>
            </w:r>
          </w:p>
          <w:p w14:paraId="4D4B34D4">
            <w:pPr>
              <w:rPr>
                <w:rFonts w:ascii="宋体" w:hAnsi="宋体" w:cs="宋体"/>
              </w:rPr>
            </w:pPr>
            <w:r>
              <w:rPr>
                <w:rFonts w:ascii="宋体" w:hAnsi="宋体" w:cs="宋体"/>
              </w:rPr>
              <w:t>9.流量（L/min）：</w:t>
            </w:r>
            <w:r>
              <w:rPr>
                <w:rFonts w:hint="eastAsia" w:ascii="宋体" w:hAnsi="宋体" w:cs="宋体"/>
                <w:lang w:val="en-US" w:eastAsia="zh-CN"/>
              </w:rPr>
              <w:t>10；</w:t>
            </w:r>
            <w:r>
              <w:rPr>
                <w:rFonts w:ascii="宋体" w:hAnsi="宋体" w:cs="宋体"/>
              </w:rPr>
              <w:t xml:space="preserve"> </w:t>
            </w:r>
          </w:p>
          <w:p w14:paraId="34906C44">
            <w:pPr>
              <w:widowControl/>
              <w:jc w:val="left"/>
              <w:textAlignment w:val="center"/>
              <w:rPr>
                <w:rFonts w:ascii="宋体" w:hAnsi="宋体" w:eastAsia="宋体" w:cs="宋体"/>
                <w:szCs w:val="21"/>
              </w:rPr>
            </w:pPr>
            <w:r>
              <w:rPr>
                <w:rFonts w:ascii="宋体" w:hAnsi="宋体" w:cs="宋体"/>
              </w:rPr>
              <w:t>10</w:t>
            </w:r>
            <w:r>
              <w:rPr>
                <w:rFonts w:hint="eastAsia" w:ascii="宋体" w:hAnsi="宋体" w:cs="宋体"/>
                <w:lang w:eastAsia="zh-CN"/>
              </w:rPr>
              <w:t>.</w:t>
            </w:r>
            <w:r>
              <w:rPr>
                <w:rFonts w:ascii="宋体" w:hAnsi="宋体" w:cs="宋体"/>
              </w:rPr>
              <w:t>功率（W）： 35</w:t>
            </w:r>
            <w:bookmarkStart w:id="15" w:name="_GoBack"/>
            <w:bookmarkEnd w:id="15"/>
          </w:p>
        </w:tc>
        <w:tc>
          <w:tcPr>
            <w:tcW w:w="236" w:type="pct"/>
            <w:shd w:val="clear" w:color="auto" w:fill="auto"/>
            <w:vAlign w:val="center"/>
          </w:tcPr>
          <w:p w14:paraId="23962DE5">
            <w:pPr>
              <w:widowControl/>
              <w:jc w:val="center"/>
              <w:textAlignment w:val="center"/>
              <w:rPr>
                <w:rFonts w:ascii="宋体" w:hAnsi="宋体" w:eastAsia="宋体" w:cs="宋体"/>
                <w:szCs w:val="21"/>
              </w:rPr>
            </w:pPr>
            <w:r>
              <w:rPr>
                <w:rFonts w:hint="eastAsia" w:ascii="宋体" w:hAnsi="宋体" w:eastAsia="宋体" w:cs="宋体"/>
                <w:kern w:val="0"/>
                <w:szCs w:val="21"/>
                <w:lang w:bidi="ar"/>
              </w:rPr>
              <w:t>2</w:t>
            </w:r>
          </w:p>
        </w:tc>
        <w:tc>
          <w:tcPr>
            <w:tcW w:w="291" w:type="pct"/>
            <w:shd w:val="clear" w:color="auto" w:fill="auto"/>
            <w:vAlign w:val="center"/>
          </w:tcPr>
          <w:p w14:paraId="536B5EB7">
            <w:pPr>
              <w:widowControl/>
              <w:jc w:val="center"/>
              <w:textAlignment w:val="center"/>
              <w:rPr>
                <w:rFonts w:ascii="宋体" w:hAnsi="宋体" w:eastAsia="宋体" w:cs="宋体"/>
                <w:szCs w:val="21"/>
              </w:rPr>
            </w:pPr>
            <w:r>
              <w:rPr>
                <w:rFonts w:hint="eastAsia" w:ascii="宋体" w:hAnsi="宋体" w:eastAsia="宋体" w:cs="宋体"/>
                <w:kern w:val="0"/>
                <w:szCs w:val="21"/>
                <w:lang w:bidi="ar"/>
              </w:rPr>
              <w:t>台</w:t>
            </w:r>
          </w:p>
        </w:tc>
        <w:tc>
          <w:tcPr>
            <w:tcW w:w="385" w:type="pct"/>
            <w:shd w:val="clear" w:color="auto" w:fill="auto"/>
            <w:vAlign w:val="center"/>
          </w:tcPr>
          <w:p w14:paraId="591D78FB">
            <w:pPr>
              <w:widowControl/>
              <w:jc w:val="center"/>
              <w:textAlignment w:val="center"/>
              <w:rPr>
                <w:rFonts w:ascii="宋体" w:hAnsi="宋体" w:eastAsia="宋体" w:cs="宋体"/>
                <w:szCs w:val="21"/>
              </w:rPr>
            </w:pPr>
            <w:r>
              <w:rPr>
                <w:rFonts w:hint="eastAsia" w:ascii="宋体" w:hAnsi="宋体" w:eastAsia="宋体" w:cs="宋体"/>
                <w:kern w:val="0"/>
                <w:szCs w:val="21"/>
                <w:lang w:bidi="ar"/>
              </w:rPr>
              <w:t>4500</w:t>
            </w:r>
          </w:p>
        </w:tc>
        <w:tc>
          <w:tcPr>
            <w:tcW w:w="355" w:type="pct"/>
            <w:shd w:val="clear" w:color="auto" w:fill="auto"/>
            <w:vAlign w:val="center"/>
          </w:tcPr>
          <w:p w14:paraId="5AB7219B">
            <w:pPr>
              <w:widowControl/>
              <w:jc w:val="center"/>
              <w:textAlignment w:val="center"/>
              <w:rPr>
                <w:rFonts w:ascii="宋体" w:hAnsi="宋体" w:eastAsia="宋体" w:cs="宋体"/>
                <w:szCs w:val="21"/>
              </w:rPr>
            </w:pPr>
            <w:r>
              <w:rPr>
                <w:rFonts w:hint="eastAsia" w:ascii="宋体" w:hAnsi="宋体" w:eastAsia="宋体" w:cs="宋体"/>
                <w:kern w:val="0"/>
                <w:szCs w:val="21"/>
                <w:lang w:bidi="ar"/>
              </w:rPr>
              <w:t>9000</w:t>
            </w:r>
          </w:p>
        </w:tc>
        <w:tc>
          <w:tcPr>
            <w:tcW w:w="662" w:type="pct"/>
          </w:tcPr>
          <w:p w14:paraId="1B2EBB85">
            <w:pPr>
              <w:rPr>
                <w:rFonts w:ascii="宋体" w:hAnsi="宋体" w:cs="宋体"/>
                <w:color w:val="FF0000"/>
              </w:rPr>
            </w:pPr>
            <w:r>
              <w:rPr>
                <w:rFonts w:ascii="宋体" w:hAnsi="宋体" w:cs="宋体"/>
                <w:color w:val="auto"/>
              </w:rPr>
              <w:t xml:space="preserve">奥特赛恩斯ASE-12 </w:t>
            </w:r>
            <w:r>
              <w:rPr>
                <w:rFonts w:hint="eastAsia" w:ascii="宋体" w:hAnsi="宋体" w:cs="宋体"/>
                <w:color w:val="FF0000"/>
              </w:rPr>
              <w:t>，</w:t>
            </w:r>
            <w:r>
              <w:rPr>
                <w:rFonts w:hint="eastAsia" w:ascii="宋体" w:hAnsi="宋体" w:eastAsia="宋体" w:cs="宋体"/>
                <w:color w:val="FF0000"/>
                <w:kern w:val="0"/>
                <w:szCs w:val="21"/>
                <w:lang w:bidi="ar"/>
              </w:rPr>
              <w:t>竞赛指定仪器</w:t>
            </w:r>
          </w:p>
          <w:p w14:paraId="45D54E78">
            <w:pPr>
              <w:widowControl/>
              <w:jc w:val="center"/>
              <w:textAlignment w:val="center"/>
              <w:rPr>
                <w:rFonts w:ascii="宋体" w:hAnsi="宋体" w:eastAsia="宋体" w:cs="宋体"/>
                <w:kern w:val="0"/>
                <w:szCs w:val="21"/>
                <w:lang w:bidi="ar"/>
              </w:rPr>
            </w:pPr>
          </w:p>
        </w:tc>
      </w:tr>
      <w:tr w14:paraId="37A6B82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033" w:hRule="atLeast"/>
          <w:jc w:val="center"/>
        </w:trPr>
        <w:tc>
          <w:tcPr>
            <w:tcW w:w="650" w:type="pct"/>
            <w:shd w:val="clear" w:color="auto" w:fill="auto"/>
            <w:noWrap/>
            <w:vAlign w:val="center"/>
          </w:tcPr>
          <w:p w14:paraId="3663A01C">
            <w:pPr>
              <w:widowControl/>
              <w:jc w:val="center"/>
              <w:textAlignment w:val="center"/>
              <w:rPr>
                <w:rFonts w:ascii="宋体" w:hAnsi="宋体" w:eastAsia="宋体" w:cs="宋体"/>
                <w:szCs w:val="21"/>
              </w:rPr>
            </w:pPr>
            <w:r>
              <w:rPr>
                <w:rFonts w:hint="eastAsia" w:ascii="宋体" w:hAnsi="宋体" w:eastAsia="宋体" w:cs="宋体"/>
                <w:kern w:val="0"/>
                <w:szCs w:val="21"/>
                <w:lang w:bidi="ar"/>
              </w:rPr>
              <w:t>紫外可见分光光度计</w:t>
            </w:r>
          </w:p>
        </w:tc>
        <w:tc>
          <w:tcPr>
            <w:tcW w:w="590" w:type="pct"/>
            <w:shd w:val="clear" w:color="auto" w:fill="auto"/>
            <w:noWrap/>
            <w:vAlign w:val="center"/>
          </w:tcPr>
          <w:p w14:paraId="7BB71479">
            <w:pPr>
              <w:widowControl/>
              <w:jc w:val="center"/>
              <w:textAlignment w:val="center"/>
              <w:rPr>
                <w:rFonts w:ascii="宋体" w:hAnsi="宋体" w:eastAsia="宋体" w:cs="宋体"/>
                <w:szCs w:val="21"/>
              </w:rPr>
            </w:pPr>
            <w:r>
              <w:rPr>
                <w:rFonts w:hint="eastAsia" w:ascii="宋体" w:hAnsi="宋体" w:eastAsia="宋体" w:cs="宋体"/>
                <w:szCs w:val="21"/>
              </w:rPr>
              <w:t>M650DS</w:t>
            </w:r>
          </w:p>
          <w:p w14:paraId="2702166F">
            <w:pPr>
              <w:widowControl/>
              <w:jc w:val="center"/>
              <w:textAlignment w:val="center"/>
              <w:rPr>
                <w:rFonts w:ascii="宋体" w:hAnsi="宋体" w:eastAsia="宋体" w:cs="宋体"/>
                <w:szCs w:val="21"/>
              </w:rPr>
            </w:pPr>
            <w:r>
              <w:rPr>
                <w:rFonts w:hint="eastAsia" w:ascii="宋体" w:hAnsi="宋体" w:eastAsia="宋体" w:cs="宋体"/>
                <w:szCs w:val="21"/>
              </w:rPr>
              <w:t>上海美谱达</w:t>
            </w:r>
          </w:p>
        </w:tc>
        <w:tc>
          <w:tcPr>
            <w:tcW w:w="1827" w:type="pct"/>
            <w:shd w:val="clear" w:color="auto" w:fill="auto"/>
            <w:vAlign w:val="center"/>
          </w:tcPr>
          <w:p w14:paraId="3F723657">
            <w:pPr>
              <w:rPr>
                <w:rFonts w:ascii="宋体" w:hAnsi="宋体" w:cs="宋体"/>
              </w:rPr>
            </w:pPr>
            <w:r>
              <w:rPr>
                <w:rFonts w:hint="eastAsia" w:ascii="宋体" w:hAnsi="宋体" w:cs="宋体"/>
              </w:rPr>
              <w:t>1.比例双光束</w:t>
            </w:r>
          </w:p>
          <w:p w14:paraId="1B9B7B87">
            <w:pPr>
              <w:rPr>
                <w:rFonts w:ascii="宋体" w:hAnsi="宋体" w:cs="宋体"/>
              </w:rPr>
            </w:pPr>
            <w:r>
              <w:rPr>
                <w:rFonts w:hint="eastAsia" w:ascii="宋体" w:hAnsi="宋体" w:cs="宋体"/>
              </w:rPr>
              <w:t>2.光源:氙灯</w:t>
            </w:r>
          </w:p>
          <w:p w14:paraId="36DEAE4E">
            <w:pPr>
              <w:rPr>
                <w:rFonts w:ascii="宋体" w:hAnsi="宋体" w:cs="宋体"/>
              </w:rPr>
            </w:pPr>
            <w:r>
              <w:rPr>
                <w:rFonts w:hint="eastAsia" w:ascii="宋体" w:hAnsi="宋体" w:cs="宋体"/>
              </w:rPr>
              <w:t>3.光谱带宽2 nm；</w:t>
            </w:r>
          </w:p>
          <w:p w14:paraId="17D1AC06">
            <w:pPr>
              <w:rPr>
                <w:rFonts w:ascii="宋体" w:hAnsi="宋体" w:cs="宋体"/>
              </w:rPr>
            </w:pPr>
            <w:r>
              <w:rPr>
                <w:rFonts w:hint="eastAsia" w:ascii="宋体" w:hAnsi="宋体" w:cs="宋体"/>
              </w:rPr>
              <w:t>4.波长范围 190 ~ 1100 nm ±0.3 nm, 波长重复性≤0.2 nm,波长显示0.1 nm,波长移动速度10000 nm/min</w:t>
            </w:r>
          </w:p>
          <w:p w14:paraId="61C112CE">
            <w:pPr>
              <w:rPr>
                <w:rFonts w:ascii="宋体" w:hAnsi="宋体" w:cs="宋体"/>
              </w:rPr>
            </w:pPr>
            <w:r>
              <w:rPr>
                <w:rFonts w:hint="eastAsia" w:ascii="宋体" w:hAnsi="宋体" w:cs="宋体"/>
              </w:rPr>
              <w:t>5.扫描速度 100 ~ 4500 nm/min</w:t>
            </w:r>
          </w:p>
          <w:p w14:paraId="46FB649E">
            <w:pPr>
              <w:rPr>
                <w:rFonts w:ascii="宋体" w:hAnsi="宋体" w:cs="宋体"/>
              </w:rPr>
            </w:pPr>
            <w:r>
              <w:rPr>
                <w:rFonts w:hint="eastAsia" w:ascii="宋体" w:hAnsi="宋体" w:cs="宋体"/>
              </w:rPr>
              <w:t>6.光度范围-4 ~ 4 A，0 ~ 400 %T，0 ~ 9999.9 C; 光度准确度</w:t>
            </w:r>
            <w:r>
              <w:rPr>
                <w:rFonts w:hint="eastAsia" w:ascii="宋体" w:hAnsi="宋体" w:cs="宋体"/>
              </w:rPr>
              <w:tab/>
            </w:r>
            <w:r>
              <w:rPr>
                <w:rFonts w:hint="eastAsia" w:ascii="宋体" w:hAnsi="宋体" w:cs="宋体"/>
              </w:rPr>
              <w:t>±0.002 A @ 0.0 ~ 0.5 A，±0.004 A @ 0.5 ~ 1 A，±0.3 %T @ 0 ~ 100 %T</w:t>
            </w:r>
          </w:p>
          <w:p w14:paraId="354FDDF0">
            <w:pPr>
              <w:rPr>
                <w:rFonts w:ascii="宋体" w:hAnsi="宋体" w:cs="宋体"/>
              </w:rPr>
            </w:pPr>
            <w:r>
              <w:rPr>
                <w:rFonts w:hint="eastAsia" w:ascii="宋体" w:hAnsi="宋体" w:cs="宋体"/>
              </w:rPr>
              <w:t>7.噪  声 ≤0.0002 A @ 500 nm</w:t>
            </w:r>
          </w:p>
          <w:p w14:paraId="5402002D">
            <w:pPr>
              <w:rPr>
                <w:rFonts w:ascii="宋体" w:hAnsi="宋体" w:cs="宋体"/>
              </w:rPr>
            </w:pPr>
            <w:r>
              <w:rPr>
                <w:rFonts w:hint="eastAsia" w:ascii="宋体" w:hAnsi="宋体" w:cs="宋体"/>
              </w:rPr>
              <w:t xml:space="preserve">8.漂  移≤0.0005A/h </w:t>
            </w:r>
          </w:p>
          <w:p w14:paraId="6BCD9CD4">
            <w:pPr>
              <w:rPr>
                <w:rFonts w:ascii="宋体" w:hAnsi="宋体" w:cs="宋体"/>
              </w:rPr>
            </w:pPr>
            <w:r>
              <w:rPr>
                <w:rFonts w:hint="eastAsia" w:ascii="宋体" w:hAnsi="宋体" w:cs="宋体"/>
              </w:rPr>
              <w:t>9.基线平直度±0.001 A</w:t>
            </w:r>
          </w:p>
          <w:p w14:paraId="4A067317">
            <w:pPr>
              <w:rPr>
                <w:rFonts w:ascii="宋体" w:hAnsi="宋体" w:cs="宋体"/>
              </w:rPr>
            </w:pPr>
            <w:r>
              <w:rPr>
                <w:rFonts w:hint="eastAsia" w:ascii="宋体" w:hAnsi="宋体" w:cs="宋体"/>
              </w:rPr>
              <w:t>10. 杂 散 光≤0.05 %T@ 220，360 nm</w:t>
            </w:r>
          </w:p>
          <w:p w14:paraId="747A1FC8">
            <w:pPr>
              <w:rPr>
                <w:rFonts w:ascii="宋体" w:hAnsi="宋体" w:cs="宋体"/>
              </w:rPr>
            </w:pPr>
            <w:r>
              <w:rPr>
                <w:rFonts w:hint="eastAsia" w:ascii="宋体" w:hAnsi="宋体" w:cs="宋体"/>
              </w:rPr>
              <w:t>11.测量模式: 光度测量，定量测量，光谱测量，动力学，时间扫描，多波长测量，生物方法测量，双组份测量，自定义方法测量</w:t>
            </w:r>
          </w:p>
          <w:p w14:paraId="0C22211D">
            <w:pPr>
              <w:rPr>
                <w:rFonts w:ascii="宋体" w:hAnsi="宋体" w:cs="宋体"/>
              </w:rPr>
            </w:pPr>
            <w:r>
              <w:rPr>
                <w:rFonts w:hint="eastAsia" w:ascii="宋体" w:hAnsi="宋体" w:cs="宋体"/>
              </w:rPr>
              <w:t>12.接 收 器: 自动五联池架</w:t>
            </w:r>
          </w:p>
          <w:p w14:paraId="145D06EA">
            <w:pPr>
              <w:rPr>
                <w:rFonts w:ascii="宋体" w:hAnsi="宋体" w:cs="宋体"/>
              </w:rPr>
            </w:pPr>
            <w:r>
              <w:rPr>
                <w:rFonts w:hint="eastAsia" w:ascii="宋体" w:hAnsi="宋体" w:cs="宋体"/>
              </w:rPr>
              <w:t xml:space="preserve">13.样品池架： 12.4英寸平板电脑 </w:t>
            </w:r>
          </w:p>
          <w:p w14:paraId="4FDF0D62">
            <w:pPr>
              <w:rPr>
                <w:rFonts w:ascii="宋体" w:hAnsi="宋体" w:cs="宋体"/>
              </w:rPr>
            </w:pPr>
            <w:r>
              <w:rPr>
                <w:rFonts w:hint="eastAsia" w:ascii="宋体" w:hAnsi="宋体" w:cs="宋体"/>
              </w:rPr>
              <w:t>14.显示: 32GB（内置），无限制扩展（USB存储器、SD卡、网络存储设备）</w:t>
            </w:r>
          </w:p>
          <w:p w14:paraId="3B11424B">
            <w:pPr>
              <w:rPr>
                <w:rFonts w:ascii="宋体" w:hAnsi="宋体" w:cs="宋体"/>
              </w:rPr>
            </w:pPr>
            <w:r>
              <w:rPr>
                <w:rFonts w:hint="eastAsia" w:ascii="宋体" w:hAnsi="宋体" w:cs="宋体"/>
              </w:rPr>
              <w:t>15:存储: USB、蓝牙、串口</w:t>
            </w:r>
          </w:p>
          <w:p w14:paraId="670D31B7">
            <w:pPr>
              <w:rPr>
                <w:rFonts w:ascii="宋体" w:hAnsi="宋体" w:cs="宋体"/>
              </w:rPr>
            </w:pPr>
            <w:r>
              <w:rPr>
                <w:rFonts w:hint="eastAsia" w:ascii="宋体" w:hAnsi="宋体" w:cs="宋体"/>
              </w:rPr>
              <w:t>16:接口: 100 ~ 240 V  AC，50/60 Hz，120 W</w:t>
            </w:r>
          </w:p>
        </w:tc>
        <w:tc>
          <w:tcPr>
            <w:tcW w:w="236" w:type="pct"/>
            <w:shd w:val="clear" w:color="auto" w:fill="auto"/>
            <w:vAlign w:val="center"/>
          </w:tcPr>
          <w:p w14:paraId="00393544">
            <w:pPr>
              <w:widowControl/>
              <w:jc w:val="center"/>
              <w:textAlignment w:val="center"/>
              <w:rPr>
                <w:rFonts w:ascii="宋体" w:hAnsi="宋体" w:eastAsia="宋体" w:cs="宋体"/>
                <w:szCs w:val="21"/>
              </w:rPr>
            </w:pPr>
            <w:r>
              <w:rPr>
                <w:rFonts w:hint="eastAsia" w:ascii="宋体" w:hAnsi="宋体" w:eastAsia="宋体" w:cs="宋体"/>
                <w:kern w:val="0"/>
                <w:szCs w:val="21"/>
                <w:lang w:bidi="ar"/>
              </w:rPr>
              <w:t>1</w:t>
            </w:r>
          </w:p>
        </w:tc>
        <w:tc>
          <w:tcPr>
            <w:tcW w:w="291" w:type="pct"/>
            <w:shd w:val="clear" w:color="auto" w:fill="auto"/>
            <w:vAlign w:val="center"/>
          </w:tcPr>
          <w:p w14:paraId="2DBD27E1">
            <w:pPr>
              <w:widowControl/>
              <w:jc w:val="center"/>
              <w:textAlignment w:val="center"/>
              <w:rPr>
                <w:rFonts w:ascii="宋体" w:hAnsi="宋体" w:eastAsia="宋体" w:cs="宋体"/>
                <w:szCs w:val="21"/>
              </w:rPr>
            </w:pPr>
            <w:r>
              <w:rPr>
                <w:rFonts w:hint="eastAsia" w:ascii="宋体" w:hAnsi="宋体" w:eastAsia="宋体" w:cs="宋体"/>
                <w:kern w:val="0"/>
                <w:szCs w:val="21"/>
                <w:lang w:bidi="ar"/>
              </w:rPr>
              <w:t>台</w:t>
            </w:r>
          </w:p>
        </w:tc>
        <w:tc>
          <w:tcPr>
            <w:tcW w:w="385" w:type="pct"/>
            <w:shd w:val="clear" w:color="auto" w:fill="auto"/>
            <w:vAlign w:val="center"/>
          </w:tcPr>
          <w:p w14:paraId="4CAFA2BA">
            <w:pPr>
              <w:widowControl/>
              <w:jc w:val="center"/>
              <w:textAlignment w:val="center"/>
              <w:rPr>
                <w:rFonts w:ascii="宋体" w:hAnsi="宋体" w:eastAsia="宋体" w:cs="宋体"/>
                <w:szCs w:val="21"/>
              </w:rPr>
            </w:pPr>
            <w:r>
              <w:rPr>
                <w:rFonts w:hint="eastAsia" w:ascii="宋体" w:hAnsi="宋体" w:eastAsia="宋体" w:cs="宋体"/>
                <w:kern w:val="0"/>
                <w:szCs w:val="21"/>
                <w:lang w:bidi="ar"/>
              </w:rPr>
              <w:t>43500</w:t>
            </w:r>
          </w:p>
        </w:tc>
        <w:tc>
          <w:tcPr>
            <w:tcW w:w="355" w:type="pct"/>
            <w:shd w:val="clear" w:color="auto" w:fill="auto"/>
            <w:vAlign w:val="center"/>
          </w:tcPr>
          <w:p w14:paraId="0902A672">
            <w:pPr>
              <w:widowControl/>
              <w:jc w:val="center"/>
              <w:textAlignment w:val="center"/>
              <w:rPr>
                <w:rFonts w:ascii="宋体" w:hAnsi="宋体" w:eastAsia="宋体" w:cs="宋体"/>
                <w:szCs w:val="21"/>
              </w:rPr>
            </w:pPr>
            <w:r>
              <w:rPr>
                <w:rFonts w:hint="eastAsia" w:ascii="宋体" w:hAnsi="宋体" w:eastAsia="宋体" w:cs="宋体"/>
                <w:kern w:val="0"/>
                <w:szCs w:val="21"/>
                <w:lang w:bidi="ar"/>
              </w:rPr>
              <w:t>43500</w:t>
            </w:r>
          </w:p>
        </w:tc>
        <w:tc>
          <w:tcPr>
            <w:tcW w:w="662" w:type="pct"/>
          </w:tcPr>
          <w:p w14:paraId="0B865423">
            <w:pPr>
              <w:widowControl/>
              <w:jc w:val="center"/>
              <w:textAlignment w:val="center"/>
              <w:rPr>
                <w:rFonts w:ascii="宋体" w:hAnsi="宋体" w:eastAsia="宋体" w:cs="宋体"/>
                <w:szCs w:val="21"/>
              </w:rPr>
            </w:pPr>
            <w:r>
              <w:rPr>
                <w:rFonts w:hint="eastAsia" w:ascii="宋体" w:hAnsi="宋体" w:eastAsia="宋体" w:cs="宋体"/>
                <w:szCs w:val="21"/>
              </w:rPr>
              <w:t>M650DS</w:t>
            </w:r>
          </w:p>
          <w:p w14:paraId="747B8D2B">
            <w:pPr>
              <w:rPr>
                <w:rFonts w:ascii="宋体" w:hAnsi="宋体" w:cs="宋体"/>
                <w:color w:val="FF0000"/>
              </w:rPr>
            </w:pPr>
            <w:r>
              <w:rPr>
                <w:rFonts w:hint="eastAsia" w:ascii="宋体" w:hAnsi="宋体" w:eastAsia="宋体" w:cs="宋体"/>
                <w:szCs w:val="21"/>
              </w:rPr>
              <w:t>上海美谱达</w:t>
            </w:r>
            <w:r>
              <w:rPr>
                <w:rFonts w:hint="eastAsia" w:ascii="宋体" w:hAnsi="宋体" w:cs="宋体"/>
                <w:color w:val="FF0000"/>
              </w:rPr>
              <w:t>，</w:t>
            </w:r>
            <w:r>
              <w:rPr>
                <w:rFonts w:hint="eastAsia" w:ascii="宋体" w:hAnsi="宋体" w:eastAsia="宋体" w:cs="宋体"/>
                <w:color w:val="FF0000"/>
                <w:kern w:val="0"/>
                <w:szCs w:val="21"/>
                <w:lang w:bidi="ar"/>
              </w:rPr>
              <w:t>竞赛指定仪器</w:t>
            </w:r>
          </w:p>
          <w:p w14:paraId="3DDEE3F3">
            <w:pPr>
              <w:widowControl/>
              <w:jc w:val="center"/>
              <w:textAlignment w:val="center"/>
              <w:rPr>
                <w:rFonts w:ascii="宋体" w:hAnsi="宋体" w:eastAsia="宋体" w:cs="宋体"/>
                <w:kern w:val="0"/>
                <w:szCs w:val="21"/>
                <w:lang w:bidi="ar"/>
              </w:rPr>
            </w:pPr>
          </w:p>
        </w:tc>
      </w:tr>
      <w:tr w14:paraId="04C7D8C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296" w:hRule="atLeast"/>
          <w:jc w:val="center"/>
        </w:trPr>
        <w:tc>
          <w:tcPr>
            <w:tcW w:w="650" w:type="pct"/>
            <w:shd w:val="clear" w:color="auto" w:fill="auto"/>
            <w:noWrap/>
            <w:vAlign w:val="center"/>
          </w:tcPr>
          <w:p w14:paraId="11F39626">
            <w:pPr>
              <w:widowControl/>
              <w:jc w:val="center"/>
              <w:textAlignment w:val="center"/>
              <w:rPr>
                <w:rFonts w:ascii="宋体" w:hAnsi="宋体" w:eastAsia="宋体" w:cs="宋体"/>
                <w:szCs w:val="21"/>
              </w:rPr>
            </w:pPr>
            <w:r>
              <w:rPr>
                <w:rFonts w:hint="eastAsia" w:ascii="宋体" w:hAnsi="宋体" w:eastAsia="宋体" w:cs="宋体"/>
                <w:kern w:val="0"/>
                <w:szCs w:val="21"/>
                <w:lang w:bidi="ar"/>
              </w:rPr>
              <w:t>全自动高压灭菌器</w:t>
            </w:r>
          </w:p>
        </w:tc>
        <w:tc>
          <w:tcPr>
            <w:tcW w:w="590" w:type="pct"/>
            <w:shd w:val="clear" w:color="auto" w:fill="auto"/>
            <w:noWrap/>
            <w:vAlign w:val="center"/>
          </w:tcPr>
          <w:p w14:paraId="556388BF">
            <w:pPr>
              <w:rPr>
                <w:rFonts w:ascii="宋体" w:hAnsi="宋体" w:eastAsia="宋体" w:cs="宋体"/>
                <w:szCs w:val="21"/>
              </w:rPr>
            </w:pPr>
            <w:r>
              <w:rPr>
                <w:rFonts w:ascii="宋体" w:hAnsi="宋体" w:cs="宋体"/>
              </w:rPr>
              <w:t>YXQ-</w:t>
            </w:r>
            <w:r>
              <w:rPr>
                <w:rFonts w:hint="eastAsia" w:ascii="宋体" w:hAnsi="宋体" w:cs="宋体"/>
              </w:rPr>
              <w:t>70A/</w:t>
            </w:r>
            <w:r>
              <w:rPr>
                <w:rFonts w:hint="eastAsia" w:ascii="宋体" w:hAnsi="宋体" w:eastAsia="宋体" w:cs="宋体"/>
                <w:szCs w:val="21"/>
              </w:rPr>
              <w:t>上海博迅</w:t>
            </w:r>
          </w:p>
          <w:p w14:paraId="48D3EB73">
            <w:pPr>
              <w:rPr>
                <w:rFonts w:hint="default" w:ascii="宋体" w:hAnsi="宋体" w:cs="宋体" w:eastAsiaTheme="minorEastAsia"/>
                <w:lang w:val="en-US" w:eastAsia="zh-CN"/>
              </w:rPr>
            </w:pPr>
            <w:r>
              <w:rPr>
                <w:rFonts w:hint="eastAsia" w:ascii="宋体" w:hAnsi="宋体" w:cs="宋体"/>
                <w:lang w:val="en-US" w:eastAsia="zh-CN"/>
              </w:rPr>
              <w:t>GI80DS/厦门致微</w:t>
            </w:r>
          </w:p>
        </w:tc>
        <w:tc>
          <w:tcPr>
            <w:tcW w:w="1827" w:type="pct"/>
            <w:shd w:val="clear" w:color="auto" w:fill="auto"/>
            <w:vAlign w:val="center"/>
          </w:tcPr>
          <w:p w14:paraId="2ECB30D2">
            <w:pPr>
              <w:rPr>
                <w:rFonts w:ascii="宋体" w:hAnsi="宋体" w:cs="宋体"/>
              </w:rPr>
            </w:pPr>
            <w:r>
              <w:rPr>
                <w:rFonts w:ascii="宋体" w:hAnsi="宋体" w:cs="宋体"/>
              </w:rPr>
              <w:t xml:space="preserve">1.整机材质：SUS304不锈钢； </w:t>
            </w:r>
          </w:p>
          <w:p w14:paraId="441CC68D">
            <w:pPr>
              <w:rPr>
                <w:rFonts w:ascii="宋体" w:hAnsi="宋体" w:cs="宋体"/>
              </w:rPr>
            </w:pPr>
            <w:r>
              <w:rPr>
                <w:rFonts w:ascii="宋体" w:hAnsi="宋体" w:cs="宋体"/>
              </w:rPr>
              <w:t xml:space="preserve">2.控制模式：微电脑智能自动化控制； </w:t>
            </w:r>
          </w:p>
          <w:p w14:paraId="1EF9D608">
            <w:pPr>
              <w:rPr>
                <w:rFonts w:ascii="宋体" w:hAnsi="宋体" w:cs="宋体"/>
              </w:rPr>
            </w:pPr>
            <w:r>
              <w:rPr>
                <w:rFonts w:ascii="宋体" w:hAnsi="宋体" w:cs="宋体"/>
              </w:rPr>
              <w:t xml:space="preserve">3.排气模式：自动排放冷空气，内循环排汽； </w:t>
            </w:r>
          </w:p>
          <w:p w14:paraId="7194BD55">
            <w:pPr>
              <w:rPr>
                <w:rFonts w:ascii="宋体" w:hAnsi="宋体" w:cs="宋体"/>
              </w:rPr>
            </w:pPr>
            <w:r>
              <w:rPr>
                <w:rFonts w:ascii="宋体" w:hAnsi="宋体" w:cs="宋体"/>
              </w:rPr>
              <w:t>4安全性能：断水自控 超压自泄 超温保护 压力安全联锁</w:t>
            </w:r>
            <w:r>
              <w:rPr>
                <w:rFonts w:hint="eastAsia" w:ascii="宋体" w:hAnsi="宋体" w:cs="宋体"/>
              </w:rPr>
              <w:t>。</w:t>
            </w:r>
            <w:r>
              <w:rPr>
                <w:rFonts w:ascii="宋体" w:hAnsi="宋体" w:cs="宋体"/>
              </w:rPr>
              <w:t xml:space="preserve"> </w:t>
            </w:r>
          </w:p>
          <w:p w14:paraId="72304A35">
            <w:pPr>
              <w:rPr>
                <w:rFonts w:ascii="宋体" w:hAnsi="宋体" w:cs="宋体"/>
              </w:rPr>
            </w:pPr>
            <w:r>
              <w:rPr>
                <w:rFonts w:ascii="宋体" w:hAnsi="宋体" w:cs="宋体"/>
              </w:rPr>
              <w:t xml:space="preserve">5.处理模式：a.加热-灭菌-快排汽；b.加热-灭菌-慢排气；c.加热-灭菌-不排汽 </w:t>
            </w:r>
          </w:p>
          <w:p w14:paraId="419BB57C">
            <w:pPr>
              <w:rPr>
                <w:rFonts w:ascii="宋体" w:hAnsi="宋体" w:cs="宋体"/>
              </w:rPr>
            </w:pPr>
            <w:r>
              <w:rPr>
                <w:rFonts w:ascii="宋体" w:hAnsi="宋体" w:cs="宋体"/>
              </w:rPr>
              <w:t>6.容积：≥</w:t>
            </w:r>
            <w:r>
              <w:rPr>
                <w:rFonts w:hint="eastAsia" w:ascii="宋体" w:hAnsi="宋体" w:cs="宋体"/>
              </w:rPr>
              <w:t>75</w:t>
            </w:r>
            <w:r>
              <w:rPr>
                <w:rFonts w:ascii="宋体" w:hAnsi="宋体" w:cs="宋体"/>
              </w:rPr>
              <w:t xml:space="preserve">L </w:t>
            </w:r>
          </w:p>
          <w:p w14:paraId="0D8E34FC">
            <w:pPr>
              <w:rPr>
                <w:rFonts w:ascii="宋体" w:hAnsi="宋体" w:cs="宋体"/>
              </w:rPr>
            </w:pPr>
            <w:r>
              <w:rPr>
                <w:rFonts w:ascii="宋体" w:hAnsi="宋体" w:cs="宋体"/>
              </w:rPr>
              <w:t xml:space="preserve">7.温度分辨率：1℃ </w:t>
            </w:r>
          </w:p>
          <w:p w14:paraId="23936058">
            <w:pPr>
              <w:rPr>
                <w:rFonts w:ascii="宋体" w:hAnsi="宋体" w:cs="宋体"/>
              </w:rPr>
            </w:pPr>
            <w:r>
              <w:rPr>
                <w:rFonts w:ascii="宋体" w:hAnsi="宋体" w:cs="宋体"/>
              </w:rPr>
              <w:t xml:space="preserve">8.极限工作/设计温度：135℃/139℃ </w:t>
            </w:r>
          </w:p>
          <w:p w14:paraId="67E3DDAB">
            <w:pPr>
              <w:rPr>
                <w:rFonts w:ascii="宋体" w:hAnsi="宋体" w:cs="宋体"/>
              </w:rPr>
            </w:pPr>
            <w:r>
              <w:rPr>
                <w:rFonts w:ascii="宋体" w:hAnsi="宋体" w:cs="宋体"/>
              </w:rPr>
              <w:t xml:space="preserve">9.极限工作/设计压力：0.22MPa/0.25MPa </w:t>
            </w:r>
          </w:p>
          <w:p w14:paraId="2BBBD0D3">
            <w:pPr>
              <w:rPr>
                <w:rFonts w:ascii="宋体" w:hAnsi="宋体" w:cs="宋体"/>
              </w:rPr>
            </w:pPr>
            <w:r>
              <w:rPr>
                <w:rFonts w:ascii="宋体" w:hAnsi="宋体" w:cs="宋体"/>
              </w:rPr>
              <w:t xml:space="preserve">10.压力表显示范围：0~0.4MPa（1.6级） </w:t>
            </w:r>
          </w:p>
          <w:p w14:paraId="5F46F11D">
            <w:pPr>
              <w:rPr>
                <w:rFonts w:ascii="宋体" w:hAnsi="宋体" w:cs="宋体"/>
              </w:rPr>
            </w:pPr>
            <w:r>
              <w:rPr>
                <w:rFonts w:ascii="宋体" w:hAnsi="宋体" w:cs="宋体"/>
              </w:rPr>
              <w:t>11.定时范围（分钟）：</w:t>
            </w:r>
            <w:r>
              <w:rPr>
                <w:rFonts w:hint="eastAsia" w:ascii="宋体" w:hAnsi="宋体" w:cs="宋体"/>
              </w:rPr>
              <w:t>0</w:t>
            </w:r>
            <w:r>
              <w:rPr>
                <w:rFonts w:ascii="宋体" w:hAnsi="宋体" w:cs="宋体"/>
              </w:rPr>
              <w:t xml:space="preserve">-120 </w:t>
            </w:r>
          </w:p>
          <w:p w14:paraId="3F9CC3CC">
            <w:pPr>
              <w:rPr>
                <w:rFonts w:ascii="宋体" w:hAnsi="宋体" w:cs="宋体"/>
              </w:rPr>
            </w:pPr>
            <w:r>
              <w:rPr>
                <w:rFonts w:ascii="宋体" w:hAnsi="宋体" w:cs="宋体"/>
              </w:rPr>
              <w:t>12.功率：</w:t>
            </w:r>
            <w:r>
              <w:rPr>
                <w:rFonts w:hint="eastAsia" w:ascii="宋体" w:hAnsi="宋体" w:cs="宋体"/>
              </w:rPr>
              <w:t>3.5</w:t>
            </w:r>
            <w:r>
              <w:rPr>
                <w:rFonts w:ascii="宋体" w:hAnsi="宋体" w:cs="宋体"/>
              </w:rPr>
              <w:t xml:space="preserve">kW </w:t>
            </w:r>
          </w:p>
          <w:p w14:paraId="61B13E7C">
            <w:pPr>
              <w:widowControl/>
              <w:jc w:val="left"/>
              <w:textAlignment w:val="center"/>
              <w:rPr>
                <w:rFonts w:ascii="宋体" w:hAnsi="宋体" w:eastAsia="宋体" w:cs="宋体"/>
                <w:szCs w:val="21"/>
              </w:rPr>
            </w:pPr>
            <w:r>
              <w:rPr>
                <w:rFonts w:ascii="宋体" w:hAnsi="宋体" w:cs="宋体"/>
              </w:rPr>
              <w:t>13.电源：220V±10% 50Hz±2%;</w:t>
            </w:r>
          </w:p>
        </w:tc>
        <w:tc>
          <w:tcPr>
            <w:tcW w:w="236" w:type="pct"/>
            <w:shd w:val="clear" w:color="auto" w:fill="auto"/>
            <w:vAlign w:val="center"/>
          </w:tcPr>
          <w:p w14:paraId="67B7121B">
            <w:pPr>
              <w:widowControl/>
              <w:jc w:val="center"/>
              <w:textAlignment w:val="center"/>
              <w:rPr>
                <w:rFonts w:ascii="宋体" w:hAnsi="宋体" w:eastAsia="宋体" w:cs="宋体"/>
                <w:szCs w:val="21"/>
              </w:rPr>
            </w:pPr>
            <w:r>
              <w:rPr>
                <w:rFonts w:hint="eastAsia" w:ascii="宋体" w:hAnsi="宋体" w:eastAsia="宋体" w:cs="宋体"/>
                <w:kern w:val="0"/>
                <w:szCs w:val="21"/>
                <w:lang w:bidi="ar"/>
              </w:rPr>
              <w:t>1</w:t>
            </w:r>
          </w:p>
        </w:tc>
        <w:tc>
          <w:tcPr>
            <w:tcW w:w="291" w:type="pct"/>
            <w:shd w:val="clear" w:color="auto" w:fill="auto"/>
            <w:vAlign w:val="center"/>
          </w:tcPr>
          <w:p w14:paraId="753E87B2">
            <w:pPr>
              <w:widowControl/>
              <w:jc w:val="center"/>
              <w:textAlignment w:val="center"/>
              <w:rPr>
                <w:rFonts w:ascii="宋体" w:hAnsi="宋体" w:eastAsia="宋体" w:cs="宋体"/>
                <w:szCs w:val="21"/>
              </w:rPr>
            </w:pPr>
            <w:r>
              <w:rPr>
                <w:rFonts w:hint="eastAsia" w:ascii="宋体" w:hAnsi="宋体" w:eastAsia="宋体" w:cs="宋体"/>
                <w:kern w:val="0"/>
                <w:szCs w:val="21"/>
                <w:lang w:bidi="ar"/>
              </w:rPr>
              <w:t>台</w:t>
            </w:r>
          </w:p>
        </w:tc>
        <w:tc>
          <w:tcPr>
            <w:tcW w:w="385" w:type="pct"/>
            <w:shd w:val="clear" w:color="auto" w:fill="auto"/>
            <w:vAlign w:val="center"/>
          </w:tcPr>
          <w:p w14:paraId="7AE8BB76">
            <w:pPr>
              <w:widowControl/>
              <w:jc w:val="center"/>
              <w:textAlignment w:val="center"/>
              <w:rPr>
                <w:rFonts w:ascii="宋体" w:hAnsi="宋体" w:eastAsia="宋体" w:cs="宋体"/>
                <w:szCs w:val="21"/>
              </w:rPr>
            </w:pPr>
            <w:r>
              <w:rPr>
                <w:rFonts w:hint="eastAsia" w:ascii="宋体" w:hAnsi="宋体" w:eastAsia="宋体" w:cs="宋体"/>
                <w:kern w:val="0"/>
                <w:szCs w:val="21"/>
                <w:lang w:bidi="ar"/>
              </w:rPr>
              <w:t>18000</w:t>
            </w:r>
          </w:p>
        </w:tc>
        <w:tc>
          <w:tcPr>
            <w:tcW w:w="355" w:type="pct"/>
            <w:shd w:val="clear" w:color="auto" w:fill="auto"/>
            <w:vAlign w:val="center"/>
          </w:tcPr>
          <w:p w14:paraId="4D6C8B30">
            <w:pPr>
              <w:widowControl/>
              <w:jc w:val="center"/>
              <w:textAlignment w:val="center"/>
              <w:rPr>
                <w:rFonts w:ascii="宋体" w:hAnsi="宋体" w:eastAsia="宋体" w:cs="宋体"/>
                <w:szCs w:val="21"/>
              </w:rPr>
            </w:pPr>
            <w:r>
              <w:rPr>
                <w:rFonts w:hint="eastAsia" w:ascii="宋体" w:hAnsi="宋体" w:eastAsia="宋体" w:cs="宋体"/>
                <w:kern w:val="0"/>
                <w:szCs w:val="21"/>
                <w:lang w:bidi="ar"/>
              </w:rPr>
              <w:t>18000</w:t>
            </w:r>
          </w:p>
        </w:tc>
        <w:tc>
          <w:tcPr>
            <w:tcW w:w="662" w:type="pct"/>
          </w:tcPr>
          <w:p w14:paraId="49A66B14">
            <w:pPr>
              <w:widowControl/>
              <w:jc w:val="center"/>
              <w:textAlignment w:val="center"/>
              <w:rPr>
                <w:rFonts w:ascii="宋体" w:hAnsi="宋体" w:eastAsia="宋体" w:cs="宋体"/>
                <w:kern w:val="0"/>
                <w:szCs w:val="21"/>
                <w:lang w:bidi="ar"/>
              </w:rPr>
            </w:pPr>
          </w:p>
        </w:tc>
      </w:tr>
      <w:tr w14:paraId="6F4DAD4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280" w:hRule="atLeast"/>
          <w:jc w:val="center"/>
        </w:trPr>
        <w:tc>
          <w:tcPr>
            <w:tcW w:w="650" w:type="pct"/>
            <w:shd w:val="clear" w:color="auto" w:fill="auto"/>
            <w:noWrap/>
            <w:vAlign w:val="center"/>
          </w:tcPr>
          <w:p w14:paraId="01D2E89D">
            <w:pPr>
              <w:widowControl/>
              <w:jc w:val="center"/>
              <w:textAlignment w:val="center"/>
              <w:rPr>
                <w:rFonts w:ascii="宋体" w:hAnsi="宋体" w:eastAsia="宋体" w:cs="宋体"/>
                <w:szCs w:val="21"/>
              </w:rPr>
            </w:pPr>
            <w:r>
              <w:rPr>
                <w:rFonts w:hint="eastAsia" w:ascii="宋体" w:hAnsi="宋体" w:eastAsia="宋体" w:cs="宋体"/>
                <w:szCs w:val="21"/>
              </w:rPr>
              <w:t>涡旋振荡仪</w:t>
            </w:r>
          </w:p>
        </w:tc>
        <w:tc>
          <w:tcPr>
            <w:tcW w:w="590" w:type="pct"/>
            <w:shd w:val="clear" w:color="auto" w:fill="auto"/>
            <w:noWrap/>
            <w:vAlign w:val="center"/>
          </w:tcPr>
          <w:p w14:paraId="60D21BE7">
            <w:pPr>
              <w:widowControl/>
              <w:jc w:val="center"/>
              <w:textAlignment w:val="center"/>
              <w:rPr>
                <w:rFonts w:ascii="宋体" w:hAnsi="宋体" w:eastAsia="宋体" w:cs="宋体"/>
                <w:szCs w:val="21"/>
              </w:rPr>
            </w:pPr>
            <w:r>
              <w:rPr>
                <w:rFonts w:hint="eastAsia" w:ascii="宋体" w:hAnsi="宋体" w:eastAsia="宋体" w:cs="宋体"/>
                <w:szCs w:val="21"/>
              </w:rPr>
              <w:t>Mixplus</w:t>
            </w:r>
          </w:p>
          <w:p w14:paraId="13327E9E">
            <w:pPr>
              <w:widowControl/>
              <w:jc w:val="center"/>
              <w:textAlignment w:val="center"/>
              <w:rPr>
                <w:rFonts w:ascii="宋体" w:hAnsi="宋体" w:eastAsia="宋体" w:cs="宋体"/>
                <w:szCs w:val="21"/>
              </w:rPr>
            </w:pPr>
            <w:r>
              <w:rPr>
                <w:rFonts w:hint="eastAsia" w:ascii="宋体" w:hAnsi="宋体" w:eastAsia="宋体" w:cs="宋体"/>
                <w:szCs w:val="21"/>
              </w:rPr>
              <w:t>合肥艾本森</w:t>
            </w:r>
          </w:p>
        </w:tc>
        <w:tc>
          <w:tcPr>
            <w:tcW w:w="1827" w:type="pct"/>
            <w:shd w:val="clear" w:color="auto" w:fill="auto"/>
            <w:vAlign w:val="center"/>
          </w:tcPr>
          <w:p w14:paraId="1927E0BE">
            <w:pPr>
              <w:widowControl/>
              <w:jc w:val="left"/>
              <w:textAlignment w:val="center"/>
              <w:rPr>
                <w:rFonts w:ascii="宋体" w:hAnsi="宋体" w:eastAsia="宋体" w:cs="宋体"/>
                <w:szCs w:val="21"/>
              </w:rPr>
            </w:pPr>
            <w:r>
              <w:rPr>
                <w:rFonts w:hint="eastAsia" w:ascii="宋体" w:hAnsi="宋体" w:eastAsia="宋体" w:cs="宋体"/>
                <w:szCs w:val="21"/>
              </w:rPr>
              <w:t>1.振荡方式:点触或连续振动;</w:t>
            </w:r>
          </w:p>
          <w:p w14:paraId="29E5860F">
            <w:pPr>
              <w:widowControl/>
              <w:jc w:val="left"/>
              <w:textAlignment w:val="center"/>
              <w:rPr>
                <w:rFonts w:ascii="宋体" w:hAnsi="宋体" w:eastAsia="宋体" w:cs="宋体"/>
                <w:szCs w:val="21"/>
              </w:rPr>
            </w:pPr>
            <w:r>
              <w:rPr>
                <w:rFonts w:hint="eastAsia" w:ascii="宋体" w:hAnsi="宋体" w:eastAsia="宋体" w:cs="宋体"/>
                <w:szCs w:val="21"/>
              </w:rPr>
              <w:t>2.驱动方式:ABSON 专用电机直接驱动;</w:t>
            </w:r>
          </w:p>
          <w:p w14:paraId="6554A74B">
            <w:pPr>
              <w:widowControl/>
              <w:jc w:val="left"/>
              <w:textAlignment w:val="center"/>
              <w:rPr>
                <w:rFonts w:ascii="宋体" w:hAnsi="宋体" w:eastAsia="宋体" w:cs="宋体"/>
                <w:szCs w:val="21"/>
              </w:rPr>
            </w:pPr>
            <w:r>
              <w:rPr>
                <w:rFonts w:hint="eastAsia" w:ascii="宋体" w:hAnsi="宋体" w:eastAsia="宋体" w:cs="宋体"/>
                <w:szCs w:val="21"/>
              </w:rPr>
              <w:t>3.转动幅度:回转直径4.6mm;</w:t>
            </w:r>
          </w:p>
          <w:p w14:paraId="7BA2CAC6">
            <w:pPr>
              <w:widowControl/>
              <w:jc w:val="left"/>
              <w:textAlignment w:val="center"/>
              <w:rPr>
                <w:rFonts w:ascii="宋体" w:hAnsi="宋体" w:eastAsia="宋体" w:cs="宋体"/>
                <w:szCs w:val="21"/>
              </w:rPr>
            </w:pPr>
            <w:r>
              <w:rPr>
                <w:rFonts w:hint="eastAsia" w:ascii="宋体" w:hAnsi="宋体" w:eastAsia="宋体" w:cs="宋体"/>
                <w:szCs w:val="21"/>
              </w:rPr>
              <w:t>4.转速范围:0-3000rmp;</w:t>
            </w:r>
          </w:p>
          <w:p w14:paraId="2F4A08AA">
            <w:pPr>
              <w:widowControl/>
              <w:jc w:val="left"/>
              <w:textAlignment w:val="center"/>
              <w:rPr>
                <w:rFonts w:ascii="宋体" w:hAnsi="宋体" w:eastAsia="宋体" w:cs="宋体"/>
                <w:szCs w:val="21"/>
              </w:rPr>
            </w:pPr>
            <w:r>
              <w:rPr>
                <w:rFonts w:hint="eastAsia" w:ascii="宋体" w:hAnsi="宋体" w:eastAsia="宋体" w:cs="宋体"/>
                <w:szCs w:val="21"/>
              </w:rPr>
              <w:t>5.时间设置方式:0-999min或者0-999s;</w:t>
            </w:r>
          </w:p>
          <w:p w14:paraId="463B299D">
            <w:pPr>
              <w:widowControl/>
              <w:jc w:val="left"/>
              <w:textAlignment w:val="center"/>
              <w:rPr>
                <w:rFonts w:ascii="宋体" w:hAnsi="宋体" w:eastAsia="宋体" w:cs="宋体"/>
                <w:szCs w:val="21"/>
              </w:rPr>
            </w:pPr>
            <w:r>
              <w:rPr>
                <w:rFonts w:hint="eastAsia" w:ascii="宋体" w:hAnsi="宋体" w:eastAsia="宋体" w:cs="宋体"/>
                <w:szCs w:val="21"/>
              </w:rPr>
              <w:t>6.转速设置方式:高速或低速;</w:t>
            </w:r>
          </w:p>
          <w:p w14:paraId="66B84D4A">
            <w:pPr>
              <w:widowControl/>
              <w:jc w:val="left"/>
              <w:textAlignment w:val="center"/>
              <w:rPr>
                <w:rFonts w:ascii="宋体" w:hAnsi="宋体" w:eastAsia="宋体" w:cs="宋体"/>
                <w:szCs w:val="21"/>
              </w:rPr>
            </w:pPr>
            <w:r>
              <w:rPr>
                <w:rFonts w:hint="eastAsia" w:ascii="宋体" w:hAnsi="宋体" w:eastAsia="宋体" w:cs="宋体"/>
                <w:szCs w:val="21"/>
              </w:rPr>
              <w:t>7.最大负载/功耗:0.5KG/50W;</w:t>
            </w:r>
          </w:p>
          <w:p w14:paraId="477A073E">
            <w:pPr>
              <w:widowControl/>
              <w:jc w:val="left"/>
              <w:textAlignment w:val="center"/>
              <w:rPr>
                <w:rFonts w:ascii="宋体" w:hAnsi="宋体" w:eastAsia="宋体" w:cs="宋体"/>
                <w:szCs w:val="21"/>
              </w:rPr>
            </w:pPr>
            <w:r>
              <w:rPr>
                <w:rFonts w:hint="eastAsia" w:ascii="宋体" w:hAnsi="宋体" w:eastAsia="宋体" w:cs="宋体"/>
                <w:szCs w:val="21"/>
              </w:rPr>
              <w:t>8.拓展功能:可振荡微孔板，离心管，试管;</w:t>
            </w:r>
          </w:p>
          <w:p w14:paraId="2F74BCED">
            <w:pPr>
              <w:widowControl/>
              <w:jc w:val="left"/>
              <w:textAlignment w:val="center"/>
              <w:rPr>
                <w:rFonts w:ascii="宋体" w:hAnsi="宋体" w:eastAsia="宋体" w:cs="宋体"/>
                <w:szCs w:val="21"/>
              </w:rPr>
            </w:pPr>
            <w:r>
              <w:rPr>
                <w:rFonts w:hint="eastAsia" w:ascii="宋体" w:hAnsi="宋体" w:eastAsia="宋体" w:cs="宋体"/>
                <w:szCs w:val="21"/>
              </w:rPr>
              <w:t>9.平台尺寸:Φ84mm</w:t>
            </w:r>
          </w:p>
          <w:p w14:paraId="3B47516B">
            <w:pPr>
              <w:widowControl/>
              <w:jc w:val="left"/>
              <w:textAlignment w:val="center"/>
              <w:rPr>
                <w:rFonts w:ascii="宋体" w:hAnsi="宋体" w:eastAsia="宋体" w:cs="宋体"/>
                <w:szCs w:val="21"/>
              </w:rPr>
            </w:pPr>
            <w:r>
              <w:rPr>
                <w:rFonts w:hint="eastAsia" w:ascii="宋体" w:hAnsi="宋体" w:eastAsia="宋体" w:cs="宋体"/>
                <w:szCs w:val="21"/>
              </w:rPr>
              <w:t>夹具配置:试管垫片MP-2:与通用夹具MP-4配合使用，可摇匀7个直径为12mm的试管;通用夹具MP-4:与试管垫片配合使用，可以同时震荡数个试管;</w:t>
            </w:r>
          </w:p>
        </w:tc>
        <w:tc>
          <w:tcPr>
            <w:tcW w:w="236" w:type="pct"/>
            <w:shd w:val="clear" w:color="auto" w:fill="auto"/>
            <w:vAlign w:val="center"/>
          </w:tcPr>
          <w:p w14:paraId="3A0B4DEA">
            <w:pPr>
              <w:widowControl/>
              <w:jc w:val="center"/>
              <w:textAlignment w:val="center"/>
              <w:rPr>
                <w:rFonts w:ascii="宋体" w:hAnsi="宋体" w:eastAsia="宋体" w:cs="宋体"/>
                <w:szCs w:val="21"/>
              </w:rPr>
            </w:pPr>
            <w:r>
              <w:rPr>
                <w:rFonts w:hint="eastAsia" w:ascii="宋体" w:hAnsi="宋体" w:eastAsia="宋体" w:cs="宋体"/>
                <w:kern w:val="0"/>
                <w:szCs w:val="21"/>
                <w:lang w:bidi="ar"/>
              </w:rPr>
              <w:t>3</w:t>
            </w:r>
          </w:p>
        </w:tc>
        <w:tc>
          <w:tcPr>
            <w:tcW w:w="291" w:type="pct"/>
            <w:shd w:val="clear" w:color="auto" w:fill="auto"/>
            <w:vAlign w:val="center"/>
          </w:tcPr>
          <w:p w14:paraId="5EB8CDE4">
            <w:pPr>
              <w:widowControl/>
              <w:jc w:val="center"/>
              <w:textAlignment w:val="center"/>
              <w:rPr>
                <w:rFonts w:ascii="宋体" w:hAnsi="宋体" w:eastAsia="宋体" w:cs="宋体"/>
                <w:szCs w:val="21"/>
              </w:rPr>
            </w:pPr>
            <w:r>
              <w:rPr>
                <w:rFonts w:hint="eastAsia" w:ascii="宋体" w:hAnsi="宋体" w:eastAsia="宋体" w:cs="宋体"/>
                <w:szCs w:val="21"/>
              </w:rPr>
              <w:t>台</w:t>
            </w:r>
          </w:p>
        </w:tc>
        <w:tc>
          <w:tcPr>
            <w:tcW w:w="385" w:type="pct"/>
            <w:shd w:val="clear" w:color="auto" w:fill="auto"/>
            <w:vAlign w:val="center"/>
          </w:tcPr>
          <w:p w14:paraId="72BF9365">
            <w:pPr>
              <w:widowControl/>
              <w:jc w:val="center"/>
              <w:textAlignment w:val="center"/>
              <w:rPr>
                <w:rFonts w:ascii="宋体" w:hAnsi="宋体" w:eastAsia="宋体" w:cs="宋体"/>
                <w:szCs w:val="21"/>
              </w:rPr>
            </w:pPr>
            <w:r>
              <w:rPr>
                <w:rFonts w:hint="eastAsia" w:ascii="宋体" w:hAnsi="宋体" w:eastAsia="宋体" w:cs="宋体"/>
                <w:szCs w:val="21"/>
              </w:rPr>
              <w:t>3000</w:t>
            </w:r>
          </w:p>
        </w:tc>
        <w:tc>
          <w:tcPr>
            <w:tcW w:w="355" w:type="pct"/>
            <w:shd w:val="clear" w:color="auto" w:fill="auto"/>
            <w:vAlign w:val="center"/>
          </w:tcPr>
          <w:p w14:paraId="3A86754A">
            <w:pPr>
              <w:widowControl/>
              <w:jc w:val="center"/>
              <w:textAlignment w:val="center"/>
              <w:rPr>
                <w:rFonts w:ascii="宋体" w:hAnsi="宋体" w:eastAsia="宋体" w:cs="宋体"/>
                <w:szCs w:val="21"/>
              </w:rPr>
            </w:pPr>
            <w:r>
              <w:rPr>
                <w:rFonts w:hint="eastAsia" w:ascii="宋体" w:hAnsi="宋体" w:eastAsia="宋体" w:cs="宋体"/>
                <w:szCs w:val="21"/>
              </w:rPr>
              <w:t>9000</w:t>
            </w:r>
          </w:p>
        </w:tc>
        <w:tc>
          <w:tcPr>
            <w:tcW w:w="662" w:type="pct"/>
          </w:tcPr>
          <w:p w14:paraId="0C23BD62">
            <w:pPr>
              <w:widowControl/>
              <w:jc w:val="center"/>
              <w:textAlignment w:val="center"/>
              <w:rPr>
                <w:rFonts w:ascii="宋体" w:hAnsi="宋体" w:eastAsia="宋体" w:cs="宋体"/>
                <w:szCs w:val="21"/>
              </w:rPr>
            </w:pPr>
            <w:r>
              <w:rPr>
                <w:rFonts w:hint="eastAsia" w:ascii="宋体" w:hAnsi="宋体" w:eastAsia="宋体" w:cs="宋体"/>
                <w:szCs w:val="21"/>
              </w:rPr>
              <w:t>Mixplus</w:t>
            </w:r>
          </w:p>
          <w:p w14:paraId="6049DF83">
            <w:pPr>
              <w:rPr>
                <w:rFonts w:ascii="宋体" w:hAnsi="宋体" w:cs="宋体"/>
                <w:color w:val="FF0000"/>
              </w:rPr>
            </w:pPr>
            <w:r>
              <w:rPr>
                <w:rFonts w:hint="eastAsia" w:ascii="宋体" w:hAnsi="宋体" w:eastAsia="宋体" w:cs="宋体"/>
                <w:szCs w:val="21"/>
              </w:rPr>
              <w:t>合肥艾本森，</w:t>
            </w:r>
            <w:r>
              <w:rPr>
                <w:rFonts w:hint="eastAsia" w:ascii="宋体" w:hAnsi="宋体" w:eastAsia="宋体" w:cs="宋体"/>
                <w:color w:val="FF0000"/>
                <w:kern w:val="0"/>
                <w:szCs w:val="21"/>
                <w:lang w:bidi="ar"/>
              </w:rPr>
              <w:t>竞赛指定仪器</w:t>
            </w:r>
          </w:p>
          <w:p w14:paraId="52D97124">
            <w:pPr>
              <w:widowControl/>
              <w:jc w:val="center"/>
              <w:textAlignment w:val="center"/>
              <w:rPr>
                <w:rFonts w:ascii="宋体" w:hAnsi="宋体" w:eastAsia="宋体" w:cs="宋体"/>
                <w:szCs w:val="21"/>
              </w:rPr>
            </w:pPr>
          </w:p>
        </w:tc>
      </w:tr>
      <w:tr w14:paraId="26282A7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460" w:hRule="atLeast"/>
          <w:jc w:val="center"/>
        </w:trPr>
        <w:tc>
          <w:tcPr>
            <w:tcW w:w="650" w:type="pct"/>
            <w:shd w:val="clear" w:color="auto" w:fill="auto"/>
            <w:noWrap/>
            <w:vAlign w:val="center"/>
          </w:tcPr>
          <w:p w14:paraId="11FEAB30">
            <w:pPr>
              <w:widowControl/>
              <w:jc w:val="center"/>
              <w:textAlignment w:val="center"/>
              <w:rPr>
                <w:rFonts w:ascii="宋体" w:hAnsi="宋体" w:eastAsia="宋体" w:cs="宋体"/>
                <w:szCs w:val="21"/>
              </w:rPr>
            </w:pPr>
            <w:r>
              <w:rPr>
                <w:rFonts w:hint="eastAsia" w:ascii="宋体" w:hAnsi="宋体" w:eastAsia="宋体" w:cs="宋体"/>
                <w:szCs w:val="21"/>
              </w:rPr>
              <w:t>分光光度计</w:t>
            </w:r>
          </w:p>
        </w:tc>
        <w:tc>
          <w:tcPr>
            <w:tcW w:w="590" w:type="pct"/>
            <w:shd w:val="clear" w:color="auto" w:fill="auto"/>
            <w:noWrap/>
            <w:vAlign w:val="center"/>
          </w:tcPr>
          <w:p w14:paraId="15FB6744">
            <w:pPr>
              <w:widowControl/>
              <w:jc w:val="center"/>
              <w:textAlignment w:val="center"/>
              <w:rPr>
                <w:rFonts w:ascii="宋体" w:hAnsi="宋体" w:eastAsia="宋体" w:cs="宋体"/>
                <w:szCs w:val="21"/>
              </w:rPr>
            </w:pPr>
            <w:r>
              <w:rPr>
                <w:rFonts w:hint="eastAsia" w:ascii="宋体" w:hAnsi="宋体" w:eastAsia="宋体" w:cs="宋体"/>
                <w:szCs w:val="21"/>
              </w:rPr>
              <w:t>722N</w:t>
            </w:r>
          </w:p>
          <w:p w14:paraId="71FA01D0">
            <w:pPr>
              <w:widowControl/>
              <w:jc w:val="center"/>
              <w:textAlignment w:val="center"/>
              <w:rPr>
                <w:rFonts w:hint="eastAsia" w:ascii="宋体" w:hAnsi="宋体" w:eastAsia="宋体" w:cs="宋体"/>
                <w:szCs w:val="21"/>
              </w:rPr>
            </w:pPr>
            <w:r>
              <w:rPr>
                <w:rFonts w:hint="eastAsia" w:ascii="宋体" w:hAnsi="宋体" w:eastAsia="宋体" w:cs="宋体"/>
                <w:szCs w:val="21"/>
              </w:rPr>
              <w:t>上海佑科</w:t>
            </w:r>
          </w:p>
          <w:p w14:paraId="219CBCC5">
            <w:pPr>
              <w:widowControl/>
              <w:jc w:val="center"/>
              <w:textAlignment w:val="center"/>
              <w:rPr>
                <w:rFonts w:hint="default" w:ascii="宋体" w:hAnsi="宋体" w:eastAsia="宋体" w:cs="宋体"/>
                <w:szCs w:val="21"/>
                <w:lang w:val="en-US" w:eastAsia="zh-CN"/>
              </w:rPr>
            </w:pPr>
            <w:r>
              <w:rPr>
                <w:rFonts w:hint="eastAsia" w:ascii="宋体" w:hAnsi="宋体" w:eastAsia="宋体" w:cs="宋体"/>
                <w:szCs w:val="21"/>
                <w:lang w:val="en-US" w:eastAsia="zh-CN"/>
              </w:rPr>
              <w:t>722N上海仪电</w:t>
            </w:r>
          </w:p>
        </w:tc>
        <w:tc>
          <w:tcPr>
            <w:tcW w:w="1827" w:type="pct"/>
            <w:shd w:val="clear" w:color="auto" w:fill="auto"/>
            <w:vAlign w:val="center"/>
          </w:tcPr>
          <w:p w14:paraId="2D8DE05E">
            <w:pPr>
              <w:widowControl/>
              <w:jc w:val="left"/>
              <w:textAlignment w:val="center"/>
              <w:rPr>
                <w:rFonts w:ascii="宋体" w:hAnsi="宋体" w:eastAsia="宋体" w:cs="宋体"/>
                <w:szCs w:val="21"/>
              </w:rPr>
            </w:pPr>
            <w:r>
              <w:rPr>
                <w:rFonts w:hint="eastAsia" w:ascii="宋体" w:hAnsi="宋体" w:eastAsia="宋体" w:cs="宋体"/>
                <w:szCs w:val="21"/>
              </w:rPr>
              <w:t>1.</w:t>
            </w:r>
            <w:r>
              <w:rPr>
                <w:rFonts w:hint="eastAsia"/>
              </w:rPr>
              <w:t xml:space="preserve"> </w:t>
            </w:r>
            <w:r>
              <w:rPr>
                <w:rFonts w:hint="eastAsia" w:ascii="宋体" w:hAnsi="宋体" w:eastAsia="宋体" w:cs="宋体"/>
                <w:szCs w:val="21"/>
              </w:rPr>
              <w:t>光学系统：消色差（1200条/mm光栅）</w:t>
            </w:r>
          </w:p>
          <w:p w14:paraId="36E551DD">
            <w:pPr>
              <w:widowControl/>
              <w:jc w:val="left"/>
              <w:textAlignment w:val="center"/>
              <w:rPr>
                <w:rFonts w:ascii="宋体" w:hAnsi="宋体" w:eastAsia="宋体" w:cs="宋体"/>
                <w:szCs w:val="21"/>
              </w:rPr>
            </w:pPr>
            <w:r>
              <w:rPr>
                <w:rFonts w:hint="eastAsia" w:ascii="宋体" w:hAnsi="宋体" w:eastAsia="宋体" w:cs="宋体"/>
                <w:szCs w:val="21"/>
              </w:rPr>
              <w:t xml:space="preserve">2.显示方式：背光式 LCD显示 </w:t>
            </w:r>
          </w:p>
          <w:p w14:paraId="2303F316">
            <w:pPr>
              <w:widowControl/>
              <w:jc w:val="left"/>
              <w:textAlignment w:val="center"/>
              <w:rPr>
                <w:rFonts w:ascii="宋体" w:hAnsi="宋体" w:eastAsia="宋体" w:cs="宋体"/>
                <w:szCs w:val="21"/>
              </w:rPr>
            </w:pPr>
            <w:r>
              <w:rPr>
                <w:rFonts w:hint="eastAsia" w:ascii="宋体" w:hAnsi="宋体" w:eastAsia="宋体" w:cs="宋体"/>
                <w:szCs w:val="21"/>
              </w:rPr>
              <w:t xml:space="preserve">3.测量系统：T </w:t>
            </w:r>
            <w:r>
              <w:rPr>
                <w:rFonts w:ascii="宋体" w:hAnsi="宋体" w:eastAsia="宋体" w:cs="宋体"/>
                <w:szCs w:val="21"/>
              </w:rPr>
              <w:t>–</w:t>
            </w:r>
            <w:r>
              <w:rPr>
                <w:rFonts w:hint="eastAsia" w:ascii="宋体" w:hAnsi="宋体" w:eastAsia="宋体" w:cs="宋体"/>
                <w:szCs w:val="21"/>
              </w:rPr>
              <w:t xml:space="preserve"> A高精度自动转换，自动调0%( T )和调100%( T )，浓度因子设定、浓度直读</w:t>
            </w:r>
          </w:p>
          <w:p w14:paraId="4639DEF7">
            <w:pPr>
              <w:widowControl/>
              <w:jc w:val="left"/>
              <w:textAlignment w:val="center"/>
              <w:rPr>
                <w:rFonts w:ascii="宋体" w:hAnsi="宋体" w:eastAsia="宋体" w:cs="宋体"/>
                <w:szCs w:val="21"/>
              </w:rPr>
            </w:pPr>
            <w:r>
              <w:rPr>
                <w:rFonts w:hint="eastAsia" w:ascii="宋体" w:hAnsi="宋体" w:eastAsia="宋体" w:cs="宋体"/>
                <w:szCs w:val="21"/>
              </w:rPr>
              <w:t>4.光门控制：自动光门</w:t>
            </w:r>
          </w:p>
          <w:p w14:paraId="0D8DBDD2">
            <w:pPr>
              <w:widowControl/>
              <w:jc w:val="left"/>
              <w:textAlignment w:val="center"/>
              <w:rPr>
                <w:rFonts w:ascii="宋体" w:hAnsi="宋体" w:eastAsia="宋体" w:cs="宋体"/>
                <w:szCs w:val="21"/>
              </w:rPr>
            </w:pPr>
            <w:r>
              <w:rPr>
                <w:rFonts w:hint="eastAsia" w:ascii="宋体" w:hAnsi="宋体" w:eastAsia="宋体" w:cs="宋体"/>
                <w:szCs w:val="21"/>
              </w:rPr>
              <w:t>5.</w:t>
            </w:r>
            <w:r>
              <w:rPr>
                <w:rFonts w:hint="eastAsia"/>
              </w:rPr>
              <w:t xml:space="preserve"> </w:t>
            </w:r>
            <w:r>
              <w:rPr>
                <w:rFonts w:hint="eastAsia" w:ascii="宋体" w:hAnsi="宋体" w:eastAsia="宋体" w:cs="宋体"/>
                <w:szCs w:val="21"/>
              </w:rPr>
              <w:t>光度范围：0-200%T，-3-3A,0-9999C</w:t>
            </w:r>
          </w:p>
          <w:p w14:paraId="11B7E03B">
            <w:pPr>
              <w:widowControl/>
              <w:jc w:val="left"/>
              <w:textAlignment w:val="center"/>
              <w:rPr>
                <w:rFonts w:ascii="宋体" w:hAnsi="宋体" w:eastAsia="宋体" w:cs="宋体"/>
                <w:szCs w:val="21"/>
              </w:rPr>
            </w:pPr>
            <w:r>
              <w:rPr>
                <w:rFonts w:hint="eastAsia" w:ascii="宋体" w:hAnsi="宋体" w:eastAsia="宋体" w:cs="宋体"/>
                <w:szCs w:val="21"/>
              </w:rPr>
              <w:t>6.光谱带宽： 4nm</w:t>
            </w:r>
          </w:p>
          <w:p w14:paraId="56220116">
            <w:pPr>
              <w:widowControl/>
              <w:jc w:val="left"/>
              <w:textAlignment w:val="center"/>
              <w:rPr>
                <w:rFonts w:ascii="宋体" w:hAnsi="宋体" w:eastAsia="宋体" w:cs="宋体"/>
                <w:szCs w:val="21"/>
              </w:rPr>
            </w:pPr>
            <w:r>
              <w:rPr>
                <w:rFonts w:hint="eastAsia" w:ascii="宋体" w:hAnsi="宋体" w:eastAsia="宋体" w:cs="宋体"/>
                <w:szCs w:val="21"/>
              </w:rPr>
              <w:t>7.波长范围： 320nm ~ 1020nm</w:t>
            </w:r>
          </w:p>
          <w:p w14:paraId="71909809">
            <w:pPr>
              <w:widowControl/>
              <w:jc w:val="left"/>
              <w:textAlignment w:val="center"/>
              <w:rPr>
                <w:rFonts w:ascii="宋体" w:hAnsi="宋体" w:eastAsia="宋体" w:cs="宋体"/>
                <w:szCs w:val="21"/>
              </w:rPr>
            </w:pPr>
            <w:r>
              <w:rPr>
                <w:rFonts w:hint="eastAsia" w:ascii="宋体" w:hAnsi="宋体" w:eastAsia="宋体" w:cs="宋体"/>
                <w:szCs w:val="21"/>
              </w:rPr>
              <w:t xml:space="preserve">8.波长准确度： ±2nm </w:t>
            </w:r>
          </w:p>
          <w:p w14:paraId="53257273">
            <w:pPr>
              <w:widowControl/>
              <w:jc w:val="left"/>
              <w:textAlignment w:val="center"/>
              <w:rPr>
                <w:rFonts w:ascii="宋体" w:hAnsi="宋体" w:eastAsia="宋体" w:cs="宋体"/>
                <w:szCs w:val="21"/>
              </w:rPr>
            </w:pPr>
            <w:r>
              <w:rPr>
                <w:rFonts w:hint="eastAsia" w:ascii="宋体" w:hAnsi="宋体" w:eastAsia="宋体" w:cs="宋体"/>
                <w:szCs w:val="21"/>
              </w:rPr>
              <w:t xml:space="preserve">9.波长重复性： ≤0.5nm </w:t>
            </w:r>
          </w:p>
          <w:p w14:paraId="5EA4963E">
            <w:pPr>
              <w:widowControl/>
              <w:jc w:val="left"/>
              <w:textAlignment w:val="center"/>
              <w:rPr>
                <w:rFonts w:ascii="宋体" w:hAnsi="宋体" w:eastAsia="宋体" w:cs="宋体"/>
                <w:szCs w:val="21"/>
              </w:rPr>
            </w:pPr>
            <w:r>
              <w:rPr>
                <w:rFonts w:hint="eastAsia" w:ascii="宋体" w:hAnsi="宋体" w:eastAsia="宋体" w:cs="宋体"/>
                <w:szCs w:val="21"/>
              </w:rPr>
              <w:t xml:space="preserve">10.杂散光： ≤0.3% T (在360nm处，以NaNO2测定) </w:t>
            </w:r>
          </w:p>
          <w:p w14:paraId="6B24BB03">
            <w:pPr>
              <w:widowControl/>
              <w:jc w:val="left"/>
              <w:textAlignment w:val="center"/>
              <w:rPr>
                <w:rFonts w:ascii="宋体" w:hAnsi="宋体" w:eastAsia="宋体" w:cs="宋体"/>
                <w:szCs w:val="21"/>
              </w:rPr>
            </w:pPr>
            <w:r>
              <w:rPr>
                <w:rFonts w:hint="eastAsia" w:ascii="宋体" w:hAnsi="宋体" w:eastAsia="宋体" w:cs="宋体"/>
                <w:szCs w:val="21"/>
              </w:rPr>
              <w:t>（在420nm处，用截止滤光片测定）</w:t>
            </w:r>
          </w:p>
          <w:p w14:paraId="7B2750E8">
            <w:pPr>
              <w:widowControl/>
              <w:jc w:val="left"/>
              <w:textAlignment w:val="center"/>
              <w:rPr>
                <w:rFonts w:ascii="宋体" w:hAnsi="宋体" w:eastAsia="宋体" w:cs="宋体"/>
                <w:szCs w:val="21"/>
              </w:rPr>
            </w:pPr>
            <w:r>
              <w:rPr>
                <w:rFonts w:hint="eastAsia" w:ascii="宋体" w:hAnsi="宋体" w:eastAsia="宋体" w:cs="宋体"/>
                <w:szCs w:val="21"/>
              </w:rPr>
              <w:t xml:space="preserve">11.光度准确度： </w:t>
            </w:r>
          </w:p>
          <w:p w14:paraId="2E57C6FF">
            <w:pPr>
              <w:widowControl/>
              <w:jc w:val="left"/>
              <w:textAlignment w:val="center"/>
              <w:rPr>
                <w:rFonts w:ascii="宋体" w:hAnsi="宋体" w:eastAsia="宋体" w:cs="宋体"/>
                <w:szCs w:val="21"/>
              </w:rPr>
            </w:pPr>
            <w:r>
              <w:rPr>
                <w:rFonts w:hint="eastAsia" w:ascii="宋体" w:hAnsi="宋体" w:eastAsia="宋体" w:cs="宋体"/>
                <w:szCs w:val="21"/>
              </w:rPr>
              <w:t>±</w:t>
            </w:r>
            <w:r>
              <w:rPr>
                <w:rFonts w:ascii="宋体" w:hAnsi="宋体" w:eastAsia="宋体" w:cs="宋体"/>
                <w:szCs w:val="21"/>
              </w:rPr>
              <w:t xml:space="preserve">0.5%T </w:t>
            </w:r>
          </w:p>
          <w:p w14:paraId="787A0212">
            <w:pPr>
              <w:widowControl/>
              <w:jc w:val="left"/>
              <w:textAlignment w:val="center"/>
              <w:rPr>
                <w:rFonts w:ascii="宋体" w:hAnsi="宋体" w:eastAsia="宋体" w:cs="宋体"/>
                <w:szCs w:val="21"/>
              </w:rPr>
            </w:pPr>
            <w:r>
              <w:rPr>
                <w:rFonts w:hint="eastAsia" w:ascii="宋体" w:hAnsi="宋体" w:eastAsia="宋体" w:cs="宋体"/>
                <w:szCs w:val="21"/>
              </w:rPr>
              <w:t xml:space="preserve">±0.004Abs（0 ~ 0.5A） </w:t>
            </w:r>
          </w:p>
          <w:p w14:paraId="7BAE59C8">
            <w:pPr>
              <w:widowControl/>
              <w:jc w:val="left"/>
              <w:textAlignment w:val="center"/>
              <w:rPr>
                <w:rFonts w:ascii="宋体" w:hAnsi="宋体" w:eastAsia="宋体" w:cs="宋体"/>
                <w:szCs w:val="21"/>
              </w:rPr>
            </w:pPr>
            <w:r>
              <w:rPr>
                <w:rFonts w:hint="eastAsia" w:ascii="宋体" w:hAnsi="宋体" w:eastAsia="宋体" w:cs="宋体"/>
                <w:szCs w:val="21"/>
              </w:rPr>
              <w:t xml:space="preserve">±0.008Abs（0.5 ~ 1A） </w:t>
            </w:r>
          </w:p>
          <w:p w14:paraId="6AB74790">
            <w:pPr>
              <w:widowControl/>
              <w:jc w:val="left"/>
              <w:textAlignment w:val="center"/>
              <w:rPr>
                <w:rFonts w:ascii="宋体" w:hAnsi="宋体" w:eastAsia="宋体" w:cs="宋体"/>
                <w:szCs w:val="21"/>
              </w:rPr>
            </w:pPr>
            <w:r>
              <w:rPr>
                <w:rFonts w:hint="eastAsia" w:ascii="宋体" w:hAnsi="宋体" w:eastAsia="宋体" w:cs="宋体"/>
                <w:szCs w:val="21"/>
              </w:rPr>
              <w:t xml:space="preserve">光度重复性： </w:t>
            </w:r>
          </w:p>
          <w:p w14:paraId="14414D89">
            <w:pPr>
              <w:widowControl/>
              <w:jc w:val="left"/>
              <w:textAlignment w:val="center"/>
              <w:rPr>
                <w:rFonts w:ascii="宋体" w:hAnsi="宋体" w:eastAsia="宋体" w:cs="宋体"/>
                <w:szCs w:val="21"/>
              </w:rPr>
            </w:pPr>
            <w:r>
              <w:rPr>
                <w:rFonts w:hint="eastAsia" w:ascii="宋体" w:hAnsi="宋体" w:eastAsia="宋体" w:cs="宋体"/>
                <w:szCs w:val="21"/>
              </w:rPr>
              <w:t xml:space="preserve">≤0.2%T </w:t>
            </w:r>
          </w:p>
          <w:p w14:paraId="28483BAA">
            <w:pPr>
              <w:widowControl/>
              <w:jc w:val="left"/>
              <w:textAlignment w:val="center"/>
              <w:rPr>
                <w:rFonts w:ascii="宋体" w:hAnsi="宋体" w:eastAsia="宋体" w:cs="宋体"/>
                <w:szCs w:val="21"/>
              </w:rPr>
            </w:pPr>
            <w:r>
              <w:rPr>
                <w:rFonts w:hint="eastAsia" w:ascii="宋体" w:hAnsi="宋体" w:eastAsia="宋体" w:cs="宋体"/>
                <w:szCs w:val="21"/>
              </w:rPr>
              <w:t xml:space="preserve">0.002Abs（0 ~ 0.5A） </w:t>
            </w:r>
          </w:p>
          <w:p w14:paraId="7625B9C1">
            <w:pPr>
              <w:widowControl/>
              <w:jc w:val="left"/>
              <w:textAlignment w:val="center"/>
              <w:rPr>
                <w:rFonts w:ascii="宋体" w:hAnsi="宋体" w:eastAsia="宋体" w:cs="宋体"/>
                <w:szCs w:val="21"/>
              </w:rPr>
            </w:pPr>
            <w:r>
              <w:rPr>
                <w:rFonts w:hint="eastAsia" w:ascii="宋体" w:hAnsi="宋体" w:eastAsia="宋体" w:cs="宋体"/>
                <w:szCs w:val="21"/>
              </w:rPr>
              <w:t xml:space="preserve">0.004Abs（0.5 ~ 1 A） </w:t>
            </w:r>
          </w:p>
          <w:p w14:paraId="55E7CCD0">
            <w:pPr>
              <w:widowControl/>
              <w:numPr>
                <w:ilvl w:val="0"/>
                <w:numId w:val="1"/>
              </w:numPr>
              <w:jc w:val="left"/>
              <w:textAlignment w:val="center"/>
              <w:rPr>
                <w:rFonts w:hint="eastAsia" w:ascii="宋体" w:hAnsi="宋体" w:eastAsia="宋体" w:cs="宋体"/>
                <w:szCs w:val="21"/>
              </w:rPr>
            </w:pPr>
            <w:r>
              <w:rPr>
                <w:rFonts w:hint="eastAsia" w:ascii="宋体" w:hAnsi="宋体" w:eastAsia="宋体" w:cs="宋体"/>
                <w:szCs w:val="21"/>
              </w:rPr>
              <w:t>边缘噪声： ≤0.2% T</w:t>
            </w:r>
          </w:p>
          <w:p w14:paraId="680EB59C">
            <w:pPr>
              <w:widowControl/>
              <w:numPr>
                <w:numId w:val="0"/>
              </w:numPr>
              <w:jc w:val="left"/>
              <w:textAlignment w:val="center"/>
              <w:rPr>
                <w:rFonts w:hint="eastAsia" w:ascii="宋体" w:hAnsi="宋体" w:eastAsia="宋体" w:cs="宋体"/>
                <w:szCs w:val="21"/>
              </w:rPr>
            </w:pPr>
            <w:r>
              <w:rPr>
                <w:rFonts w:hint="eastAsia" w:ascii="宋体" w:hAnsi="宋体" w:eastAsia="宋体" w:cs="宋体"/>
                <w:szCs w:val="21"/>
                <w:lang w:val="en-US" w:eastAsia="zh-CN"/>
              </w:rPr>
              <w:t>13.</w:t>
            </w:r>
            <w:r>
              <w:rPr>
                <w:rFonts w:hint="eastAsia" w:ascii="宋体" w:hAnsi="宋体" w:eastAsia="宋体" w:cs="宋体"/>
                <w:szCs w:val="21"/>
              </w:rPr>
              <w:t>有售后服务承诺书</w:t>
            </w:r>
          </w:p>
        </w:tc>
        <w:tc>
          <w:tcPr>
            <w:tcW w:w="236" w:type="pct"/>
            <w:shd w:val="clear" w:color="auto" w:fill="auto"/>
            <w:vAlign w:val="center"/>
          </w:tcPr>
          <w:p w14:paraId="38A9193C">
            <w:pPr>
              <w:widowControl/>
              <w:jc w:val="center"/>
              <w:textAlignment w:val="center"/>
              <w:rPr>
                <w:rFonts w:ascii="宋体" w:hAnsi="宋体" w:eastAsia="宋体" w:cs="宋体"/>
                <w:szCs w:val="21"/>
              </w:rPr>
            </w:pPr>
            <w:r>
              <w:rPr>
                <w:rFonts w:hint="eastAsia" w:ascii="宋体" w:hAnsi="宋体" w:eastAsia="宋体" w:cs="宋体"/>
                <w:kern w:val="0"/>
                <w:szCs w:val="21"/>
                <w:lang w:bidi="ar"/>
              </w:rPr>
              <w:t>12</w:t>
            </w:r>
          </w:p>
        </w:tc>
        <w:tc>
          <w:tcPr>
            <w:tcW w:w="291" w:type="pct"/>
            <w:shd w:val="clear" w:color="auto" w:fill="auto"/>
            <w:vAlign w:val="center"/>
          </w:tcPr>
          <w:p w14:paraId="4A39EC30">
            <w:pPr>
              <w:widowControl/>
              <w:jc w:val="center"/>
              <w:textAlignment w:val="center"/>
              <w:rPr>
                <w:rFonts w:ascii="宋体" w:hAnsi="宋体" w:eastAsia="宋体" w:cs="宋体"/>
                <w:szCs w:val="21"/>
              </w:rPr>
            </w:pPr>
            <w:r>
              <w:rPr>
                <w:rFonts w:hint="eastAsia" w:ascii="宋体" w:hAnsi="宋体" w:eastAsia="宋体" w:cs="宋体"/>
                <w:szCs w:val="21"/>
              </w:rPr>
              <w:t>台</w:t>
            </w:r>
          </w:p>
        </w:tc>
        <w:tc>
          <w:tcPr>
            <w:tcW w:w="385" w:type="pct"/>
            <w:shd w:val="clear" w:color="auto" w:fill="auto"/>
            <w:vAlign w:val="center"/>
          </w:tcPr>
          <w:p w14:paraId="2B26BBAA">
            <w:pPr>
              <w:widowControl/>
              <w:jc w:val="center"/>
              <w:textAlignment w:val="center"/>
              <w:rPr>
                <w:rFonts w:ascii="宋体" w:hAnsi="宋体" w:eastAsia="宋体" w:cs="宋体"/>
                <w:szCs w:val="21"/>
              </w:rPr>
            </w:pPr>
            <w:r>
              <w:rPr>
                <w:rFonts w:hint="eastAsia" w:ascii="宋体" w:hAnsi="宋体" w:eastAsia="宋体" w:cs="宋体"/>
                <w:szCs w:val="21"/>
              </w:rPr>
              <w:t>2160</w:t>
            </w:r>
          </w:p>
        </w:tc>
        <w:tc>
          <w:tcPr>
            <w:tcW w:w="355" w:type="pct"/>
            <w:shd w:val="clear" w:color="auto" w:fill="auto"/>
            <w:vAlign w:val="center"/>
          </w:tcPr>
          <w:p w14:paraId="07FA3484">
            <w:pPr>
              <w:widowControl/>
              <w:jc w:val="center"/>
              <w:textAlignment w:val="center"/>
              <w:rPr>
                <w:rFonts w:ascii="宋体" w:hAnsi="宋体" w:eastAsia="宋体" w:cs="宋体"/>
                <w:szCs w:val="21"/>
              </w:rPr>
            </w:pPr>
            <w:r>
              <w:rPr>
                <w:rFonts w:hint="eastAsia" w:ascii="宋体" w:hAnsi="宋体" w:eastAsia="宋体" w:cs="宋体"/>
                <w:szCs w:val="21"/>
              </w:rPr>
              <w:t>25920</w:t>
            </w:r>
          </w:p>
        </w:tc>
        <w:tc>
          <w:tcPr>
            <w:tcW w:w="662" w:type="pct"/>
          </w:tcPr>
          <w:p w14:paraId="0908F51C">
            <w:pPr>
              <w:widowControl/>
              <w:jc w:val="center"/>
              <w:textAlignment w:val="center"/>
              <w:rPr>
                <w:rFonts w:ascii="宋体" w:hAnsi="宋体" w:eastAsia="宋体" w:cs="宋体"/>
                <w:szCs w:val="21"/>
              </w:rPr>
            </w:pPr>
          </w:p>
        </w:tc>
      </w:tr>
      <w:tr w14:paraId="187BD7B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650" w:type="pct"/>
            <w:shd w:val="clear" w:color="auto" w:fill="auto"/>
            <w:noWrap/>
            <w:vAlign w:val="center"/>
          </w:tcPr>
          <w:p w14:paraId="2DD28A05">
            <w:pPr>
              <w:jc w:val="center"/>
              <w:rPr>
                <w:rFonts w:ascii="宋体" w:hAnsi="宋体" w:eastAsia="宋体" w:cs="宋体"/>
                <w:szCs w:val="21"/>
              </w:rPr>
            </w:pPr>
          </w:p>
        </w:tc>
        <w:tc>
          <w:tcPr>
            <w:tcW w:w="590" w:type="pct"/>
            <w:shd w:val="clear" w:color="auto" w:fill="auto"/>
            <w:noWrap/>
            <w:vAlign w:val="center"/>
          </w:tcPr>
          <w:p w14:paraId="0105A3E8">
            <w:pPr>
              <w:jc w:val="center"/>
              <w:rPr>
                <w:rFonts w:ascii="宋体" w:hAnsi="宋体" w:eastAsia="宋体" w:cs="宋体"/>
                <w:szCs w:val="21"/>
              </w:rPr>
            </w:pPr>
          </w:p>
        </w:tc>
        <w:tc>
          <w:tcPr>
            <w:tcW w:w="1827" w:type="pct"/>
            <w:shd w:val="clear" w:color="auto" w:fill="auto"/>
            <w:noWrap/>
            <w:vAlign w:val="bottom"/>
          </w:tcPr>
          <w:p w14:paraId="1C06CC72">
            <w:pPr>
              <w:rPr>
                <w:rFonts w:ascii="宋体" w:hAnsi="宋体" w:eastAsia="宋体" w:cs="宋体"/>
                <w:szCs w:val="21"/>
              </w:rPr>
            </w:pPr>
          </w:p>
        </w:tc>
        <w:tc>
          <w:tcPr>
            <w:tcW w:w="236" w:type="pct"/>
            <w:shd w:val="clear" w:color="auto" w:fill="auto"/>
            <w:vAlign w:val="center"/>
          </w:tcPr>
          <w:p w14:paraId="4BDDE111">
            <w:pPr>
              <w:jc w:val="center"/>
              <w:rPr>
                <w:rFonts w:ascii="宋体" w:hAnsi="宋体" w:eastAsia="宋体" w:cs="宋体"/>
                <w:szCs w:val="21"/>
              </w:rPr>
            </w:pPr>
          </w:p>
        </w:tc>
        <w:tc>
          <w:tcPr>
            <w:tcW w:w="291" w:type="pct"/>
            <w:shd w:val="clear" w:color="auto" w:fill="auto"/>
            <w:vAlign w:val="center"/>
          </w:tcPr>
          <w:p w14:paraId="1A103719">
            <w:pPr>
              <w:jc w:val="center"/>
              <w:rPr>
                <w:rFonts w:ascii="宋体" w:hAnsi="宋体" w:eastAsia="宋体" w:cs="宋体"/>
                <w:szCs w:val="21"/>
              </w:rPr>
            </w:pPr>
          </w:p>
        </w:tc>
        <w:tc>
          <w:tcPr>
            <w:tcW w:w="385" w:type="pct"/>
            <w:shd w:val="clear" w:color="auto" w:fill="auto"/>
            <w:noWrap/>
            <w:vAlign w:val="center"/>
          </w:tcPr>
          <w:p w14:paraId="7B1E7F76">
            <w:pPr>
              <w:widowControl/>
              <w:jc w:val="center"/>
              <w:textAlignment w:val="center"/>
              <w:rPr>
                <w:rFonts w:ascii="宋体" w:hAnsi="宋体" w:eastAsia="宋体" w:cs="宋体"/>
                <w:szCs w:val="21"/>
              </w:rPr>
            </w:pPr>
            <w:r>
              <w:rPr>
                <w:rFonts w:hint="eastAsia" w:ascii="宋体" w:hAnsi="宋体" w:eastAsia="宋体" w:cs="宋体"/>
                <w:kern w:val="0"/>
                <w:szCs w:val="21"/>
                <w:lang w:bidi="ar"/>
              </w:rPr>
              <w:t>合计</w:t>
            </w:r>
          </w:p>
        </w:tc>
        <w:tc>
          <w:tcPr>
            <w:tcW w:w="355" w:type="pct"/>
            <w:shd w:val="clear" w:color="auto" w:fill="auto"/>
            <w:vAlign w:val="center"/>
          </w:tcPr>
          <w:p w14:paraId="5C0CD9B6">
            <w:pPr>
              <w:widowControl/>
              <w:jc w:val="center"/>
              <w:textAlignment w:val="center"/>
              <w:rPr>
                <w:rFonts w:ascii="宋体" w:hAnsi="宋体" w:eastAsia="宋体" w:cs="宋体"/>
                <w:szCs w:val="21"/>
              </w:rPr>
            </w:pPr>
            <w:r>
              <w:rPr>
                <w:rFonts w:hint="eastAsia" w:ascii="宋体" w:hAnsi="宋体" w:eastAsia="宋体" w:cs="宋体"/>
                <w:szCs w:val="21"/>
              </w:rPr>
              <w:t>105420</w:t>
            </w:r>
          </w:p>
        </w:tc>
        <w:tc>
          <w:tcPr>
            <w:tcW w:w="662" w:type="pct"/>
          </w:tcPr>
          <w:p w14:paraId="71448A94">
            <w:pPr>
              <w:widowControl/>
              <w:jc w:val="center"/>
              <w:textAlignment w:val="center"/>
              <w:rPr>
                <w:rFonts w:ascii="宋体" w:hAnsi="宋体" w:eastAsia="宋体" w:cs="宋体"/>
                <w:szCs w:val="21"/>
              </w:rPr>
            </w:pPr>
          </w:p>
        </w:tc>
      </w:tr>
    </w:tbl>
    <w:p w14:paraId="620FC486">
      <w:pPr>
        <w:widowControl/>
        <w:spacing w:line="360" w:lineRule="auto"/>
        <w:ind w:firstLine="480" w:firstLineChars="200"/>
        <w:jc w:val="left"/>
        <w:rPr>
          <w:rFonts w:ascii="宋体" w:hAnsi="宋体" w:eastAsia="宋体" w:cs="宋体"/>
          <w:b/>
          <w:bCs/>
          <w:sz w:val="24"/>
          <w:szCs w:val="24"/>
        </w:rPr>
      </w:pPr>
    </w:p>
    <w:p w14:paraId="11F32D3D">
      <w:pPr>
        <w:widowControl/>
        <w:spacing w:line="360" w:lineRule="auto"/>
        <w:ind w:firstLine="480" w:firstLineChars="200"/>
        <w:jc w:val="left"/>
        <w:rPr>
          <w:rFonts w:ascii="宋体" w:hAnsi="宋体" w:eastAsia="宋体" w:cs="宋体"/>
          <w:b/>
          <w:bCs/>
          <w:sz w:val="24"/>
          <w:szCs w:val="24"/>
        </w:rPr>
      </w:pPr>
      <w:r>
        <w:rPr>
          <w:rFonts w:hint="eastAsia" w:ascii="宋体" w:hAnsi="宋体" w:eastAsia="宋体" w:cs="宋体"/>
          <w:b/>
          <w:bCs/>
          <w:sz w:val="24"/>
          <w:szCs w:val="24"/>
        </w:rPr>
        <w:t>一、商务要求：</w:t>
      </w:r>
    </w:p>
    <w:p w14:paraId="391B277F">
      <w:pPr>
        <w:numPr>
          <w:ilvl w:val="0"/>
          <w:numId w:val="2"/>
        </w:numPr>
        <w:spacing w:line="360" w:lineRule="auto"/>
        <w:ind w:firstLine="480" w:firstLineChars="200"/>
        <w:jc w:val="left"/>
        <w:rPr>
          <w:rFonts w:ascii="Calibri" w:hAnsi="Calibri" w:eastAsia="宋体" w:cs="Times New Roman"/>
          <w:sz w:val="24"/>
          <w:szCs w:val="24"/>
        </w:rPr>
      </w:pPr>
      <w:bookmarkStart w:id="0" w:name="_Toc15186"/>
      <w:bookmarkStart w:id="1" w:name="_Toc30041"/>
      <w:bookmarkStart w:id="2" w:name="_Toc10711"/>
      <w:bookmarkStart w:id="3" w:name="_Toc23392"/>
      <w:bookmarkStart w:id="4" w:name="_Toc29121"/>
      <w:r>
        <w:rPr>
          <w:rFonts w:hint="eastAsia" w:ascii="Calibri" w:hAnsi="Calibri" w:eastAsia="宋体" w:cs="Times New Roman"/>
          <w:sz w:val="24"/>
          <w:szCs w:val="24"/>
        </w:rPr>
        <w:t>供应商应保证货物是已定型上市销售的全新、原产地、原包装、手续合法完整、渠道正规的产品，其包装必须原封箱，内附的保修卡、说明书必须</w:t>
      </w:r>
      <w:r>
        <w:rPr>
          <w:rFonts w:hint="eastAsia" w:ascii="Calibri" w:hAnsi="Calibri" w:eastAsia="宋体" w:cs="Times New Roman"/>
          <w:color w:val="auto"/>
          <w:sz w:val="24"/>
          <w:szCs w:val="24"/>
        </w:rPr>
        <w:t>齐全。产品保修按照国家三包政策和合同规定要求，质保期一年。</w:t>
      </w:r>
    </w:p>
    <w:p w14:paraId="61C6FEAA">
      <w:pPr>
        <w:numPr>
          <w:ilvl w:val="0"/>
          <w:numId w:val="2"/>
        </w:numPr>
        <w:spacing w:line="360" w:lineRule="auto"/>
        <w:ind w:firstLine="480" w:firstLineChars="200"/>
        <w:jc w:val="left"/>
        <w:rPr>
          <w:rFonts w:ascii="Calibri" w:hAnsi="Calibri" w:eastAsia="宋体" w:cs="Times New Roman"/>
          <w:sz w:val="24"/>
          <w:szCs w:val="24"/>
        </w:rPr>
      </w:pPr>
      <w:r>
        <w:rPr>
          <w:rFonts w:hint="eastAsia"/>
          <w:sz w:val="24"/>
          <w:szCs w:val="24"/>
        </w:rPr>
        <w:t>推荐品牌的品目，所投产品需在推荐品牌范围内，否则，投标无效。</w:t>
      </w:r>
    </w:p>
    <w:p w14:paraId="59AF4E0C">
      <w:pPr>
        <w:numPr>
          <w:ilvl w:val="0"/>
          <w:numId w:val="2"/>
        </w:numPr>
        <w:spacing w:line="360" w:lineRule="auto"/>
        <w:ind w:firstLine="480" w:firstLineChars="200"/>
        <w:jc w:val="left"/>
        <w:rPr>
          <w:rFonts w:ascii="Calibri" w:hAnsi="Calibri" w:eastAsia="宋体" w:cs="Times New Roman"/>
          <w:sz w:val="24"/>
          <w:szCs w:val="24"/>
        </w:rPr>
      </w:pPr>
      <w:r>
        <w:rPr>
          <w:rFonts w:hint="eastAsia" w:ascii="Calibri" w:hAnsi="Calibri" w:eastAsia="宋体" w:cs="Times New Roman"/>
          <w:sz w:val="24"/>
          <w:szCs w:val="24"/>
        </w:rPr>
        <w:t>严格按照参数清单配送，商品出现任何问题无条件更换。按采购人要求，按质如期完成该项目。供应商保证其所提供的货物产品必须与招标文件中所确定项目一致，供应商保证其所提供的货物产品必须与招标文件要求完全一致。</w:t>
      </w:r>
    </w:p>
    <w:p w14:paraId="3551F5C1">
      <w:pPr>
        <w:numPr>
          <w:ilvl w:val="0"/>
          <w:numId w:val="2"/>
        </w:numPr>
        <w:spacing w:line="360" w:lineRule="auto"/>
        <w:ind w:firstLine="480" w:firstLineChars="200"/>
        <w:jc w:val="left"/>
        <w:rPr>
          <w:rFonts w:ascii="Calibri" w:hAnsi="Calibri" w:eastAsia="宋体" w:cs="Times New Roman"/>
          <w:sz w:val="24"/>
          <w:szCs w:val="24"/>
        </w:rPr>
      </w:pPr>
      <w:r>
        <w:rPr>
          <w:rFonts w:hint="eastAsia" w:ascii="Calibri" w:hAnsi="Calibri" w:eastAsia="宋体" w:cs="Times New Roman"/>
          <w:sz w:val="24"/>
          <w:szCs w:val="24"/>
        </w:rPr>
        <w:t>项目采购产品的最终验收以采购人验收通过为准，验收合格后，项目采购产品移交采购人。</w:t>
      </w:r>
    </w:p>
    <w:p w14:paraId="244DCD53">
      <w:pPr>
        <w:numPr>
          <w:ilvl w:val="0"/>
          <w:numId w:val="2"/>
        </w:numPr>
        <w:spacing w:line="360" w:lineRule="auto"/>
        <w:ind w:firstLine="480" w:firstLineChars="200"/>
        <w:jc w:val="left"/>
        <w:rPr>
          <w:rFonts w:ascii="Calibri" w:hAnsi="Calibri" w:eastAsia="宋体" w:cs="Times New Roman"/>
          <w:sz w:val="24"/>
          <w:szCs w:val="24"/>
        </w:rPr>
      </w:pPr>
      <w:r>
        <w:rPr>
          <w:rFonts w:hint="eastAsia" w:ascii="Calibri" w:hAnsi="Calibri" w:eastAsia="宋体" w:cs="Times New Roman"/>
          <w:sz w:val="24"/>
          <w:szCs w:val="24"/>
        </w:rPr>
        <w:t>供应商需承担货物送达过程中可能出现的其他费用（包括运输费、人工费、因货物损坏或规格不对而出现的退换运费等）；</w:t>
      </w:r>
    </w:p>
    <w:p w14:paraId="57CAA552">
      <w:pPr>
        <w:numPr>
          <w:ilvl w:val="0"/>
          <w:numId w:val="2"/>
        </w:numPr>
        <w:spacing w:line="360" w:lineRule="auto"/>
        <w:ind w:firstLine="480" w:firstLineChars="200"/>
        <w:jc w:val="left"/>
        <w:rPr>
          <w:rFonts w:ascii="Calibri" w:hAnsi="Calibri" w:eastAsia="宋体" w:cs="Times New Roman"/>
          <w:sz w:val="24"/>
          <w:szCs w:val="24"/>
        </w:rPr>
      </w:pPr>
      <w:r>
        <w:rPr>
          <w:rFonts w:hint="eastAsia" w:ascii="Calibri" w:hAnsi="Calibri" w:eastAsia="宋体" w:cs="Times New Roman"/>
          <w:sz w:val="24"/>
          <w:szCs w:val="24"/>
        </w:rPr>
        <w:t>应保证所提供的货物或其任何一部分均不会侵犯任何第三方的知识产权。</w:t>
      </w:r>
    </w:p>
    <w:p w14:paraId="7ECFBF3C">
      <w:pPr>
        <w:numPr>
          <w:ilvl w:val="0"/>
          <w:numId w:val="2"/>
        </w:numPr>
        <w:spacing w:line="360" w:lineRule="auto"/>
        <w:ind w:firstLine="480" w:firstLineChars="200"/>
        <w:jc w:val="left"/>
        <w:rPr>
          <w:rFonts w:ascii="Calibri" w:hAnsi="Calibri" w:eastAsia="宋体" w:cs="Times New Roman"/>
          <w:sz w:val="24"/>
          <w:szCs w:val="24"/>
        </w:rPr>
      </w:pPr>
      <w:r>
        <w:rPr>
          <w:rFonts w:hint="eastAsia" w:ascii="Calibri" w:hAnsi="Calibri" w:eastAsia="宋体" w:cs="Times New Roman"/>
          <w:sz w:val="24"/>
          <w:szCs w:val="24"/>
        </w:rPr>
        <w:t>未尽事宜按国家行业相关标准执行</w:t>
      </w:r>
    </w:p>
    <w:p w14:paraId="52935F9A">
      <w:pPr>
        <w:numPr>
          <w:ilvl w:val="0"/>
          <w:numId w:val="2"/>
        </w:numPr>
        <w:spacing w:line="360" w:lineRule="auto"/>
        <w:ind w:firstLine="480" w:firstLineChars="200"/>
        <w:jc w:val="left"/>
        <w:rPr>
          <w:rFonts w:ascii="Calibri" w:hAnsi="Calibri" w:eastAsia="宋体" w:cs="Times New Roman"/>
          <w:sz w:val="24"/>
          <w:szCs w:val="24"/>
        </w:rPr>
      </w:pPr>
      <w:r>
        <w:rPr>
          <w:rFonts w:hint="eastAsia" w:ascii="Calibri" w:hAnsi="Calibri" w:eastAsia="宋体" w:cs="Times New Roman"/>
          <w:sz w:val="24"/>
          <w:szCs w:val="24"/>
        </w:rPr>
        <w:t>其他未尽事项：双方协商解决。</w:t>
      </w:r>
    </w:p>
    <w:p w14:paraId="7AC76A43">
      <w:pPr>
        <w:spacing w:after="120" w:line="360" w:lineRule="auto"/>
        <w:ind w:firstLine="480" w:firstLineChars="200"/>
        <w:outlineLvl w:val="1"/>
        <w:rPr>
          <w:rFonts w:ascii="宋体" w:hAnsi="宋体" w:eastAsia="宋体" w:cs="宋体"/>
          <w:b/>
          <w:bCs/>
          <w:sz w:val="24"/>
          <w:szCs w:val="24"/>
        </w:rPr>
      </w:pPr>
      <w:r>
        <w:rPr>
          <w:rFonts w:hint="eastAsia" w:ascii="宋体" w:hAnsi="宋体" w:eastAsia="宋体" w:cs="宋体"/>
          <w:b/>
          <w:bCs/>
          <w:sz w:val="24"/>
          <w:szCs w:val="24"/>
        </w:rPr>
        <w:t>二、交付时间和地点</w:t>
      </w:r>
      <w:bookmarkEnd w:id="0"/>
      <w:bookmarkEnd w:id="1"/>
      <w:bookmarkEnd w:id="2"/>
      <w:bookmarkEnd w:id="3"/>
      <w:bookmarkEnd w:id="4"/>
    </w:p>
    <w:p w14:paraId="4F448BF1">
      <w:pPr>
        <w:adjustRightInd w:val="0"/>
        <w:snapToGrid w:val="0"/>
        <w:spacing w:line="360" w:lineRule="auto"/>
        <w:ind w:firstLine="480" w:firstLineChars="200"/>
        <w:rPr>
          <w:rFonts w:ascii="宋体" w:hAnsi="宋体" w:eastAsia="宋体" w:cs="宋体"/>
          <w:iCs/>
          <w:sz w:val="24"/>
          <w:szCs w:val="24"/>
        </w:rPr>
      </w:pPr>
      <w:r>
        <w:rPr>
          <w:rFonts w:hint="eastAsia" w:ascii="宋体" w:hAnsi="宋体" w:eastAsia="宋体" w:cs="宋体"/>
          <w:iCs/>
          <w:sz w:val="24"/>
          <w:szCs w:val="24"/>
        </w:rPr>
        <w:t>1、交货时间：合同签订后7日内完成交货。</w:t>
      </w:r>
    </w:p>
    <w:p w14:paraId="13B98348">
      <w:pPr>
        <w:adjustRightInd w:val="0"/>
        <w:snapToGrid w:val="0"/>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w:t>2、交货地点：</w:t>
      </w:r>
      <w:r>
        <w:rPr>
          <w:rFonts w:hint="eastAsia" w:ascii="宋体" w:hAnsi="宋体" w:eastAsia="宋体" w:cs="宋体"/>
          <w:iCs/>
          <w:sz w:val="24"/>
          <w:szCs w:val="24"/>
        </w:rPr>
        <w:t>根据采购人的要求送至指定地点，收货人信息在中标后由采购人提供</w:t>
      </w:r>
      <w:r>
        <w:rPr>
          <w:rFonts w:hint="eastAsia" w:ascii="宋体" w:hAnsi="宋体" w:eastAsia="宋体" w:cs="宋体"/>
          <w:sz w:val="24"/>
          <w:szCs w:val="24"/>
        </w:rPr>
        <w:t>。</w:t>
      </w:r>
    </w:p>
    <w:p w14:paraId="4EEE15C1">
      <w:pPr>
        <w:spacing w:line="360" w:lineRule="auto"/>
        <w:ind w:firstLine="480" w:firstLineChars="200"/>
        <w:rPr>
          <w:rFonts w:ascii="宋体" w:hAnsi="宋体" w:eastAsia="宋体" w:cs="宋体"/>
          <w:sz w:val="24"/>
          <w:szCs w:val="24"/>
          <w:lang w:val="zh-CN"/>
        </w:rPr>
      </w:pPr>
      <w:r>
        <w:rPr>
          <w:rFonts w:hint="eastAsia" w:ascii="宋体" w:hAnsi="宋体" w:eastAsia="宋体" w:cs="宋体"/>
          <w:sz w:val="24"/>
          <w:szCs w:val="24"/>
        </w:rPr>
        <w:t>3、</w:t>
      </w:r>
      <w:r>
        <w:rPr>
          <w:rFonts w:hint="eastAsia" w:ascii="宋体" w:hAnsi="宋体" w:eastAsia="宋体" w:cs="宋体"/>
          <w:sz w:val="24"/>
          <w:szCs w:val="24"/>
          <w:lang w:val="zh-CN"/>
        </w:rPr>
        <w:t>交货方式：中标供应商将货物免费运至交货地点并安装调试直至验收合格。</w:t>
      </w:r>
    </w:p>
    <w:p w14:paraId="1EC57A96">
      <w:pPr>
        <w:spacing w:after="120" w:line="360" w:lineRule="auto"/>
        <w:ind w:firstLine="470" w:firstLineChars="196"/>
        <w:outlineLvl w:val="1"/>
        <w:rPr>
          <w:rFonts w:ascii="宋体" w:hAnsi="宋体" w:eastAsia="宋体" w:cs="宋体"/>
          <w:b/>
          <w:bCs/>
          <w:sz w:val="24"/>
          <w:szCs w:val="24"/>
        </w:rPr>
      </w:pPr>
      <w:bookmarkStart w:id="5" w:name="_Toc21032"/>
      <w:bookmarkStart w:id="6" w:name="_Toc5272"/>
      <w:bookmarkStart w:id="7" w:name="_Toc20621"/>
      <w:bookmarkStart w:id="8" w:name="_Toc23356"/>
      <w:bookmarkStart w:id="9" w:name="_Toc13025"/>
      <w:r>
        <w:rPr>
          <w:rFonts w:hint="eastAsia" w:ascii="宋体" w:hAnsi="宋体" w:eastAsia="宋体" w:cs="宋体"/>
          <w:b/>
          <w:bCs/>
          <w:sz w:val="24"/>
          <w:szCs w:val="24"/>
        </w:rPr>
        <w:t>三、其他要求：</w:t>
      </w:r>
    </w:p>
    <w:bookmarkEnd w:id="5"/>
    <w:bookmarkEnd w:id="6"/>
    <w:bookmarkEnd w:id="7"/>
    <w:bookmarkEnd w:id="8"/>
    <w:bookmarkEnd w:id="9"/>
    <w:p w14:paraId="18FC8E6F">
      <w:pPr>
        <w:widowControl/>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 xml:space="preserve">1、验收标准采购按照相关规定对项目进行验收，在厂商网站上输入设备型号，必须能查询到对应产品。所有机器经开箱、开机验货保证原装整机后安装调试好再收货，否则拒收，接受第三方验货。 </w:t>
      </w:r>
    </w:p>
    <w:p w14:paraId="53ACF37D">
      <w:pPr>
        <w:widowControl/>
        <w:spacing w:line="360" w:lineRule="auto"/>
        <w:ind w:firstLine="480" w:firstLineChars="200"/>
        <w:jc w:val="left"/>
        <w:rPr>
          <w:rFonts w:ascii="宋体" w:hAnsi="宋体" w:eastAsia="宋体" w:cs="宋体"/>
          <w:sz w:val="24"/>
          <w:szCs w:val="24"/>
        </w:rPr>
      </w:pPr>
      <w:bookmarkStart w:id="10" w:name="_Toc26630"/>
      <w:bookmarkStart w:id="11" w:name="_Toc10749"/>
      <w:bookmarkStart w:id="12" w:name="_Toc9622"/>
      <w:bookmarkStart w:id="13" w:name="_Toc1345"/>
      <w:bookmarkStart w:id="14" w:name="_Toc263"/>
      <w:r>
        <w:rPr>
          <w:rFonts w:hint="eastAsia" w:ascii="宋体" w:hAnsi="宋体" w:eastAsia="宋体" w:cs="宋体"/>
          <w:sz w:val="24"/>
          <w:szCs w:val="24"/>
        </w:rPr>
        <w:t>2、培训要求</w:t>
      </w:r>
      <w:bookmarkEnd w:id="10"/>
      <w:bookmarkEnd w:id="11"/>
      <w:bookmarkEnd w:id="12"/>
      <w:bookmarkEnd w:id="13"/>
      <w:bookmarkEnd w:id="14"/>
      <w:r>
        <w:rPr>
          <w:rFonts w:hint="eastAsia" w:ascii="宋体" w:hAnsi="宋体" w:eastAsia="宋体" w:cs="宋体"/>
          <w:sz w:val="24"/>
          <w:szCs w:val="24"/>
        </w:rPr>
        <w:t>：中标人应按采购人要求，负责对指定对象进行培训，让操作管理及维护人员达到熟练掌握产品性能，能及时排除一般故障的程度。</w:t>
      </w:r>
    </w:p>
    <w:p w14:paraId="2D05F294">
      <w:pPr>
        <w:widowControl/>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3、本项目采用费用包干方式建设，投标人应根据项目要求和现场情况，以及产品运输保险保管、质保期免费保修维护等所有人工、管理、财务等费用，在项目实施中出现任何遗漏，均由成交人免费提供，采购人不再支付任何费用。</w:t>
      </w:r>
    </w:p>
    <w:p w14:paraId="2AF1E547">
      <w:pPr>
        <w:widowControl/>
        <w:spacing w:line="360" w:lineRule="auto"/>
        <w:ind w:firstLine="480" w:firstLineChars="200"/>
        <w:jc w:val="left"/>
        <w:rPr>
          <w:rFonts w:ascii="宋体" w:hAnsi="宋体" w:eastAsia="宋体" w:cs="宋体"/>
          <w:sz w:val="24"/>
          <w:szCs w:val="24"/>
        </w:rPr>
      </w:pPr>
      <w:r>
        <w:rPr>
          <w:rFonts w:hint="eastAsia" w:ascii="宋体" w:hAnsi="宋体" w:eastAsia="宋体" w:cs="宋体"/>
          <w:sz w:val="24"/>
          <w:szCs w:val="24"/>
        </w:rPr>
        <w:t>4、付款方式</w:t>
      </w:r>
      <w:r>
        <w:rPr>
          <w:rFonts w:hint="eastAsia" w:ascii="宋体" w:hAnsi="宋体" w:eastAsia="宋体" w:cs="宋体"/>
          <w:color w:val="auto"/>
          <w:sz w:val="24"/>
          <w:szCs w:val="24"/>
        </w:rPr>
        <w:t>：项目验收合格后凭用户的验收证明单，乙方出具的相关票据支付合同总额的95%；验收合格一年后无质量问题无息支付合同总价款的5%。</w:t>
      </w:r>
    </w:p>
    <w:sectPr>
      <w:pgSz w:w="16838" w:h="11906" w:orient="landscape"/>
      <w:pgMar w:top="1797" w:right="1440" w:bottom="1797" w:left="144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C304B8"/>
    <w:multiLevelType w:val="singleLevel"/>
    <w:tmpl w:val="0FC304B8"/>
    <w:lvl w:ilvl="0" w:tentative="0">
      <w:start w:val="1"/>
      <w:numFmt w:val="decimal"/>
      <w:suff w:val="nothing"/>
      <w:lvlText w:val="%1、"/>
      <w:lvlJc w:val="left"/>
    </w:lvl>
  </w:abstractNum>
  <w:abstractNum w:abstractNumId="1">
    <w:nsid w:val="330436A8"/>
    <w:multiLevelType w:val="singleLevel"/>
    <w:tmpl w:val="330436A8"/>
    <w:lvl w:ilvl="0" w:tentative="0">
      <w:start w:val="12"/>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NkNGE5MWNlNDkzNTg4NjBlMGVmZjQwOGY3ZWViODgifQ=="/>
  </w:docVars>
  <w:rsids>
    <w:rsidRoot w:val="00F261E2"/>
    <w:rsid w:val="0000266E"/>
    <w:rsid w:val="00030939"/>
    <w:rsid w:val="00033570"/>
    <w:rsid w:val="0005226A"/>
    <w:rsid w:val="00057E5D"/>
    <w:rsid w:val="000624A2"/>
    <w:rsid w:val="00074DA1"/>
    <w:rsid w:val="00091D72"/>
    <w:rsid w:val="000948BE"/>
    <w:rsid w:val="000A0DA2"/>
    <w:rsid w:val="000A7FFE"/>
    <w:rsid w:val="000D24E8"/>
    <w:rsid w:val="000E657C"/>
    <w:rsid w:val="000F2971"/>
    <w:rsid w:val="00163D7A"/>
    <w:rsid w:val="00165507"/>
    <w:rsid w:val="00170BBD"/>
    <w:rsid w:val="0019532C"/>
    <w:rsid w:val="001A3572"/>
    <w:rsid w:val="001F59C7"/>
    <w:rsid w:val="00250E2A"/>
    <w:rsid w:val="00294329"/>
    <w:rsid w:val="00297E77"/>
    <w:rsid w:val="002A67F2"/>
    <w:rsid w:val="002F1631"/>
    <w:rsid w:val="003162FF"/>
    <w:rsid w:val="00324E77"/>
    <w:rsid w:val="003277C8"/>
    <w:rsid w:val="00330954"/>
    <w:rsid w:val="00335DF2"/>
    <w:rsid w:val="00361B1E"/>
    <w:rsid w:val="00363A13"/>
    <w:rsid w:val="00367C63"/>
    <w:rsid w:val="003766F3"/>
    <w:rsid w:val="003876E8"/>
    <w:rsid w:val="00390DDD"/>
    <w:rsid w:val="003B28BD"/>
    <w:rsid w:val="003B61E3"/>
    <w:rsid w:val="0040483D"/>
    <w:rsid w:val="00431CB0"/>
    <w:rsid w:val="00441D37"/>
    <w:rsid w:val="00444670"/>
    <w:rsid w:val="00451BD0"/>
    <w:rsid w:val="00451F38"/>
    <w:rsid w:val="0047651E"/>
    <w:rsid w:val="00476C05"/>
    <w:rsid w:val="004B00CF"/>
    <w:rsid w:val="004B02D8"/>
    <w:rsid w:val="004B24B8"/>
    <w:rsid w:val="004D1691"/>
    <w:rsid w:val="004D2DD3"/>
    <w:rsid w:val="004E10CC"/>
    <w:rsid w:val="004E4279"/>
    <w:rsid w:val="005544C5"/>
    <w:rsid w:val="00567402"/>
    <w:rsid w:val="005767A0"/>
    <w:rsid w:val="00582004"/>
    <w:rsid w:val="00583DAE"/>
    <w:rsid w:val="005A42D8"/>
    <w:rsid w:val="005B07BA"/>
    <w:rsid w:val="005B0E9D"/>
    <w:rsid w:val="005B28A1"/>
    <w:rsid w:val="005F7314"/>
    <w:rsid w:val="00604B90"/>
    <w:rsid w:val="00647478"/>
    <w:rsid w:val="006629CA"/>
    <w:rsid w:val="0068020F"/>
    <w:rsid w:val="00680555"/>
    <w:rsid w:val="006A0472"/>
    <w:rsid w:val="006B58E2"/>
    <w:rsid w:val="006E0CA2"/>
    <w:rsid w:val="006F005F"/>
    <w:rsid w:val="006F3707"/>
    <w:rsid w:val="006F487A"/>
    <w:rsid w:val="00716FF7"/>
    <w:rsid w:val="007218A1"/>
    <w:rsid w:val="00760B69"/>
    <w:rsid w:val="00764ADE"/>
    <w:rsid w:val="00764FD2"/>
    <w:rsid w:val="00774661"/>
    <w:rsid w:val="008006E7"/>
    <w:rsid w:val="008067EE"/>
    <w:rsid w:val="00823135"/>
    <w:rsid w:val="00834420"/>
    <w:rsid w:val="00840E1E"/>
    <w:rsid w:val="00845642"/>
    <w:rsid w:val="00853D42"/>
    <w:rsid w:val="00855137"/>
    <w:rsid w:val="00857EB9"/>
    <w:rsid w:val="008A53F6"/>
    <w:rsid w:val="008A7A2A"/>
    <w:rsid w:val="008B1293"/>
    <w:rsid w:val="008B4F0E"/>
    <w:rsid w:val="009116BD"/>
    <w:rsid w:val="009452CD"/>
    <w:rsid w:val="00974006"/>
    <w:rsid w:val="00997FCE"/>
    <w:rsid w:val="009A7572"/>
    <w:rsid w:val="009C57B0"/>
    <w:rsid w:val="009D2428"/>
    <w:rsid w:val="009D3C87"/>
    <w:rsid w:val="009D7AA2"/>
    <w:rsid w:val="009F3DAC"/>
    <w:rsid w:val="009F576E"/>
    <w:rsid w:val="00A0089C"/>
    <w:rsid w:val="00A016F3"/>
    <w:rsid w:val="00A229AB"/>
    <w:rsid w:val="00A42252"/>
    <w:rsid w:val="00A505E8"/>
    <w:rsid w:val="00A7150E"/>
    <w:rsid w:val="00A71AC4"/>
    <w:rsid w:val="00A77F45"/>
    <w:rsid w:val="00AC559B"/>
    <w:rsid w:val="00AD0E67"/>
    <w:rsid w:val="00AF6C2E"/>
    <w:rsid w:val="00B06E3C"/>
    <w:rsid w:val="00B25DE3"/>
    <w:rsid w:val="00B42163"/>
    <w:rsid w:val="00B53357"/>
    <w:rsid w:val="00B549BA"/>
    <w:rsid w:val="00B62816"/>
    <w:rsid w:val="00B86042"/>
    <w:rsid w:val="00B92614"/>
    <w:rsid w:val="00BA2687"/>
    <w:rsid w:val="00BA679E"/>
    <w:rsid w:val="00BD6924"/>
    <w:rsid w:val="00C41ADB"/>
    <w:rsid w:val="00C732F6"/>
    <w:rsid w:val="00C839F3"/>
    <w:rsid w:val="00C91DBB"/>
    <w:rsid w:val="00CA4959"/>
    <w:rsid w:val="00CA4990"/>
    <w:rsid w:val="00CC0B34"/>
    <w:rsid w:val="00CF0713"/>
    <w:rsid w:val="00CF558B"/>
    <w:rsid w:val="00D11128"/>
    <w:rsid w:val="00D17C62"/>
    <w:rsid w:val="00D457BB"/>
    <w:rsid w:val="00D77295"/>
    <w:rsid w:val="00D91295"/>
    <w:rsid w:val="00D95B22"/>
    <w:rsid w:val="00DA16E6"/>
    <w:rsid w:val="00DA1DAB"/>
    <w:rsid w:val="00DB01DD"/>
    <w:rsid w:val="00DB0240"/>
    <w:rsid w:val="00DC25FD"/>
    <w:rsid w:val="00DC3E0F"/>
    <w:rsid w:val="00DC74CD"/>
    <w:rsid w:val="00DE58F7"/>
    <w:rsid w:val="00E3697E"/>
    <w:rsid w:val="00E50F5B"/>
    <w:rsid w:val="00E6238E"/>
    <w:rsid w:val="00E62B5E"/>
    <w:rsid w:val="00E8089B"/>
    <w:rsid w:val="00E93E73"/>
    <w:rsid w:val="00E96BFA"/>
    <w:rsid w:val="00ED25CF"/>
    <w:rsid w:val="00EE47E7"/>
    <w:rsid w:val="00EE7F79"/>
    <w:rsid w:val="00EF0DCD"/>
    <w:rsid w:val="00EF5131"/>
    <w:rsid w:val="00F17125"/>
    <w:rsid w:val="00F261E2"/>
    <w:rsid w:val="00F42B48"/>
    <w:rsid w:val="00F54E7C"/>
    <w:rsid w:val="00F66661"/>
    <w:rsid w:val="00F73163"/>
    <w:rsid w:val="00FA0194"/>
    <w:rsid w:val="00FB30B4"/>
    <w:rsid w:val="00FB68F4"/>
    <w:rsid w:val="00FC5D9A"/>
    <w:rsid w:val="00FD7805"/>
    <w:rsid w:val="00FF33E3"/>
    <w:rsid w:val="00FF3755"/>
    <w:rsid w:val="032B6C3A"/>
    <w:rsid w:val="0661309E"/>
    <w:rsid w:val="09061CDB"/>
    <w:rsid w:val="09575477"/>
    <w:rsid w:val="0A01771F"/>
    <w:rsid w:val="0A2144BB"/>
    <w:rsid w:val="0B3B4A56"/>
    <w:rsid w:val="109744C1"/>
    <w:rsid w:val="143A05F4"/>
    <w:rsid w:val="151150DD"/>
    <w:rsid w:val="1876405C"/>
    <w:rsid w:val="21ED35E0"/>
    <w:rsid w:val="22045ECF"/>
    <w:rsid w:val="294066EC"/>
    <w:rsid w:val="2C713A82"/>
    <w:rsid w:val="2CE33F5E"/>
    <w:rsid w:val="312B5046"/>
    <w:rsid w:val="31BD0395"/>
    <w:rsid w:val="3A30770F"/>
    <w:rsid w:val="3F623EE4"/>
    <w:rsid w:val="40443A0A"/>
    <w:rsid w:val="407C22A8"/>
    <w:rsid w:val="40C8729B"/>
    <w:rsid w:val="45050ABD"/>
    <w:rsid w:val="455410FD"/>
    <w:rsid w:val="484D14FE"/>
    <w:rsid w:val="4A036392"/>
    <w:rsid w:val="4FB3027B"/>
    <w:rsid w:val="50DB567F"/>
    <w:rsid w:val="52C8137C"/>
    <w:rsid w:val="57B97FAE"/>
    <w:rsid w:val="5AC3356F"/>
    <w:rsid w:val="5D916F3A"/>
    <w:rsid w:val="62BA7FE7"/>
    <w:rsid w:val="65C21C5B"/>
    <w:rsid w:val="65EC0A86"/>
    <w:rsid w:val="661A4CEF"/>
    <w:rsid w:val="67F6633A"/>
    <w:rsid w:val="6A256522"/>
    <w:rsid w:val="6ECD02D8"/>
    <w:rsid w:val="70A813DA"/>
    <w:rsid w:val="72FB158E"/>
    <w:rsid w:val="76D01188"/>
    <w:rsid w:val="79F244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ocument Map"/>
    <w:basedOn w:val="1"/>
    <w:link w:val="15"/>
    <w:semiHidden/>
    <w:unhideWhenUsed/>
    <w:qFormat/>
    <w:uiPriority w:val="99"/>
    <w:rPr>
      <w:rFonts w:ascii="宋体" w:eastAsia="宋体"/>
      <w:sz w:val="18"/>
      <w:szCs w:val="18"/>
    </w:rPr>
  </w:style>
  <w:style w:type="paragraph" w:styleId="3">
    <w:name w:val="Balloon Text"/>
    <w:basedOn w:val="1"/>
    <w:link w:val="17"/>
    <w:semiHidden/>
    <w:unhideWhenUsed/>
    <w:qFormat/>
    <w:uiPriority w:val="99"/>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页眉 字符"/>
    <w:basedOn w:val="8"/>
    <w:link w:val="5"/>
    <w:qFormat/>
    <w:uiPriority w:val="99"/>
    <w:rPr>
      <w:sz w:val="18"/>
      <w:szCs w:val="18"/>
    </w:rPr>
  </w:style>
  <w:style w:type="character" w:customStyle="1" w:styleId="10">
    <w:name w:val="页脚 字符"/>
    <w:basedOn w:val="8"/>
    <w:link w:val="4"/>
    <w:qFormat/>
    <w:uiPriority w:val="99"/>
    <w:rPr>
      <w:sz w:val="18"/>
      <w:szCs w:val="18"/>
    </w:rPr>
  </w:style>
  <w:style w:type="paragraph" w:customStyle="1" w:styleId="11">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paragraph" w:customStyle="1" w:styleId="12">
    <w:name w:val="正文_37"/>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13">
    <w:name w:val="No Spacing"/>
    <w:qFormat/>
    <w:uiPriority w:val="1"/>
    <w:pPr>
      <w:widowControl w:val="0"/>
      <w:spacing w:line="360" w:lineRule="auto"/>
      <w:jc w:val="both"/>
    </w:pPr>
    <w:rPr>
      <w:rFonts w:ascii="Times New Roman" w:hAnsi="Times New Roman" w:eastAsia="黑体" w:cs="Times New Roman"/>
      <w:kern w:val="2"/>
      <w:sz w:val="21"/>
      <w:szCs w:val="22"/>
      <w:lang w:val="en-US" w:eastAsia="zh-CN" w:bidi="ar-SA"/>
    </w:rPr>
  </w:style>
  <w:style w:type="paragraph" w:styleId="14">
    <w:name w:val="List Paragraph"/>
    <w:basedOn w:val="1"/>
    <w:qFormat/>
    <w:uiPriority w:val="34"/>
    <w:pPr>
      <w:ind w:firstLine="420" w:firstLineChars="200"/>
    </w:pPr>
  </w:style>
  <w:style w:type="character" w:customStyle="1" w:styleId="15">
    <w:name w:val="文档结构图 字符"/>
    <w:basedOn w:val="8"/>
    <w:link w:val="2"/>
    <w:semiHidden/>
    <w:qFormat/>
    <w:uiPriority w:val="99"/>
    <w:rPr>
      <w:rFonts w:ascii="宋体" w:eastAsia="宋体"/>
      <w:kern w:val="2"/>
      <w:sz w:val="18"/>
      <w:szCs w:val="18"/>
    </w:rPr>
  </w:style>
  <w:style w:type="paragraph" w:customStyle="1" w:styleId="16">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7">
    <w:name w:val="批注框文本 字符"/>
    <w:basedOn w:val="8"/>
    <w:link w:val="3"/>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7BD3B1-FF60-4FE6-99E9-C3A8AC41F0E1}">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Pages>
  <Words>1988</Words>
  <Characters>2530</Characters>
  <Lines>21</Lines>
  <Paragraphs>6</Paragraphs>
  <TotalTime>7</TotalTime>
  <ScaleCrop>false</ScaleCrop>
  <LinksUpToDate>false</LinksUpToDate>
  <CharactersWithSpaces>2682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2025-03-25T05:52:00Z</dcterms:created>
  <dc:creator>xb21cn</dc:creator>
  <cp:lastModifiedBy>VC</cp:lastModifiedBy>
  <dcterms:modified xsi:type="dcterms:W3CDTF">2025-03-31T05:33:42Z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41F9A558BBC7462EB6FC2A7489D0F4A6_13</vt:lpwstr>
  </property>
  <property fmtid="{D5CDD505-2E9C-101B-9397-08002B2CF9AE}" pid="4" name="KSOTemplateDocerSaveRecord">
    <vt:lpwstr>eyJoZGlkIjoiZTY0ZGYyMjA2MmZjYTNhNjU3YWMwMzUyNjYxZGNmMzQiLCJ1c2VySWQiOiI0NjAxNzMwNTMifQ==</vt:lpwstr>
  </property>
</Properties>
</file>