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31A5B">
      <w:pPr>
        <w:jc w:val="center"/>
        <w:rPr>
          <w:rFonts w:hint="eastAsia"/>
          <w:b/>
          <w:sz w:val="28"/>
          <w:szCs w:val="28"/>
        </w:rPr>
      </w:pPr>
      <w:r>
        <w:rPr>
          <w:rFonts w:hint="eastAsia"/>
          <w:b/>
          <w:sz w:val="28"/>
          <w:szCs w:val="28"/>
        </w:rPr>
        <w:t>长沙财经学校2025年体育教学、训练器材采购项目竞价文件</w:t>
      </w:r>
    </w:p>
    <w:p w14:paraId="4300DC0A">
      <w:pPr>
        <w:pStyle w:val="2"/>
        <w:rPr>
          <w:rFonts w:ascii="仿宋" w:hAnsi="仿宋" w:eastAsia="仿宋" w:cs="仿宋"/>
          <w:b/>
          <w:bCs/>
          <w:szCs w:val="24"/>
        </w:rPr>
      </w:pPr>
      <w:r>
        <w:rPr>
          <w:rFonts w:ascii="仿宋" w:hAnsi="仿宋" w:eastAsia="仿宋" w:cs="仿宋"/>
          <w:b/>
          <w:bCs/>
          <w:szCs w:val="24"/>
        </w:rPr>
        <w:t>一、参数及预算</w:t>
      </w:r>
    </w:p>
    <w:tbl>
      <w:tblPr>
        <w:tblStyle w:val="10"/>
        <w:tblW w:w="0" w:type="auto"/>
        <w:tblInd w:w="0" w:type="dxa"/>
        <w:tblLayout w:type="fixed"/>
        <w:tblCellMar>
          <w:top w:w="0" w:type="dxa"/>
          <w:left w:w="108" w:type="dxa"/>
          <w:bottom w:w="0" w:type="dxa"/>
          <w:right w:w="108" w:type="dxa"/>
        </w:tblCellMar>
      </w:tblPr>
      <w:tblGrid>
        <w:gridCol w:w="412"/>
        <w:gridCol w:w="652"/>
        <w:gridCol w:w="3322"/>
        <w:gridCol w:w="412"/>
        <w:gridCol w:w="551"/>
        <w:gridCol w:w="755"/>
        <w:gridCol w:w="925"/>
        <w:gridCol w:w="825"/>
        <w:gridCol w:w="668"/>
      </w:tblGrid>
      <w:tr w14:paraId="585B64DF">
        <w:tblPrEx>
          <w:tblCellMar>
            <w:top w:w="0" w:type="dxa"/>
            <w:left w:w="108" w:type="dxa"/>
            <w:bottom w:w="0" w:type="dxa"/>
            <w:right w:w="108" w:type="dxa"/>
          </w:tblCellMar>
        </w:tblPrEx>
        <w:trPr>
          <w:trHeight w:val="54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61CA">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92DF">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品目</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6D65">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技术参数与性能指标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0DA7">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单位</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6BCA">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数量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04B3">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单价（元）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CA65">
            <w:pPr>
              <w:widowControl/>
              <w:jc w:val="center"/>
              <w:textAlignment w:val="center"/>
              <w:rPr>
                <w:rFonts w:hint="eastAsia" w:ascii="宋体" w:hAnsi="宋体" w:eastAsia="宋体" w:cs="宋体"/>
                <w:b/>
                <w:bCs/>
                <w:color w:val="000000"/>
                <w:szCs w:val="21"/>
              </w:rPr>
            </w:pPr>
            <w:r>
              <w:rPr>
                <w:rStyle w:val="30"/>
                <w:rFonts w:hint="default"/>
                <w:lang w:bidi="ar"/>
              </w:rPr>
              <w:t>标的预算</w:t>
            </w:r>
            <w:r>
              <w:rPr>
                <w:rStyle w:val="19"/>
                <w:rFonts w:hint="default"/>
                <w:lang w:bidi="ar"/>
              </w:rPr>
              <w:t>（元）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8F4C">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参考品牌、型号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1C71">
            <w:pPr>
              <w:widowControl/>
              <w:jc w:val="lef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供货地点</w:t>
            </w:r>
          </w:p>
        </w:tc>
      </w:tr>
      <w:tr w14:paraId="5512B8F9">
        <w:tblPrEx>
          <w:tblCellMar>
            <w:top w:w="0" w:type="dxa"/>
            <w:left w:w="108" w:type="dxa"/>
            <w:bottom w:w="0" w:type="dxa"/>
            <w:right w:w="108" w:type="dxa"/>
          </w:tblCellMar>
        </w:tblPrEx>
        <w:trPr>
          <w:trHeight w:val="364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276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FB9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排球传球训练器</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AC5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1.规格：最高可达1.5-3米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性能：是一种可以训练一传、二传的训练用器，高度可以在1.5-3米之间调节，上方圆圈直径达到60厘米，因此传球的最大高度可以达到3.4米，一传训练是针对一传到位准确度训练，同时也是二传训练的主要器械，可以进行传点负重（脚踝加沙包）训练，对二传手在传球速度、轻巧性很有帮助，可以训练跳传、背传，增加创造性思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传球架下是注水压块，将圈方向朝压块方向，可以注水也可以少量注水就可以，灌沙也可以，可以调节高度，船型球车可以穿过压块放在网下，这样传入的球可以直接装入球车，可以根据不同的位置（传4号位或3号位）进行训练，传球不仅要准确，还要有高度，这样可以给扣球手更多的调整时间，扣出质量高的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4.传球器安装，移动方便，圈可以调节三个角度。90°，45°，0°，训练垫球，传球，提高技能。</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AA7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E4B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F07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A63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277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美璐捷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VZJ-041(含球车）</w:t>
            </w:r>
          </w:p>
          <w:p w14:paraId="7F35511C">
            <w:pPr>
              <w:widowControl/>
              <w:jc w:val="center"/>
              <w:textAlignment w:val="center"/>
              <w:rPr>
                <w:rFonts w:hint="eastAsia" w:ascii="宋体" w:hAnsi="宋体" w:eastAsia="宋体" w:cs="宋体"/>
                <w:color w:val="000000"/>
                <w:kern w:val="0"/>
                <w:sz w:val="20"/>
                <w:szCs w:val="20"/>
                <w:lang w:bidi="ar"/>
              </w:rPr>
            </w:pPr>
          </w:p>
          <w:p w14:paraId="791F143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SOEZMM</w:t>
            </w:r>
          </w:p>
          <w:p w14:paraId="7821C790">
            <w:pPr>
              <w:widowControl/>
              <w:jc w:val="center"/>
              <w:textAlignment w:val="center"/>
              <w:rPr>
                <w:rFonts w:hint="eastAsia" w:ascii="宋体" w:hAnsi="宋体" w:eastAsia="宋体" w:cs="宋体"/>
                <w:color w:val="000000"/>
                <w:sz w:val="20"/>
                <w:szCs w:val="20"/>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BEA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职教基地</w:t>
            </w:r>
          </w:p>
        </w:tc>
      </w:tr>
      <w:tr w14:paraId="4918E266">
        <w:tblPrEx>
          <w:tblCellMar>
            <w:top w:w="0" w:type="dxa"/>
            <w:left w:w="108" w:type="dxa"/>
            <w:bottom w:w="0" w:type="dxa"/>
            <w:right w:w="108" w:type="dxa"/>
          </w:tblCellMar>
        </w:tblPrEx>
        <w:trPr>
          <w:trHeight w:val="351"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FA4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F7F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无重力跑步机</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739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1.跑台有效面积：≥1640*495mm。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2.程序模式:3种目标模式(时间、距离、卡路里)。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3.显示参数:时间、距离、卡路里、速度。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4.最大人体质量：≥200kg。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5.跑带厚度：≥9mm。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6.净重/毛重：≥135kg/175kg。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7.提供国家体育用品质量监督检验中心检验检测报告复印件。</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C64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B8F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8DB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8C0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AD8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迈宝赫</w:t>
            </w:r>
          </w:p>
          <w:p w14:paraId="7F6B9CB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MH6800</w:t>
            </w:r>
            <w:r>
              <w:rPr>
                <w:rFonts w:hint="eastAsia" w:ascii="宋体" w:hAnsi="宋体" w:eastAsia="宋体" w:cs="宋体"/>
                <w:color w:val="000000"/>
                <w:kern w:val="0"/>
                <w:sz w:val="20"/>
                <w:szCs w:val="20"/>
                <w:lang w:bidi="ar"/>
              </w:rPr>
              <w:br w:type="textWrapping"/>
            </w:r>
          </w:p>
          <w:p w14:paraId="2E674AFE">
            <w:pPr>
              <w:widowControl/>
              <w:jc w:val="both"/>
              <w:textAlignment w:val="center"/>
              <w:rPr>
                <w:rFonts w:hint="eastAsia" w:ascii="宋体" w:hAnsi="宋体" w:eastAsia="宋体" w:cs="宋体"/>
                <w:color w:val="000000"/>
                <w:sz w:val="20"/>
                <w:szCs w:val="20"/>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F4A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职教基地</w:t>
            </w:r>
          </w:p>
        </w:tc>
      </w:tr>
      <w:tr w14:paraId="56492AF4">
        <w:tblPrEx>
          <w:tblCellMar>
            <w:top w:w="0" w:type="dxa"/>
            <w:left w:w="108" w:type="dxa"/>
            <w:bottom w:w="0" w:type="dxa"/>
            <w:right w:w="108" w:type="dxa"/>
          </w:tblCellMar>
        </w:tblPrEx>
        <w:trPr>
          <w:trHeight w:val="208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394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1F6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弹跳训练凳</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8BB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1.材质:钢材+胶垫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2.采用25MM优质钢管焊接而成，保证跳凳整体的稳固性，使用安全；全身采用静电喷塑工艺，光滑不掉色美观大方耐腐蚀不生锈使用更长久；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3.跳凳顶部铺设一层3MM厚防滑阻力橡胶垫确保使用过程中脚部或者用力不当导致摔倒带来的伤害；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4.跳凳四个脚底部均装有防滑脚垫，在保证不划伤地板的同时减少在跳跃过程种用力过大或不当导致跳蹬移位产生的危险。</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70B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786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B54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CC0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4E1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奥匹</w:t>
            </w:r>
          </w:p>
          <w:p w14:paraId="0745A48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AP-9073</w:t>
            </w:r>
            <w:r>
              <w:rPr>
                <w:rFonts w:hint="eastAsia" w:ascii="宋体" w:hAnsi="宋体" w:eastAsia="宋体" w:cs="宋体"/>
                <w:color w:val="000000"/>
                <w:kern w:val="0"/>
                <w:sz w:val="20"/>
                <w:szCs w:val="20"/>
                <w:lang w:bidi="ar"/>
              </w:rPr>
              <w:br w:type="textWrapping"/>
            </w:r>
          </w:p>
          <w:p w14:paraId="239E358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狂战神</w:t>
            </w:r>
          </w:p>
          <w:p w14:paraId="7BD568DB">
            <w:pPr>
              <w:pStyle w:val="2"/>
              <w:jc w:val="center"/>
              <w:rPr>
                <w:sz w:val="20"/>
                <w:lang w:bidi="ar"/>
              </w:rPr>
            </w:pPr>
            <w:r>
              <w:rPr>
                <w:sz w:val="20"/>
                <w:lang w:bidi="ar"/>
              </w:rPr>
              <w:t>3090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6F5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职教基地</w:t>
            </w:r>
          </w:p>
        </w:tc>
      </w:tr>
      <w:tr w14:paraId="5772B1DC">
        <w:tblPrEx>
          <w:tblCellMar>
            <w:top w:w="0" w:type="dxa"/>
            <w:left w:w="108" w:type="dxa"/>
            <w:bottom w:w="0" w:type="dxa"/>
            <w:right w:w="108" w:type="dxa"/>
          </w:tblCellMar>
        </w:tblPrEx>
        <w:trPr>
          <w:trHeight w:val="2251"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2DE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EAC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隔离网</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654C">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整体尺寸：高度6.9米，宽度21米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1.结构：电动隔离网主要结构由减速电机、预埋件连接管、传动主轴、过渡轴、配重管、纤维编织带及PVC网格布、皮革组成。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2.主要部件性能参数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（1）上升/下降时间：4分钟左右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（2）减速电机：WPA100 I=225：1、电机1.5KW、减速机1.5KW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（3）预埋件连接管：120x80x3方管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（4）传动主轴：</w:t>
            </w:r>
            <w:r>
              <w:rPr>
                <w:rStyle w:val="25"/>
                <w:rFonts w:ascii="宋体" w:hAnsi="宋体" w:eastAsia="宋体"/>
                <w:lang w:bidi="ar"/>
              </w:rPr>
              <w:t>φ</w:t>
            </w:r>
            <w:r>
              <w:rPr>
                <w:rStyle w:val="18"/>
                <w:rFonts w:hint="default"/>
                <w:lang w:bidi="ar"/>
              </w:rPr>
              <w:t>40x3圆管</w:t>
            </w:r>
            <w:r>
              <w:rPr>
                <w:rStyle w:val="18"/>
                <w:rFonts w:hint="default"/>
                <w:lang w:bidi="ar"/>
              </w:rPr>
              <w:br w:type="textWrapping"/>
            </w:r>
            <w:r>
              <w:rPr>
                <w:rStyle w:val="18"/>
                <w:rFonts w:hint="default"/>
                <w:lang w:bidi="ar"/>
              </w:rPr>
              <w:t>（5）过渡轴：</w:t>
            </w:r>
            <w:r>
              <w:rPr>
                <w:rStyle w:val="25"/>
                <w:rFonts w:ascii="宋体" w:hAnsi="宋体" w:eastAsia="宋体"/>
                <w:lang w:bidi="ar"/>
              </w:rPr>
              <w:t>φ</w:t>
            </w:r>
            <w:r>
              <w:rPr>
                <w:rStyle w:val="18"/>
                <w:rFonts w:hint="default"/>
                <w:lang w:bidi="ar"/>
              </w:rPr>
              <w:t>40x3圆管</w:t>
            </w:r>
            <w:r>
              <w:rPr>
                <w:rStyle w:val="18"/>
                <w:rFonts w:hint="default"/>
                <w:lang w:bidi="ar"/>
              </w:rPr>
              <w:br w:type="textWrapping"/>
            </w:r>
            <w:r>
              <w:rPr>
                <w:rStyle w:val="18"/>
                <w:rFonts w:hint="default"/>
                <w:lang w:bidi="ar"/>
              </w:rPr>
              <w:t>（6）配重管：</w:t>
            </w:r>
            <w:r>
              <w:rPr>
                <w:rStyle w:val="25"/>
                <w:rFonts w:ascii="宋体" w:hAnsi="宋体" w:eastAsia="宋体"/>
                <w:lang w:bidi="ar"/>
              </w:rPr>
              <w:t>φ</w:t>
            </w:r>
            <w:r>
              <w:rPr>
                <w:rStyle w:val="18"/>
                <w:rFonts w:hint="default"/>
                <w:lang w:bidi="ar"/>
              </w:rPr>
              <w:t>40x3圆管</w:t>
            </w:r>
            <w:r>
              <w:rPr>
                <w:rStyle w:val="18"/>
                <w:rFonts w:hint="default"/>
                <w:lang w:bidi="ar"/>
              </w:rPr>
              <w:br w:type="textWrapping"/>
            </w:r>
            <w:r>
              <w:rPr>
                <w:rStyle w:val="18"/>
                <w:rFonts w:hint="default"/>
                <w:lang w:bidi="ar"/>
              </w:rPr>
              <w:t>（7）连接管：</w:t>
            </w:r>
            <w:r>
              <w:rPr>
                <w:rStyle w:val="25"/>
                <w:rFonts w:ascii="宋体" w:hAnsi="宋体" w:eastAsia="宋体"/>
                <w:lang w:bidi="ar"/>
              </w:rPr>
              <w:t>φ</w:t>
            </w:r>
            <w:r>
              <w:rPr>
                <w:rStyle w:val="18"/>
                <w:rFonts w:hint="default"/>
                <w:lang w:bidi="ar"/>
              </w:rPr>
              <w:t>32x2圆管</w:t>
            </w:r>
            <w:r>
              <w:rPr>
                <w:rStyle w:val="18"/>
                <w:rFonts w:hint="default"/>
                <w:lang w:bidi="ar"/>
              </w:rPr>
              <w:br w:type="textWrapping"/>
            </w:r>
            <w:r>
              <w:rPr>
                <w:rStyle w:val="18"/>
                <w:rFonts w:hint="default"/>
                <w:lang w:bidi="ar"/>
              </w:rPr>
              <w:t>（8）编织带：25mm纤维编织带</w:t>
            </w:r>
            <w:r>
              <w:rPr>
                <w:rStyle w:val="18"/>
                <w:rFonts w:hint="default"/>
                <w:lang w:bidi="ar"/>
              </w:rPr>
              <w:br w:type="textWrapping"/>
            </w:r>
            <w:r>
              <w:rPr>
                <w:rStyle w:val="18"/>
                <w:rFonts w:hint="default"/>
                <w:lang w:bidi="ar"/>
              </w:rPr>
              <w:t>（9）网格布：PVC（网孔5*5mm）</w:t>
            </w:r>
            <w:r>
              <w:rPr>
                <w:rStyle w:val="18"/>
                <w:rFonts w:hint="default"/>
                <w:lang w:bidi="ar"/>
              </w:rPr>
              <w:br w:type="textWrapping"/>
            </w:r>
            <w:r>
              <w:rPr>
                <w:rStyle w:val="18"/>
                <w:rFonts w:hint="default"/>
                <w:lang w:bidi="ar"/>
              </w:rPr>
              <w:t>（10）皮革：PVC材质(11)行程开关：LX19-001</w:t>
            </w:r>
            <w:r>
              <w:rPr>
                <w:rStyle w:val="18"/>
                <w:rFonts w:hint="default"/>
                <w:lang w:bidi="ar"/>
              </w:rPr>
              <w:br w:type="textWrapping"/>
            </w:r>
            <w:r>
              <w:rPr>
                <w:rStyle w:val="18"/>
                <w:rFonts w:hint="default"/>
                <w:lang w:bidi="ar"/>
              </w:rPr>
              <w:t>3.表面处理：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器材均在全自动喷涂流水线上作业，经抛丸—脱脂—水洗—无磷转化—水洗—烘干—静电粉末—固化等过程。产品涂层厚度70—80um，铅笔硬度达3H+。</w:t>
            </w:r>
            <w:r>
              <w:rPr>
                <w:rStyle w:val="18"/>
                <w:rFonts w:hint="default"/>
                <w:lang w:bidi="ar"/>
              </w:rPr>
              <w:br w:type="textWrapping"/>
            </w:r>
            <w:r>
              <w:rPr>
                <w:rStyle w:val="18"/>
                <w:rFonts w:hint="default"/>
                <w:lang w:bidi="ar"/>
              </w:rPr>
              <w:t>4.包含辅料，脚手架高空作业施工，电路布置，现场安装调试。</w:t>
            </w:r>
            <w:r>
              <w:rPr>
                <w:rStyle w:val="18"/>
                <w:rFonts w:hint="default"/>
                <w:lang w:bidi="ar"/>
              </w:rPr>
              <w:br w:type="textWrapping"/>
            </w:r>
            <w:r>
              <w:rPr>
                <w:rStyle w:val="18"/>
                <w:rFonts w:hint="default"/>
                <w:lang w:bidi="ar"/>
              </w:rPr>
              <w:t>5.球场电动隔离网提供通过国家体育用品质量监督检验中心全项检验检测报告复印件。</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2BB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554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9E2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95000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910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95000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3E3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中洲康体</w:t>
            </w:r>
          </w:p>
          <w:p w14:paraId="44E62B6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ZTGLW-1</w:t>
            </w:r>
          </w:p>
          <w:p w14:paraId="5FB33A25">
            <w:pPr>
              <w:widowControl/>
              <w:pBdr>
                <w:bottom w:val="none" w:color="auto" w:sz="0" w:space="0"/>
              </w:pBdr>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br w:type="textWrapping"/>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213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职教基地</w:t>
            </w:r>
          </w:p>
        </w:tc>
      </w:tr>
      <w:tr w14:paraId="6E336984">
        <w:tblPrEx>
          <w:tblCellMar>
            <w:top w:w="0" w:type="dxa"/>
            <w:left w:w="108" w:type="dxa"/>
            <w:bottom w:w="0" w:type="dxa"/>
            <w:right w:w="108" w:type="dxa"/>
          </w:tblCellMar>
        </w:tblPrEx>
        <w:trPr>
          <w:trHeight w:val="104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BC4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18F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排球架</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FB0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大箱排球柱，底座箱体外形尺寸：长60cm*宽40cm*高30cm，包含伸臂总长度1.15m；立柱采用直径89mm圆管和直径76mm圆管制作，厚度2mm，器材钢制件表面处理采用抛丸除锈静电喷涂工艺处理。器材可供羽毛球、气排球、排球比赛训练活动使用</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1E1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53F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1167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DCD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3600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204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冠骏</w:t>
            </w:r>
          </w:p>
          <w:p w14:paraId="5AC238A0">
            <w:pPr>
              <w:pStyle w:val="2"/>
              <w:jc w:val="center"/>
              <w:rPr>
                <w:sz w:val="20"/>
                <w:lang w:bidi="ar"/>
              </w:rPr>
            </w:pPr>
            <w:r>
              <w:rPr>
                <w:sz w:val="20"/>
                <w:lang w:bidi="ar"/>
              </w:rPr>
              <w:t>XH-M018</w:t>
            </w:r>
          </w:p>
          <w:p w14:paraId="6DF1BA6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利体</w:t>
            </w:r>
          </w:p>
          <w:p w14:paraId="6E39B048">
            <w:pPr>
              <w:pStyle w:val="2"/>
              <w:jc w:val="center"/>
              <w:rPr>
                <w:sz w:val="20"/>
                <w:lang w:bidi="ar"/>
              </w:rPr>
            </w:pPr>
            <w:r>
              <w:rPr>
                <w:sz w:val="20"/>
                <w:lang w:bidi="ar"/>
              </w:rPr>
              <w:t>LT-PQZ3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D46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荷花池校区</w:t>
            </w:r>
          </w:p>
        </w:tc>
      </w:tr>
      <w:tr w14:paraId="5A3B1138">
        <w:tblPrEx>
          <w:tblCellMar>
            <w:top w:w="0" w:type="dxa"/>
            <w:left w:w="108" w:type="dxa"/>
            <w:bottom w:w="0" w:type="dxa"/>
            <w:right w:w="108" w:type="dxa"/>
          </w:tblCellMar>
        </w:tblPrEx>
        <w:trPr>
          <w:trHeight w:val="312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08D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0F9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乒乓球台</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825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1.专业比赛室内球台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2.台面材质：中密度纤维板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3.尺寸：台长:2740mm台宽:1525mm台高:760mm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4.物理性能：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弹性：230-260mm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弹性均匀度：≤5mm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球台稳定性&lt;10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台面光泽度≤8</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5.颜色：蓝色/黑色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6.淋漆工艺，漆膜均匀一致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7.配有高度调节脚垫，可调节球台水平；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8.拱形结构，具有力学稳定支撑作用</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8E0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28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6E10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1F2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541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红双喜</w:t>
            </w:r>
          </w:p>
          <w:p w14:paraId="05EA0E05">
            <w:pPr>
              <w:pStyle w:val="2"/>
              <w:jc w:val="center"/>
              <w:rPr>
                <w:sz w:val="20"/>
                <w:lang w:bidi="ar"/>
              </w:rPr>
            </w:pPr>
            <w:r>
              <w:rPr>
                <w:sz w:val="20"/>
                <w:lang w:bidi="ar"/>
              </w:rPr>
              <w:t>NEO彩虹</w:t>
            </w:r>
          </w:p>
          <w:p w14:paraId="221FCEC2">
            <w:pPr>
              <w:widowControl/>
              <w:pBdr>
                <w:bottom w:val="none" w:color="auto" w:sz="0" w:space="0"/>
              </w:pBdr>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br w:type="textWrapping"/>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130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荷花池校区</w:t>
            </w:r>
          </w:p>
        </w:tc>
      </w:tr>
      <w:tr w14:paraId="1190C55C">
        <w:tblPrEx>
          <w:tblCellMar>
            <w:top w:w="0" w:type="dxa"/>
            <w:left w:w="108" w:type="dxa"/>
            <w:bottom w:w="0" w:type="dxa"/>
            <w:right w:w="108" w:type="dxa"/>
          </w:tblCellMar>
        </w:tblPrEx>
        <w:trPr>
          <w:trHeight w:val="442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7A6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AFF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羽毛球发球机</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6A9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1.微信小程序操作，无需下载APP；</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2.可选择训练（发球机开机）时长；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3.AI变速，覆盖全场，可随意调整发球力度；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内置数种训练模式：定点训练、多点组合训练、随机训练、赛事模拟、中考考级，每个模式中有数十种训练球球，例如定点高远、定点小球、定点杀球、左右网前小球、两线球、三线球、四方球、多点接杀、精彩赛事片段球路、各中考考试球路等等一键发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5.落点覆盖全场，高远、平抽、杀球、小球等球路任意组合；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6.无极微调，可调整每个落点的：垂直发球角度（上下）水平发球角度（左右）、发球力度及训练球路、发球频率及循环次数；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7.可无限存储自设（自编程）球路，一键练球；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8.球路存档可备注发球机位置，方便下次练球放置机器；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9.手摇升降；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10.专属后台，可管控发球机运营模式；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11.大容量球桶，可装180-200个羽球（根据羽球质量及品种装球数量有所浮动）；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12.三角支撑架带刹车万向轮，可轻松在各场地移动及固定。</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DF5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16A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C49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AFE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663A">
            <w:pPr>
              <w:widowControl/>
              <w:pBdr>
                <w:bottom w:val="none" w:color="auto" w:sz="0" w:space="0"/>
              </w:pBdr>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艾迪宝</w:t>
            </w:r>
          </w:p>
          <w:p w14:paraId="5EEB6B01">
            <w:pPr>
              <w:pStyle w:val="2"/>
              <w:jc w:val="center"/>
              <w:rPr>
                <w:sz w:val="20"/>
                <w:lang w:bidi="ar"/>
              </w:rPr>
            </w:pPr>
            <w:r>
              <w:rPr>
                <w:sz w:val="20"/>
                <w:lang w:bidi="ar"/>
              </w:rPr>
              <w:t>A260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6BC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职教基地</w:t>
            </w:r>
          </w:p>
        </w:tc>
      </w:tr>
      <w:tr w14:paraId="114D7A2D">
        <w:tblPrEx>
          <w:tblCellMar>
            <w:top w:w="0" w:type="dxa"/>
            <w:left w:w="108" w:type="dxa"/>
            <w:bottom w:w="0" w:type="dxa"/>
            <w:right w:w="108" w:type="dxa"/>
          </w:tblCellMar>
        </w:tblPrEx>
        <w:trPr>
          <w:trHeight w:val="2284"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39D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C24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篮球投篮机</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148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1.交流电源输入:AC 100-240V 50/60HZ；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2.发球高度：1-3米；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3.用球尺寸：6-7号；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4.发球距离：4-10米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功能描述：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1.手机APP和遥控器控制，操作简便;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2.智能感应发球，多种发球模式可选;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3.可根据不同需求，多级调节速度和角度;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4.折叠网节省空间，移动轮方便更换场地;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5.无需捡球，单人或多人练习，强化体能耐力和肌肉记忆。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6.定点发球，水平随机发球，可调仰视角度，上下旋球，左中右半场摆动，全场摆动发球。</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1F8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6BB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8D1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136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F36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斯波阿斯</w:t>
            </w:r>
          </w:p>
          <w:p w14:paraId="4F1CD9B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K3</w:t>
            </w:r>
          </w:p>
          <w:p w14:paraId="5D71808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强盟</w:t>
            </w:r>
          </w:p>
          <w:p w14:paraId="7BCEF1C5">
            <w:pPr>
              <w:pStyle w:val="2"/>
              <w:jc w:val="center"/>
              <w:rPr>
                <w:sz w:val="20"/>
                <w:lang w:bidi="ar"/>
              </w:rPr>
            </w:pPr>
            <w:r>
              <w:rPr>
                <w:sz w:val="20"/>
                <w:lang w:bidi="ar"/>
              </w:rPr>
              <w:t>K1陪练王</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867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职教基地</w:t>
            </w:r>
          </w:p>
        </w:tc>
      </w:tr>
      <w:tr w14:paraId="7E4F7E56">
        <w:tblPrEx>
          <w:tblCellMar>
            <w:top w:w="0" w:type="dxa"/>
            <w:left w:w="108" w:type="dxa"/>
            <w:bottom w:w="0" w:type="dxa"/>
            <w:right w:w="108" w:type="dxa"/>
          </w:tblCellMar>
        </w:tblPrEx>
        <w:trPr>
          <w:trHeight w:val="338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C34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888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史密斯架</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6C5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1.最大训练载荷：≥300kg。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2.辅助挂棒最大承重：≥450kg。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3.主架管采用≥50*120*3mm平椭圆管和≥75*130*2.5mmD型管。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4.脚垫：PVC一次成型。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5.杠铃杆：采用45#</w:t>
            </w:r>
            <w:r>
              <w:rPr>
                <w:rStyle w:val="25"/>
                <w:rFonts w:ascii="宋体" w:hAnsi="宋体" w:eastAsia="宋体"/>
                <w:lang w:bidi="ar"/>
              </w:rPr>
              <w:t>φ</w:t>
            </w:r>
            <w:r>
              <w:rPr>
                <w:rStyle w:val="18"/>
                <w:rFonts w:hint="default"/>
                <w:lang w:bidi="ar"/>
              </w:rPr>
              <w:t>30mm光轴配合直线轴承。</w:t>
            </w:r>
            <w:r>
              <w:rPr>
                <w:rStyle w:val="18"/>
                <w:rFonts w:hint="default"/>
                <w:lang w:bidi="ar"/>
              </w:rPr>
              <w:br w:type="textWrapping"/>
            </w:r>
            <w:r>
              <w:rPr>
                <w:rStyle w:val="18"/>
                <w:rFonts w:hint="default"/>
                <w:lang w:bidi="ar"/>
              </w:rPr>
              <w:t>6.辅助杠铃片悬挂架：采用塑料挂棒，用于放置更多规格的杠铃片，方便使用。</w:t>
            </w:r>
            <w:r>
              <w:rPr>
                <w:rStyle w:val="18"/>
                <w:rFonts w:hint="default"/>
                <w:lang w:bidi="ar"/>
              </w:rPr>
              <w:br w:type="textWrapping"/>
            </w:r>
            <w:r>
              <w:rPr>
                <w:rStyle w:val="18"/>
                <w:rFonts w:hint="default"/>
                <w:lang w:bidi="ar"/>
              </w:rPr>
              <w:t>7.保险装置：设计有可调节高度的保险装置。</w:t>
            </w:r>
            <w:r>
              <w:rPr>
                <w:rStyle w:val="18"/>
                <w:rFonts w:hint="default"/>
                <w:lang w:bidi="ar"/>
              </w:rPr>
              <w:br w:type="textWrapping"/>
            </w:r>
            <w:r>
              <w:rPr>
                <w:rStyle w:val="18"/>
                <w:rFonts w:hint="default"/>
                <w:lang w:bidi="ar"/>
              </w:rPr>
              <w:t>8.为防止产品长时间使用后出现漆面脱落的情况，制造商须具有国家体育总局体育工程重点实验室出具的体育器械表面涂层脱离抗性检测评定报告，按照GB/T 9286-2021《色漆和清漆划格试验》里的脱离抗性标准进行实验，评定结果脱离抗性等级为0级，提供国家体育总局体育工程重点实验室出具的检测评定报告复印件。</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A1D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AE0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FD8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2C6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32F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迈宝赫</w:t>
            </w:r>
          </w:p>
          <w:p w14:paraId="561DDD82">
            <w:pPr>
              <w:pStyle w:val="2"/>
              <w:jc w:val="center"/>
              <w:rPr>
                <w:sz w:val="20"/>
                <w:lang w:bidi="ar"/>
              </w:rPr>
            </w:pPr>
            <w:r>
              <w:rPr>
                <w:sz w:val="20"/>
                <w:lang w:bidi="ar"/>
              </w:rPr>
              <w:t>XH-020</w:t>
            </w:r>
          </w:p>
          <w:p w14:paraId="3F314D98">
            <w:pPr>
              <w:widowControl/>
              <w:pBdr>
                <w:bottom w:val="none" w:color="auto" w:sz="0" w:space="0"/>
              </w:pBdr>
              <w:jc w:val="center"/>
              <w:textAlignment w:val="center"/>
              <w:rPr>
                <w:rFonts w:hint="eastAsia" w:ascii="宋体" w:hAnsi="宋体" w:eastAsia="宋体" w:cs="宋体"/>
                <w:color w:val="000000"/>
                <w:kern w:val="0"/>
                <w:sz w:val="20"/>
                <w:szCs w:val="20"/>
                <w:lang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837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职教基地</w:t>
            </w:r>
          </w:p>
        </w:tc>
      </w:tr>
      <w:tr w14:paraId="60E32B1C">
        <w:tblPrEx>
          <w:tblCellMar>
            <w:top w:w="0" w:type="dxa"/>
            <w:left w:w="108" w:type="dxa"/>
            <w:bottom w:w="0" w:type="dxa"/>
            <w:right w:w="108" w:type="dxa"/>
          </w:tblCellMar>
        </w:tblPrEx>
        <w:trPr>
          <w:trHeight w:val="300" w:hRule="atLeast"/>
        </w:trPr>
        <w:tc>
          <w:tcPr>
            <w:tcW w:w="61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B7C0B7">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6C6E">
            <w:pPr>
              <w:widowControl/>
              <w:jc w:val="righ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207600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6E2D">
            <w:pPr>
              <w:rPr>
                <w:rFonts w:hint="eastAsia" w:ascii="宋体" w:hAnsi="宋体" w:eastAsia="宋体" w:cs="宋体"/>
                <w:b/>
                <w:bCs/>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194C">
            <w:pPr>
              <w:rPr>
                <w:rFonts w:hint="eastAsia" w:ascii="宋体" w:hAnsi="宋体" w:eastAsia="宋体" w:cs="宋体"/>
                <w:b/>
                <w:bCs/>
                <w:color w:val="000000"/>
                <w:sz w:val="24"/>
                <w:szCs w:val="24"/>
              </w:rPr>
            </w:pPr>
          </w:p>
        </w:tc>
      </w:tr>
    </w:tbl>
    <w:p w14:paraId="1554EBD1">
      <w:pPr>
        <w:pStyle w:val="2"/>
        <w:rPr>
          <w:szCs w:val="24"/>
        </w:rPr>
      </w:pPr>
    </w:p>
    <w:p w14:paraId="7B0FE494">
      <w:pPr>
        <w:pStyle w:val="2"/>
        <w:rPr>
          <w:rFonts w:ascii="仿宋" w:hAnsi="仿宋" w:eastAsia="仿宋" w:cs="仿宋"/>
          <w:b/>
          <w:bCs/>
          <w:szCs w:val="24"/>
        </w:rPr>
      </w:pPr>
      <w:r>
        <w:rPr>
          <w:rFonts w:ascii="仿宋" w:hAnsi="仿宋" w:eastAsia="仿宋" w:cs="仿宋"/>
          <w:b/>
          <w:bCs/>
          <w:szCs w:val="24"/>
        </w:rPr>
        <w:t>二、项目实施要求及说明</w:t>
      </w:r>
    </w:p>
    <w:p w14:paraId="40243E33">
      <w:pPr>
        <w:adjustRightInd w:val="0"/>
        <w:snapToGrid w:val="0"/>
        <w:rPr>
          <w:rFonts w:hint="eastAsia" w:ascii="仿宋" w:hAnsi="仿宋" w:eastAsia="仿宋" w:cs="仿宋"/>
          <w:b/>
          <w:bCs/>
          <w:sz w:val="24"/>
          <w:szCs w:val="24"/>
        </w:rPr>
      </w:pPr>
      <w:r>
        <w:rPr>
          <w:rFonts w:hint="eastAsia" w:ascii="仿宋" w:hAnsi="仿宋" w:eastAsia="仿宋" w:cs="仿宋"/>
          <w:b/>
          <w:bCs/>
          <w:sz w:val="24"/>
          <w:szCs w:val="24"/>
        </w:rPr>
        <w:t>1．产品运输、保险及保管</w:t>
      </w:r>
    </w:p>
    <w:p w14:paraId="4018D29A">
      <w:pPr>
        <w:adjustRightInd w:val="0"/>
        <w:snapToGrid w:val="0"/>
        <w:rPr>
          <w:rFonts w:hint="eastAsia" w:ascii="仿宋" w:hAnsi="仿宋" w:eastAsia="仿宋" w:cs="仿宋"/>
          <w:sz w:val="24"/>
          <w:szCs w:val="24"/>
        </w:rPr>
      </w:pPr>
      <w:r>
        <w:rPr>
          <w:rFonts w:hint="eastAsia" w:ascii="仿宋" w:hAnsi="仿宋" w:eastAsia="仿宋" w:cs="仿宋"/>
          <w:sz w:val="24"/>
          <w:szCs w:val="24"/>
        </w:rPr>
        <w:t>1.1中标人负责产品到施工地点的全部运输，包括装卸及现场搬运等。</w:t>
      </w:r>
    </w:p>
    <w:p w14:paraId="7DBCB67C">
      <w:pPr>
        <w:adjustRightInd w:val="0"/>
        <w:snapToGrid w:val="0"/>
        <w:rPr>
          <w:rFonts w:hint="eastAsia" w:ascii="仿宋" w:hAnsi="仿宋" w:eastAsia="仿宋" w:cs="仿宋"/>
          <w:sz w:val="24"/>
          <w:szCs w:val="24"/>
        </w:rPr>
      </w:pPr>
      <w:r>
        <w:rPr>
          <w:rFonts w:hint="eastAsia" w:ascii="仿宋" w:hAnsi="仿宋" w:eastAsia="仿宋" w:cs="仿宋"/>
          <w:sz w:val="24"/>
          <w:szCs w:val="24"/>
        </w:rPr>
        <w:t>1.2中标人负责产品在施工地点的保管，直至项目验收合格。</w:t>
      </w:r>
    </w:p>
    <w:p w14:paraId="5ADB4648">
      <w:pPr>
        <w:adjustRightInd w:val="0"/>
        <w:snapToGrid w:val="0"/>
        <w:spacing w:after="156"/>
        <w:rPr>
          <w:rFonts w:hint="eastAsia" w:ascii="仿宋" w:hAnsi="仿宋" w:eastAsia="仿宋" w:cs="仿宋"/>
          <w:sz w:val="24"/>
          <w:szCs w:val="24"/>
        </w:rPr>
      </w:pPr>
      <w:r>
        <w:rPr>
          <w:rFonts w:hint="eastAsia" w:ascii="仿宋" w:hAnsi="仿宋" w:eastAsia="仿宋" w:cs="仿宋"/>
          <w:sz w:val="24"/>
          <w:szCs w:val="24"/>
        </w:rPr>
        <w:t>1.3中标人负责其派出的施工人员的人身意外保险。</w:t>
      </w:r>
    </w:p>
    <w:p w14:paraId="1B4948D0">
      <w:pPr>
        <w:adjustRightInd w:val="0"/>
        <w:snapToGrid w:val="0"/>
        <w:rPr>
          <w:rFonts w:hint="eastAsia" w:ascii="仿宋" w:hAnsi="仿宋" w:eastAsia="仿宋" w:cs="仿宋"/>
          <w:b/>
          <w:bCs/>
          <w:sz w:val="24"/>
          <w:szCs w:val="24"/>
        </w:rPr>
      </w:pPr>
      <w:r>
        <w:rPr>
          <w:rFonts w:hint="eastAsia" w:ascii="仿宋" w:hAnsi="仿宋" w:eastAsia="仿宋" w:cs="仿宋"/>
          <w:b/>
          <w:bCs/>
          <w:sz w:val="24"/>
          <w:szCs w:val="24"/>
        </w:rPr>
        <w:t>2.施工要求</w:t>
      </w:r>
    </w:p>
    <w:p w14:paraId="0C989846">
      <w:pPr>
        <w:adjustRightInd w:val="0"/>
        <w:snapToGrid w:val="0"/>
        <w:rPr>
          <w:rFonts w:hint="eastAsia" w:ascii="仿宋" w:hAnsi="仿宋" w:eastAsia="仿宋" w:cs="仿宋"/>
          <w:sz w:val="24"/>
          <w:szCs w:val="24"/>
        </w:rPr>
      </w:pPr>
      <w:r>
        <w:rPr>
          <w:rFonts w:hint="eastAsia" w:ascii="仿宋" w:hAnsi="仿宋" w:eastAsia="仿宋" w:cs="仿宋"/>
          <w:sz w:val="24"/>
          <w:szCs w:val="24"/>
        </w:rPr>
        <w:t>2.1中标人须加强施工的组织管理，所有施工人员须遵守文明安全施工的有规章制度，持证上岗。所有涉及高空施工的设备，安全责任及费用均由中标方承担，费用包含于总报价。</w:t>
      </w:r>
    </w:p>
    <w:p w14:paraId="08652CBB">
      <w:pPr>
        <w:adjustRightInd w:val="0"/>
        <w:snapToGrid w:val="0"/>
        <w:rPr>
          <w:rFonts w:hint="eastAsia" w:ascii="仿宋" w:hAnsi="仿宋" w:eastAsia="仿宋" w:cs="仿宋"/>
          <w:sz w:val="24"/>
          <w:szCs w:val="24"/>
        </w:rPr>
      </w:pPr>
      <w:r>
        <w:rPr>
          <w:rFonts w:hint="eastAsia" w:ascii="仿宋" w:hAnsi="仿宋" w:eastAsia="仿宋" w:cs="仿宋"/>
          <w:sz w:val="24"/>
          <w:szCs w:val="24"/>
        </w:rPr>
        <w:t>2.2项目完成后，中标人应将项目有关的全部资料，包括产品资料、技术文档、施工图纸等移交采购人。</w:t>
      </w:r>
    </w:p>
    <w:p w14:paraId="4033B9FB">
      <w:pPr>
        <w:spacing w:after="120"/>
        <w:ind w:left="480" w:hanging="480" w:hangingChars="200"/>
        <w:rPr>
          <w:rFonts w:hint="eastAsia" w:ascii="仿宋" w:hAnsi="仿宋" w:eastAsia="仿宋" w:cs="仿宋"/>
          <w:sz w:val="24"/>
          <w:szCs w:val="24"/>
        </w:rPr>
      </w:pPr>
      <w:r>
        <w:rPr>
          <w:rFonts w:hint="eastAsia" w:ascii="仿宋" w:hAnsi="仿宋" w:eastAsia="仿宋" w:cs="仿宋"/>
          <w:sz w:val="24"/>
          <w:szCs w:val="24"/>
        </w:rPr>
        <w:t>2.3安装调试：本项目的安装调试由中标人负责，成交人应对相关产品的安装提供全面的技术服务与支持。</w:t>
      </w:r>
    </w:p>
    <w:p w14:paraId="1E9E081C">
      <w:pPr>
        <w:spacing w:after="120"/>
        <w:ind w:left="480" w:hanging="480" w:hangingChars="200"/>
        <w:rPr>
          <w:rFonts w:hint="eastAsia" w:ascii="仿宋" w:hAnsi="仿宋" w:eastAsia="仿宋" w:cs="仿宋"/>
          <w:sz w:val="24"/>
          <w:szCs w:val="24"/>
        </w:rPr>
      </w:pPr>
      <w:r>
        <w:rPr>
          <w:rFonts w:hint="eastAsia" w:ascii="仿宋" w:hAnsi="仿宋" w:eastAsia="仿宋" w:cs="仿宋"/>
          <w:sz w:val="24"/>
          <w:szCs w:val="24"/>
        </w:rPr>
        <w:t>2.4培训：成交人应按采购人指定负责培训2名操作管理及维护人员，达到熟练掌握产品性能，能进行基础操作程度。</w:t>
      </w:r>
    </w:p>
    <w:p w14:paraId="043A36F3">
      <w:pPr>
        <w:adjustRightInd w:val="0"/>
        <w:snapToGrid w:val="0"/>
        <w:rPr>
          <w:rFonts w:hint="eastAsia" w:ascii="仿宋" w:hAnsi="仿宋" w:eastAsia="仿宋" w:cs="仿宋"/>
          <w:b/>
          <w:bCs/>
          <w:sz w:val="24"/>
          <w:szCs w:val="24"/>
        </w:rPr>
      </w:pPr>
      <w:r>
        <w:rPr>
          <w:rFonts w:hint="eastAsia" w:ascii="仿宋" w:hAnsi="仿宋" w:eastAsia="仿宋" w:cs="仿宋"/>
          <w:b/>
          <w:bCs/>
          <w:sz w:val="24"/>
          <w:szCs w:val="24"/>
        </w:rPr>
        <w:t>3.质量保证</w:t>
      </w:r>
    </w:p>
    <w:p w14:paraId="5C8AC7DB">
      <w:pPr>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rPr>
        <w:t>3.1中标人提供的产品，符合国家质量检测标准，具有出厂合格证或国家鉴定合格证。参与竞价的供应商须将加盖公司公章的货物清单(包括品牌，型号，技术</w:t>
      </w:r>
      <w:r>
        <w:rPr>
          <w:rFonts w:hint="eastAsia" w:ascii="仿宋" w:hAnsi="仿宋" w:eastAsia="仿宋" w:cs="仿宋"/>
          <w:sz w:val="24"/>
          <w:szCs w:val="24"/>
          <w:highlight w:val="none"/>
        </w:rPr>
        <w:t xml:space="preserve">参数，数量，单价，总价等)扫描并作为附件上传。需提供竞价供应商售后服务承诺书（隔离网需厂家售后服务承诺书原件）以及技术参数中需要提供的证明材料也需一并扫描作为附件上传。（须加盖投标人公章，未提供者其报价无效）。 </w:t>
      </w:r>
    </w:p>
    <w:p w14:paraId="50C70325">
      <w:pPr>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3.2为保证产品质量，保证采购方的合法权益，供应商所提供产品必须是原厂生产、全新未使用过的产品，并符合国家质量标准，供货时须严格按照建议品牌和参数供货。交货时须提供隔离网厂家售后服务承诺书原件，采购人组织现场查验，若所供货品非建议品牌或与技术参数不符，以及不能提供隔离网厂家售后服务承诺书原件的，采购人有权拒收产品。</w:t>
      </w:r>
    </w:p>
    <w:p w14:paraId="765A3A48">
      <w:pPr>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3.3本项目质保期壹年，质保期内任何质量问题须24小时内响应，并及时处理解决。超出厂家正常保修范围的，中标人需向厂家购买；未在投标报价表中单列其费用的，视为免费提供。</w:t>
      </w:r>
    </w:p>
    <w:p w14:paraId="05B302CB">
      <w:pPr>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3.4</w:t>
      </w:r>
      <w:r>
        <w:rPr>
          <w:rFonts w:hint="eastAsia" w:ascii="仿宋" w:hAnsi="仿宋" w:eastAsia="仿宋" w:cs="仿宋"/>
          <w:bCs/>
          <w:sz w:val="24"/>
          <w:szCs w:val="24"/>
          <w:highlight w:val="none"/>
        </w:rPr>
        <w:t>质保期内所有检测、升级和设备维护等要求免费上门服务。</w:t>
      </w:r>
    </w:p>
    <w:p w14:paraId="52947A69">
      <w:pPr>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3.5质量保修期内对由于产品设计、安装工艺、材料、配套件的缺陷、制造、运输和安装调试等原因而造成的系统故障或部件损坏，负责免费排除或维修，并无偿更换由此所发生的备品备件。</w:t>
      </w:r>
    </w:p>
    <w:p w14:paraId="3DF16820">
      <w:pPr>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3.6质保期内出现任何质量问题（人为破坏或自然灾害等不可抗力除外），由中标人负责全免费（免全部工时费、材料费、管理费、财务费等等）更换或维修。</w:t>
      </w:r>
    </w:p>
    <w:p w14:paraId="2360C53D">
      <w:pPr>
        <w:adjustRightInd w:val="0"/>
        <w:snapToGrid w:val="0"/>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4.项目验收标准</w:t>
      </w:r>
    </w:p>
    <w:p w14:paraId="02CE48FE">
      <w:pPr>
        <w:adjustRightInd w:val="0"/>
        <w:snapToGrid w:val="0"/>
        <w:rPr>
          <w:rFonts w:hint="eastAsia" w:ascii="仿宋" w:hAnsi="仿宋" w:eastAsia="仿宋" w:cs="仿宋"/>
          <w:sz w:val="24"/>
          <w:szCs w:val="24"/>
        </w:rPr>
      </w:pPr>
      <w:r>
        <w:rPr>
          <w:rFonts w:hint="eastAsia" w:ascii="仿宋" w:hAnsi="仿宋" w:eastAsia="仿宋" w:cs="仿宋"/>
          <w:sz w:val="24"/>
          <w:szCs w:val="24"/>
          <w:highlight w:val="none"/>
        </w:rPr>
        <w:t>4.1技术参数符合体育器材相关国标：GB 19272-2011《室外健身器材安全要求》、GB17498.1-2008 《固定式健身器材第1部分： 通用安全要求和试验方法》、GB/T 32597-2016《乒乓球台的安全、性能要求和试验方法》及T/SCA110005《专业竞赛乒乓球台》、GB/T19851.13 2007《中小学体育器材和场地第13部分:排球网柱、羽毛球网柱、网球网柱》、GB 4943.1-2022《音视频、信息技术和通信技术设备 第1部分:安全要求》</w:t>
      </w:r>
    </w:p>
    <w:p w14:paraId="58662478">
      <w:pPr>
        <w:adjustRightInd w:val="0"/>
        <w:snapToGrid w:val="0"/>
        <w:rPr>
          <w:rFonts w:hint="eastAsia" w:ascii="仿宋" w:hAnsi="仿宋" w:eastAsia="仿宋" w:cs="仿宋"/>
          <w:sz w:val="24"/>
          <w:szCs w:val="24"/>
        </w:rPr>
      </w:pPr>
      <w:r>
        <w:rPr>
          <w:rFonts w:hint="eastAsia" w:ascii="仿宋" w:hAnsi="仿宋" w:eastAsia="仿宋" w:cs="仿宋"/>
          <w:sz w:val="24"/>
          <w:szCs w:val="24"/>
        </w:rPr>
        <w:t>4.3 项目验收国家有强制性规定的，按国家规定执行，环保部门的检测费用和其他验收费用由成交人全部承担，验收报告作为申请付款的凭证之一。</w:t>
      </w:r>
    </w:p>
    <w:p w14:paraId="5D7A1160">
      <w:pPr>
        <w:adjustRightInd w:val="0"/>
        <w:snapToGrid w:val="0"/>
        <w:rPr>
          <w:rFonts w:hint="eastAsia" w:ascii="仿宋" w:hAnsi="仿宋" w:eastAsia="仿宋" w:cs="仿宋"/>
          <w:sz w:val="24"/>
          <w:szCs w:val="24"/>
        </w:rPr>
      </w:pPr>
      <w:r>
        <w:rPr>
          <w:rFonts w:hint="eastAsia" w:ascii="仿宋" w:hAnsi="仿宋" w:eastAsia="仿宋" w:cs="仿宋"/>
          <w:sz w:val="24"/>
          <w:szCs w:val="24"/>
        </w:rPr>
        <w:t>4.4验收过程中产生纠纷的，由质量技术监督部门认定的检测机构检测，如为成交人原因造成的，由成交人承担检测费用；否则，由采购人承担。</w:t>
      </w:r>
    </w:p>
    <w:p w14:paraId="206B27E2">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4.5采购人验收前要求成交人提供交货清单一份。按照政府采购简易程序验收。</w:t>
      </w:r>
    </w:p>
    <w:p w14:paraId="4B32D161">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4.6验收时由验收小组对所提交的货物逐一检验，并出具最终的验收报告。</w:t>
      </w:r>
    </w:p>
    <w:p w14:paraId="41E9C4A8">
      <w:pPr>
        <w:jc w:val="left"/>
        <w:rPr>
          <w:rFonts w:hint="eastAsia" w:ascii="仿宋" w:hAnsi="仿宋" w:eastAsia="仿宋" w:cs="仿宋"/>
          <w:sz w:val="24"/>
          <w:szCs w:val="24"/>
        </w:rPr>
      </w:pPr>
      <w:r>
        <w:rPr>
          <w:rFonts w:hint="eastAsia" w:ascii="仿宋" w:hAnsi="仿宋" w:eastAsia="仿宋" w:cs="仿宋"/>
          <w:sz w:val="24"/>
          <w:szCs w:val="24"/>
        </w:rPr>
        <w:t>4.7凡验收不达合格，由中标人返工直至合格，有关返工、再行验收，以及给采购人造成的损失等费用由中标人承担。连续两次项目验收不合格的，采购人可终止合同，由此带来的一切损失由中标人承担。</w:t>
      </w:r>
    </w:p>
    <w:p w14:paraId="5E6BECD9">
      <w:pPr>
        <w:adjustRightInd w:val="0"/>
        <w:snapToGrid w:val="0"/>
        <w:rPr>
          <w:rFonts w:hint="eastAsia" w:ascii="仿宋" w:hAnsi="仿宋" w:eastAsia="仿宋" w:cs="仿宋"/>
          <w:sz w:val="24"/>
          <w:szCs w:val="24"/>
        </w:rPr>
      </w:pPr>
      <w:r>
        <w:rPr>
          <w:rFonts w:hint="eastAsia" w:ascii="仿宋" w:hAnsi="仿宋" w:eastAsia="仿宋" w:cs="仿宋"/>
          <w:b/>
          <w:bCs/>
          <w:sz w:val="24"/>
          <w:szCs w:val="24"/>
        </w:rPr>
        <w:t>5.售后服务要求</w:t>
      </w:r>
    </w:p>
    <w:p w14:paraId="4424871A">
      <w:pPr>
        <w:adjustRightInd w:val="0"/>
        <w:snapToGrid w:val="0"/>
        <w:rPr>
          <w:rFonts w:hint="eastAsia" w:ascii="仿宋" w:hAnsi="仿宋" w:eastAsia="仿宋" w:cs="仿宋"/>
          <w:sz w:val="24"/>
          <w:szCs w:val="24"/>
        </w:rPr>
      </w:pPr>
      <w:r>
        <w:rPr>
          <w:rFonts w:hint="eastAsia" w:ascii="仿宋" w:hAnsi="仿宋" w:eastAsia="仿宋" w:cs="仿宋"/>
          <w:sz w:val="24"/>
          <w:szCs w:val="24"/>
        </w:rPr>
        <w:t>5.1维护要求提交以下内容。</w:t>
      </w:r>
    </w:p>
    <w:p w14:paraId="35BDC296">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（1）定期维护计划。</w:t>
      </w:r>
    </w:p>
    <w:p w14:paraId="3909330F">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(2）对采购人不定期维护要求的响应措施。</w:t>
      </w:r>
    </w:p>
    <w:p w14:paraId="7E055082">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(3）对用户修改设计要求的响应措施。</w:t>
      </w:r>
    </w:p>
    <w:p w14:paraId="6BC75A19">
      <w:pPr>
        <w:adjustRightInd w:val="0"/>
        <w:snapToGrid w:val="0"/>
        <w:rPr>
          <w:rFonts w:hint="eastAsia" w:ascii="仿宋" w:hAnsi="仿宋" w:eastAsia="仿宋" w:cs="仿宋"/>
          <w:sz w:val="24"/>
          <w:szCs w:val="24"/>
        </w:rPr>
      </w:pPr>
      <w:r>
        <w:rPr>
          <w:rFonts w:hint="eastAsia" w:ascii="仿宋" w:hAnsi="仿宋" w:eastAsia="仿宋" w:cs="仿宋"/>
          <w:sz w:val="24"/>
          <w:szCs w:val="24"/>
        </w:rPr>
        <w:t>5.2技术支持</w:t>
      </w:r>
    </w:p>
    <w:p w14:paraId="70FC43EF">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(1）提供7×24小时的技术咨询服务。</w:t>
      </w:r>
    </w:p>
    <w:p w14:paraId="6CEE51BF">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(2）重大活动需提供技术人员值守服务。</w:t>
      </w:r>
    </w:p>
    <w:p w14:paraId="2F2F2EDD">
      <w:pPr>
        <w:adjustRightInd w:val="0"/>
        <w:snapToGrid w:val="0"/>
        <w:rPr>
          <w:rFonts w:hint="eastAsia" w:ascii="仿宋" w:hAnsi="仿宋" w:eastAsia="仿宋" w:cs="仿宋"/>
          <w:sz w:val="24"/>
          <w:szCs w:val="24"/>
        </w:rPr>
      </w:pPr>
      <w:r>
        <w:rPr>
          <w:rFonts w:hint="eastAsia" w:ascii="仿宋" w:hAnsi="仿宋" w:eastAsia="仿宋" w:cs="仿宋"/>
          <w:sz w:val="24"/>
          <w:szCs w:val="24"/>
        </w:rPr>
        <w:t>5.3故障响应</w:t>
      </w:r>
    </w:p>
    <w:p w14:paraId="125D04B4">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(1）提供7×24小时的故障服务受理。</w:t>
      </w:r>
    </w:p>
    <w:p w14:paraId="15CC57C9">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(2）对重大故障提供7×24小时的现场支援，一般故障提供5×8小时的现场支援。</w:t>
      </w:r>
    </w:p>
    <w:p w14:paraId="4BFD9937">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(3）备件服务：遇到重大故障，提供系统所需更换的任何备件。</w:t>
      </w:r>
    </w:p>
    <w:p w14:paraId="6BF330C4">
      <w:pPr>
        <w:adjustRightInd w:val="0"/>
        <w:snapToGrid w:val="0"/>
        <w:rPr>
          <w:rFonts w:hint="eastAsia" w:ascii="仿宋" w:hAnsi="仿宋" w:eastAsia="仿宋" w:cs="仿宋"/>
          <w:sz w:val="24"/>
          <w:szCs w:val="24"/>
        </w:rPr>
      </w:pPr>
      <w:r>
        <w:rPr>
          <w:rFonts w:hint="eastAsia" w:ascii="仿宋" w:hAnsi="仿宋" w:eastAsia="仿宋" w:cs="仿宋"/>
          <w:sz w:val="24"/>
          <w:szCs w:val="24"/>
        </w:rPr>
        <w:t>5.4质保期内出现任何质量问题（人为破坏或自然灾害等不可抗力除外），由成交人负责全免费（免全部工时费、材料费、管理费、财务费等等）更换或维修。质保期满后，无论采购人是否另行选择维保供应商，成交人应及时优惠提供所需的备品备件。</w:t>
      </w:r>
    </w:p>
    <w:p w14:paraId="5CF3036B">
      <w:pPr>
        <w:adjustRightInd w:val="0"/>
        <w:snapToGrid w:val="0"/>
        <w:rPr>
          <w:rFonts w:hint="eastAsia" w:ascii="仿宋" w:hAnsi="仿宋" w:eastAsia="仿宋" w:cs="仿宋"/>
          <w:sz w:val="24"/>
          <w:szCs w:val="24"/>
        </w:rPr>
      </w:pPr>
      <w:r>
        <w:rPr>
          <w:rFonts w:hint="eastAsia" w:ascii="仿宋" w:hAnsi="仿宋" w:eastAsia="仿宋" w:cs="仿宋"/>
          <w:sz w:val="24"/>
          <w:szCs w:val="24"/>
        </w:rPr>
        <w:t>5.5修复时间</w:t>
      </w:r>
    </w:p>
    <w:p w14:paraId="08B4FBB7">
      <w:pPr>
        <w:adjustRightInd w:val="0"/>
        <w:snapToGrid w:val="0"/>
        <w:rPr>
          <w:rFonts w:hint="eastAsia" w:ascii="仿宋" w:hAnsi="仿宋" w:eastAsia="仿宋" w:cs="仿宋"/>
          <w:sz w:val="24"/>
          <w:szCs w:val="24"/>
        </w:rPr>
      </w:pPr>
      <w:r>
        <w:rPr>
          <w:rFonts w:hint="eastAsia" w:ascii="仿宋" w:hAnsi="仿宋" w:eastAsia="仿宋" w:cs="仿宋"/>
          <w:sz w:val="24"/>
          <w:szCs w:val="24"/>
        </w:rPr>
        <w:t>提供零配件、易损易耗件等备件支持，能确保修复时间快，一般简单故障当场解决，次级故障12小时之内处理完成，重大故障24小时内响应，修复方案由双方根据故障原因协商确定。</w:t>
      </w:r>
    </w:p>
    <w:p w14:paraId="3834EF3D">
      <w:pPr>
        <w:adjustRightInd w:val="0"/>
        <w:snapToGrid w:val="0"/>
        <w:rPr>
          <w:rFonts w:hint="eastAsia" w:ascii="仿宋" w:hAnsi="仿宋" w:eastAsia="仿宋" w:cs="仿宋"/>
          <w:sz w:val="24"/>
          <w:szCs w:val="24"/>
        </w:rPr>
      </w:pPr>
      <w:r>
        <w:rPr>
          <w:rFonts w:hint="eastAsia" w:ascii="仿宋" w:hAnsi="仿宋" w:eastAsia="仿宋" w:cs="仿宋"/>
          <w:sz w:val="24"/>
          <w:szCs w:val="24"/>
        </w:rPr>
        <w:t>5.6驻场服务</w:t>
      </w:r>
    </w:p>
    <w:p w14:paraId="359DA5FF">
      <w:pPr>
        <w:adjustRightInd w:val="0"/>
        <w:snapToGrid w:val="0"/>
        <w:rPr>
          <w:rFonts w:hint="eastAsia" w:ascii="仿宋" w:hAnsi="仿宋" w:eastAsia="仿宋" w:cs="仿宋"/>
          <w:sz w:val="24"/>
          <w:szCs w:val="24"/>
        </w:rPr>
      </w:pPr>
      <w:r>
        <w:rPr>
          <w:rFonts w:hint="eastAsia" w:ascii="仿宋" w:hAnsi="仿宋" w:eastAsia="仿宋" w:cs="仿宋"/>
          <w:sz w:val="24"/>
          <w:szCs w:val="24"/>
        </w:rPr>
        <w:t>免费服务期内，在学校举行大型</w:t>
      </w:r>
      <w:bookmarkStart w:id="0" w:name="_GoBack"/>
      <w:bookmarkEnd w:id="0"/>
      <w:r>
        <w:rPr>
          <w:rFonts w:hint="eastAsia" w:ascii="仿宋" w:hAnsi="仿宋" w:eastAsia="仿宋" w:cs="仿宋"/>
          <w:sz w:val="24"/>
          <w:szCs w:val="24"/>
        </w:rPr>
        <w:t>活动时，中标人须提供驻场服务。由经验丰富的驻场工程师，与采购人紧密配合，基于标准服务流程、规范制度为采购人提供驻场服务。</w:t>
      </w:r>
    </w:p>
    <w:p w14:paraId="5B7DF454">
      <w:pPr>
        <w:adjustRightInd w:val="0"/>
        <w:snapToGrid w:val="0"/>
        <w:rPr>
          <w:rFonts w:hint="eastAsia" w:ascii="仿宋" w:hAnsi="仿宋" w:eastAsia="仿宋" w:cs="仿宋"/>
          <w:b/>
          <w:bCs/>
          <w:kern w:val="0"/>
          <w:sz w:val="24"/>
          <w:szCs w:val="24"/>
        </w:rPr>
      </w:pPr>
      <w:r>
        <w:rPr>
          <w:rFonts w:hint="eastAsia" w:ascii="仿宋" w:hAnsi="仿宋" w:eastAsia="仿宋" w:cs="仿宋"/>
          <w:b/>
          <w:bCs/>
          <w:kern w:val="0"/>
          <w:sz w:val="24"/>
          <w:szCs w:val="24"/>
        </w:rPr>
        <w:t>三、项目其他要求</w:t>
      </w:r>
    </w:p>
    <w:p w14:paraId="27D4C5CA">
      <w:pPr>
        <w:adjustRightInd w:val="0"/>
        <w:snapToGrid w:val="0"/>
        <w:rPr>
          <w:rFonts w:hint="eastAsia" w:ascii="仿宋" w:hAnsi="仿宋" w:eastAsia="仿宋" w:cs="仿宋"/>
          <w:b/>
          <w:bCs/>
          <w:sz w:val="24"/>
          <w:szCs w:val="24"/>
        </w:rPr>
      </w:pPr>
      <w:r>
        <w:rPr>
          <w:rFonts w:hint="eastAsia" w:ascii="仿宋" w:hAnsi="仿宋" w:eastAsia="仿宋" w:cs="仿宋"/>
          <w:b/>
          <w:bCs/>
          <w:sz w:val="24"/>
          <w:szCs w:val="24"/>
        </w:rPr>
        <w:t>1.交货时间及地点</w:t>
      </w:r>
    </w:p>
    <w:p w14:paraId="5BEB4618">
      <w:pPr>
        <w:adjustRightInd w:val="0"/>
        <w:snapToGrid w:val="0"/>
        <w:rPr>
          <w:rFonts w:hint="eastAsia" w:ascii="仿宋" w:hAnsi="仿宋" w:eastAsia="仿宋" w:cs="仿宋"/>
          <w:sz w:val="24"/>
          <w:szCs w:val="24"/>
        </w:rPr>
      </w:pPr>
      <w:r>
        <w:rPr>
          <w:rFonts w:hint="eastAsia" w:ascii="仿宋" w:hAnsi="仿宋" w:eastAsia="仿宋" w:cs="仿宋"/>
          <w:sz w:val="24"/>
          <w:szCs w:val="24"/>
        </w:rPr>
        <w:t>1.1交货时间：合同签订</w:t>
      </w:r>
      <w:r>
        <w:rPr>
          <w:rFonts w:hint="eastAsia" w:ascii="仿宋" w:hAnsi="仿宋" w:eastAsia="仿宋" w:cs="仿宋"/>
          <w:sz w:val="24"/>
          <w:szCs w:val="24"/>
          <w:lang w:eastAsia="zh-CN"/>
        </w:rPr>
        <w:t>、项目开工</w:t>
      </w:r>
      <w:r>
        <w:rPr>
          <w:rFonts w:hint="eastAsia" w:ascii="仿宋" w:hAnsi="仿宋" w:eastAsia="仿宋" w:cs="仿宋"/>
          <w:sz w:val="24"/>
          <w:szCs w:val="24"/>
        </w:rPr>
        <w:t>后20个工作日内完成供货并安装调试验收合格。</w:t>
      </w:r>
    </w:p>
    <w:p w14:paraId="2A368C0F">
      <w:pPr>
        <w:adjustRightInd w:val="0"/>
        <w:snapToGrid w:val="0"/>
        <w:rPr>
          <w:rFonts w:hint="eastAsia" w:ascii="仿宋" w:hAnsi="仿宋" w:eastAsia="仿宋" w:cs="仿宋"/>
          <w:sz w:val="24"/>
          <w:szCs w:val="24"/>
        </w:rPr>
      </w:pPr>
      <w:r>
        <w:rPr>
          <w:rFonts w:hint="eastAsia" w:ascii="仿宋" w:hAnsi="仿宋" w:eastAsia="仿宋" w:cs="仿宋"/>
          <w:sz w:val="24"/>
          <w:szCs w:val="24"/>
        </w:rPr>
        <w:t>1.2实施地点：学校指定地点。</w:t>
      </w:r>
    </w:p>
    <w:p w14:paraId="6BF97F50">
      <w:pPr>
        <w:adjustRightInd w:val="0"/>
        <w:snapToGrid w:val="0"/>
        <w:rPr>
          <w:rFonts w:hint="eastAsia" w:ascii="仿宋" w:hAnsi="仿宋" w:eastAsia="仿宋" w:cs="仿宋"/>
          <w:sz w:val="24"/>
          <w:szCs w:val="24"/>
        </w:rPr>
      </w:pPr>
      <w:r>
        <w:rPr>
          <w:rFonts w:hint="eastAsia" w:ascii="仿宋" w:hAnsi="仿宋" w:eastAsia="仿宋" w:cs="仿宋"/>
          <w:sz w:val="24"/>
          <w:szCs w:val="24"/>
        </w:rPr>
        <w:t>1.3交货方式：中标人负责将货物送到采购人指定地点，并承担全过程的贮存、运输、装卸等。</w:t>
      </w:r>
    </w:p>
    <w:p w14:paraId="4FC20A03">
      <w:pPr>
        <w:adjustRightInd w:val="0"/>
        <w:snapToGrid w:val="0"/>
        <w:rPr>
          <w:rFonts w:hint="eastAsia" w:ascii="仿宋" w:hAnsi="仿宋" w:eastAsia="仿宋" w:cs="仿宋"/>
          <w:b/>
          <w:bCs/>
          <w:sz w:val="24"/>
          <w:szCs w:val="24"/>
        </w:rPr>
      </w:pPr>
      <w:r>
        <w:rPr>
          <w:rFonts w:hint="eastAsia" w:ascii="仿宋" w:hAnsi="仿宋" w:eastAsia="仿宋" w:cs="仿宋"/>
          <w:b/>
          <w:bCs/>
          <w:sz w:val="24"/>
          <w:szCs w:val="24"/>
        </w:rPr>
        <w:t>2.结算方法</w:t>
      </w:r>
    </w:p>
    <w:p w14:paraId="233BE089">
      <w:pPr>
        <w:adjustRightInd w:val="0"/>
        <w:snapToGrid w:val="0"/>
        <w:rPr>
          <w:rFonts w:hint="eastAsia" w:ascii="仿宋" w:hAnsi="仿宋" w:eastAsia="仿宋" w:cs="仿宋"/>
          <w:sz w:val="24"/>
          <w:szCs w:val="24"/>
        </w:rPr>
      </w:pPr>
      <w:r>
        <w:rPr>
          <w:rFonts w:hint="eastAsia" w:ascii="仿宋" w:hAnsi="仿宋" w:eastAsia="仿宋" w:cs="仿宋"/>
          <w:sz w:val="24"/>
          <w:szCs w:val="24"/>
        </w:rPr>
        <w:t>2.1付款人：学校（通过国库集中支付）。</w:t>
      </w:r>
    </w:p>
    <w:p w14:paraId="0469FB71">
      <w:pPr>
        <w:adjustRightInd w:val="0"/>
        <w:snapToGrid w:val="0"/>
        <w:rPr>
          <w:rFonts w:hint="eastAsia" w:ascii="仿宋" w:hAnsi="仿宋" w:eastAsia="仿宋" w:cs="仿宋"/>
          <w:sz w:val="24"/>
          <w:szCs w:val="24"/>
          <w:highlight w:val="red"/>
        </w:rPr>
      </w:pPr>
      <w:r>
        <w:rPr>
          <w:rFonts w:hint="eastAsia" w:ascii="仿宋" w:hAnsi="仿宋" w:eastAsia="仿宋" w:cs="仿宋"/>
          <w:sz w:val="24"/>
          <w:szCs w:val="24"/>
        </w:rPr>
        <w:t>2.2付款方式：验收合格、资金到位、资产配置计划批复后，支付合同金额的100%，中标人需提供等额的正规税务发票申请付款，付款流程按采购人的财务制度执行。</w:t>
      </w:r>
    </w:p>
    <w:p w14:paraId="146E8D16">
      <w:pPr>
        <w:rPr>
          <w:rFonts w:hint="eastAsia" w:ascii="仿宋" w:hAnsi="仿宋" w:eastAsia="仿宋" w:cs="仿宋"/>
          <w:sz w:val="24"/>
          <w:szCs w:val="24"/>
        </w:rPr>
      </w:pPr>
      <w:r>
        <w:rPr>
          <w:rFonts w:hint="eastAsia" w:ascii="仿宋" w:hAnsi="仿宋" w:eastAsia="仿宋" w:cs="仿宋"/>
          <w:sz w:val="24"/>
          <w:szCs w:val="24"/>
        </w:rPr>
        <w:t>3.本项目采用费用包干方式建设，投标人应根据项目要求和现场情况，详细列明项目所需的设备及材料购置，以及产品运输保险保管、项目安装调试、试运行测试通过验收、培训、质保期免费保修维护等所有人工、管理、财务等所有费用，如一旦中标，在项目实施中出现任何遗漏，均由中标人免费提供，采购人不再支付任何费用。</w:t>
      </w:r>
    </w:p>
    <w:p w14:paraId="3538C1EE">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对于上述项目要求，投标人必须在投标文件的响应表中进行回应，做出承诺及说明。</w:t>
      </w:r>
    </w:p>
    <w:p w14:paraId="0A59C45C">
      <w:pPr>
        <w:adjustRightInd w:val="0"/>
        <w:snapToGrid w:val="0"/>
        <w:spacing w:line="360" w:lineRule="auto"/>
        <w:rPr>
          <w:rFonts w:hint="eastAsia" w:ascii="宋体" w:hAnsi="宋体" w:eastAsia="宋体" w:cs="Times New Roman"/>
          <w:b/>
          <w:color w:val="FF0000"/>
          <w:sz w:val="24"/>
          <w:szCs w:val="24"/>
        </w:rPr>
      </w:pPr>
      <w:r>
        <w:rPr>
          <w:rFonts w:ascii="宋体" w:hAnsi="宋体" w:eastAsia="宋体" w:cs="Times New Roman"/>
          <w:b/>
          <w:color w:val="FF0000"/>
          <w:sz w:val="24"/>
          <w:szCs w:val="24"/>
        </w:rPr>
        <w:t>3.其他要求：请按照网上竞价的参考模板签字、盖章扫描上传电子卖场，未签字盖章的作为无效投标处理。</w:t>
      </w:r>
    </w:p>
    <w:sectPr>
      <w:footerReference r:id="rId3" w:type="default"/>
      <w:pgSz w:w="11906" w:h="16838"/>
      <w:pgMar w:top="1812" w:right="1800" w:bottom="18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3064321"/>
    </w:sdtPr>
    <w:sdtContent>
      <w:p w14:paraId="4ECD9BF2">
        <w:pPr>
          <w:pStyle w:val="7"/>
          <w:jc w:val="center"/>
          <w:rPr>
            <w:rFonts w:hint="eastAsia"/>
          </w:rPr>
        </w:pPr>
        <w:r>
          <w:fldChar w:fldCharType="begin"/>
        </w:r>
        <w:r>
          <w:instrText xml:space="preserve">PAGE   \* MERGEFORMAT</w:instrText>
        </w:r>
        <w:r>
          <w:fldChar w:fldCharType="separate"/>
        </w:r>
        <w:r>
          <w:rPr>
            <w:lang w:val="zh-CN"/>
          </w:rPr>
          <w:t>1</w:t>
        </w:r>
        <w:r>
          <w:fldChar w:fldCharType="end"/>
        </w:r>
      </w:p>
    </w:sdtContent>
  </w:sdt>
  <w:p w14:paraId="3FAED106">
    <w:pPr>
      <w:pStyle w:val="7"/>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C495C"/>
    <w:multiLevelType w:val="multilevel"/>
    <w:tmpl w:val="489C495C"/>
    <w:lvl w:ilvl="0" w:tentative="0">
      <w:start w:val="1"/>
      <w:numFmt w:val="decimal"/>
      <w:lvlText w:val="%1."/>
      <w:lvlJc w:val="left"/>
      <w:pPr>
        <w:ind w:left="567" w:hanging="425"/>
      </w:pPr>
      <w:rPr>
        <w:rFonts w:cs="Times New Roman"/>
      </w:rPr>
    </w:lvl>
    <w:lvl w:ilvl="1" w:tentative="0">
      <w:start w:val="1"/>
      <w:numFmt w:val="decimal"/>
      <w:lvlText w:val="%1.%2."/>
      <w:lvlJc w:val="left"/>
      <w:pPr>
        <w:ind w:left="567" w:hanging="567"/>
      </w:pPr>
      <w:rPr>
        <w:rFonts w:cs="Times New Roman"/>
      </w:rPr>
    </w:lvl>
    <w:lvl w:ilvl="2" w:tentative="0">
      <w:start w:val="1"/>
      <w:numFmt w:val="decimal"/>
      <w:pStyle w:val="14"/>
      <w:lvlText w:val="%1.%2.%3."/>
      <w:lvlJc w:val="left"/>
      <w:pPr>
        <w:ind w:left="709" w:hanging="709"/>
      </w:pPr>
      <w:rPr>
        <w:rFonts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715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12">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6">
    <w:name w:val="Balloon Text"/>
    <w:basedOn w:val="1"/>
    <w:link w:val="24"/>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paragraph" w:customStyle="1" w:styleId="14">
    <w:name w:val="样式1"/>
    <w:basedOn w:val="4"/>
    <w:link w:val="28"/>
    <w:qFormat/>
    <w:uiPriority w:val="0"/>
    <w:pPr>
      <w:numPr>
        <w:ilvl w:val="2"/>
        <w:numId w:val="1"/>
      </w:numPr>
      <w:spacing w:before="0" w:after="50" w:afterLines="50" w:line="240" w:lineRule="auto"/>
      <w:outlineLvl w:val="2"/>
    </w:pPr>
    <w:rPr>
      <w:rFonts w:ascii="微软雅黑" w:hAnsi="微软雅黑" w:eastAsia="微软雅黑" w:cs="黑体"/>
      <w:color w:val="000000"/>
      <w:kern w:val="0"/>
      <w:sz w:val="28"/>
      <w:u w:color="000000"/>
    </w:rPr>
  </w:style>
  <w:style w:type="character" w:customStyle="1" w:styleId="15">
    <w:name w:val="页眉 字符"/>
    <w:basedOn w:val="12"/>
    <w:link w:val="8"/>
    <w:qFormat/>
    <w:uiPriority w:val="99"/>
    <w:rPr>
      <w:sz w:val="18"/>
      <w:szCs w:val="18"/>
    </w:rPr>
  </w:style>
  <w:style w:type="character" w:customStyle="1" w:styleId="16">
    <w:name w:val="标题 1 字符"/>
    <w:basedOn w:val="12"/>
    <w:link w:val="3"/>
    <w:qFormat/>
    <w:uiPriority w:val="9"/>
    <w:rPr>
      <w:b/>
      <w:bCs/>
      <w:kern w:val="44"/>
      <w:sz w:val="44"/>
      <w:szCs w:val="44"/>
    </w:rPr>
  </w:style>
  <w:style w:type="paragraph" w:customStyle="1" w:styleId="17">
    <w:name w:val="Table Paragraph"/>
    <w:basedOn w:val="1"/>
    <w:qFormat/>
    <w:uiPriority w:val="1"/>
    <w:pPr>
      <w:spacing w:line="393" w:lineRule="exact"/>
      <w:ind w:left="107"/>
    </w:pPr>
  </w:style>
  <w:style w:type="character" w:customStyle="1" w:styleId="18">
    <w:name w:val="font41"/>
    <w:basedOn w:val="12"/>
    <w:qFormat/>
    <w:uiPriority w:val="0"/>
    <w:rPr>
      <w:rFonts w:hint="eastAsia" w:ascii="宋体" w:hAnsi="宋体" w:eastAsia="宋体" w:cs="宋体"/>
      <w:color w:val="000000"/>
      <w:sz w:val="20"/>
      <w:szCs w:val="20"/>
      <w:u w:val="none"/>
    </w:rPr>
  </w:style>
  <w:style w:type="character" w:customStyle="1" w:styleId="19">
    <w:name w:val="font21"/>
    <w:basedOn w:val="12"/>
    <w:qFormat/>
    <w:uiPriority w:val="0"/>
    <w:rPr>
      <w:rFonts w:hint="eastAsia" w:ascii="宋体" w:hAnsi="宋体" w:eastAsia="宋体" w:cs="宋体"/>
      <w:b/>
      <w:bCs/>
      <w:color w:val="000000"/>
      <w:sz w:val="21"/>
      <w:szCs w:val="21"/>
      <w:u w:val="none"/>
    </w:rPr>
  </w:style>
  <w:style w:type="character" w:customStyle="1" w:styleId="20">
    <w:name w:val="页脚 字符"/>
    <w:basedOn w:val="12"/>
    <w:link w:val="7"/>
    <w:qFormat/>
    <w:uiPriority w:val="99"/>
    <w:rPr>
      <w:sz w:val="18"/>
      <w:szCs w:val="18"/>
    </w:rPr>
  </w:style>
  <w:style w:type="paragraph" w:customStyle="1" w:styleId="21">
    <w:name w:val="列出段落1"/>
    <w:basedOn w:val="1"/>
    <w:unhideWhenUsed/>
    <w:qFormat/>
    <w:uiPriority w:val="99"/>
    <w:pPr>
      <w:ind w:firstLine="420" w:firstLineChars="200"/>
    </w:pPr>
  </w:style>
  <w:style w:type="character" w:customStyle="1" w:styleId="22">
    <w:name w:val="列表段落 字符"/>
    <w:link w:val="23"/>
    <w:qFormat/>
    <w:uiPriority w:val="99"/>
  </w:style>
  <w:style w:type="paragraph" w:customStyle="1" w:styleId="23">
    <w:name w:val="List Paragraph"/>
    <w:basedOn w:val="1"/>
    <w:link w:val="22"/>
    <w:unhideWhenUsed/>
    <w:qFormat/>
    <w:uiPriority w:val="99"/>
    <w:pPr>
      <w:ind w:firstLine="420" w:firstLineChars="200"/>
    </w:pPr>
  </w:style>
  <w:style w:type="character" w:customStyle="1" w:styleId="24">
    <w:name w:val="批注框文本 字符"/>
    <w:basedOn w:val="12"/>
    <w:link w:val="6"/>
    <w:qFormat/>
    <w:uiPriority w:val="99"/>
    <w:rPr>
      <w:sz w:val="18"/>
      <w:szCs w:val="18"/>
    </w:rPr>
  </w:style>
  <w:style w:type="character" w:customStyle="1" w:styleId="25">
    <w:name w:val="font91"/>
    <w:basedOn w:val="12"/>
    <w:uiPriority w:val="0"/>
    <w:rPr>
      <w:rFonts w:ascii="Calibri" w:hAnsi="Calibri" w:cs="Calibri"/>
      <w:color w:val="000000"/>
      <w:sz w:val="20"/>
      <w:szCs w:val="20"/>
      <w:u w:val="none"/>
    </w:rPr>
  </w:style>
  <w:style w:type="character" w:customStyle="1" w:styleId="26">
    <w:name w:val="列出段落 Char"/>
    <w:link w:val="27"/>
    <w:qFormat/>
    <w:locked/>
    <w:uiPriority w:val="0"/>
  </w:style>
  <w:style w:type="paragraph" w:customStyle="1" w:styleId="27">
    <w:name w:val="_Style 14"/>
    <w:basedOn w:val="1"/>
    <w:next w:val="23"/>
    <w:link w:val="26"/>
    <w:qFormat/>
    <w:uiPriority w:val="0"/>
    <w:pPr>
      <w:ind w:firstLine="420" w:firstLineChars="200"/>
    </w:pPr>
  </w:style>
  <w:style w:type="character" w:customStyle="1" w:styleId="28">
    <w:name w:val="样式1 Char"/>
    <w:basedOn w:val="29"/>
    <w:link w:val="14"/>
    <w:qFormat/>
    <w:uiPriority w:val="0"/>
    <w:rPr>
      <w:rFonts w:ascii="微软雅黑" w:hAnsi="微软雅黑" w:eastAsia="微软雅黑" w:cs="黑体"/>
      <w:color w:val="000000"/>
      <w:kern w:val="0"/>
      <w:sz w:val="28"/>
      <w:szCs w:val="32"/>
      <w:u w:color="000000"/>
    </w:rPr>
  </w:style>
  <w:style w:type="character" w:customStyle="1" w:styleId="29">
    <w:name w:val="标题 2 字符"/>
    <w:basedOn w:val="12"/>
    <w:link w:val="4"/>
    <w:semiHidden/>
    <w:qFormat/>
    <w:uiPriority w:val="9"/>
    <w:rPr>
      <w:rFonts w:asciiTheme="majorHAnsi" w:hAnsiTheme="majorHAnsi" w:eastAsiaTheme="majorEastAsia" w:cstheme="majorBidi"/>
      <w:b/>
      <w:bCs/>
      <w:sz w:val="32"/>
      <w:szCs w:val="32"/>
    </w:rPr>
  </w:style>
  <w:style w:type="character" w:customStyle="1" w:styleId="30">
    <w:name w:val="font31"/>
    <w:basedOn w:val="12"/>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4655</Words>
  <Characters>5253</Characters>
  <Lines>0</Lines>
  <Paragraphs>0</Paragraphs>
  <TotalTime>211</TotalTime>
  <ScaleCrop>false</ScaleCrop>
  <LinksUpToDate>false</LinksUpToDate>
  <CharactersWithSpaces>5306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2025-07-02T16:49:00Z</dcterms:created>
  <dc:creator>Administrator</dc:creator>
  <cp:lastModifiedBy>梦婷</cp:lastModifiedBy>
  <dcterms:modified xsi:type="dcterms:W3CDTF">2025-07-02T08:06:47Z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43838B1E0315F2C5BA82646830B144AA_33</vt:lpwstr>
  </property>
  <property fmtid="{D5CDD505-2E9C-101B-9397-08002B2CF9AE}" pid="3" name="KSOProductBuildVer">
    <vt:lpwstr>2052-12.1.0.21541</vt:lpwstr>
  </property>
  <property fmtid="{D5CDD505-2E9C-101B-9397-08002B2CF9AE}" pid="4" name="KSOTemplateDocerSaveRecord">
    <vt:lpwstr>eyJoZGlkIjoiODMyYmRjNjhmMGNkYjcyY2NhN2EyZTc0NjFmNThlMDEiLCJ1c2VySWQiOiIxMDM3NTc4ODgwIn0=</vt:lpwstr>
  </property>
</Properties>
</file>