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CCD9F7">
      <w:pPr>
        <w:keepNext w:val="0"/>
        <w:keepLines w:val="0"/>
        <w:pageBreakBefore w:val="0"/>
        <w:widowControl w:val="0"/>
        <w:kinsoku/>
        <w:wordWrap/>
        <w:overflowPunct/>
        <w:topLinePunct w:val="0"/>
        <w:autoSpaceDE/>
        <w:autoSpaceDN/>
        <w:bidi w:val="0"/>
        <w:adjustRightInd/>
        <w:snapToGrid/>
        <w:spacing w:line="760" w:lineRule="exact"/>
        <w:ind w:right="-475" w:rightChars="-226"/>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金山桥街道金坪社区党群服务中心阵地建设项目</w:t>
      </w:r>
    </w:p>
    <w:p w14:paraId="234D8425">
      <w:pPr>
        <w:keepNext w:val="0"/>
        <w:keepLines w:val="0"/>
        <w:pageBreakBefore w:val="0"/>
        <w:widowControl w:val="0"/>
        <w:kinsoku/>
        <w:wordWrap/>
        <w:overflowPunct/>
        <w:topLinePunct w:val="0"/>
        <w:autoSpaceDE/>
        <w:autoSpaceDN/>
        <w:bidi w:val="0"/>
        <w:adjustRightInd/>
        <w:snapToGrid/>
        <w:spacing w:line="760" w:lineRule="exact"/>
        <w:ind w:right="151" w:rightChars="72"/>
        <w:jc w:val="center"/>
        <w:textAlignment w:val="auto"/>
        <w:rPr>
          <w:rFonts w:hint="eastAsia" w:ascii="方正小标宋简体" w:hAnsi="方正小标宋简体" w:eastAsia="方正小标宋简体" w:cs="方正小标宋简体"/>
          <w:b/>
          <w:bCs/>
          <w:sz w:val="44"/>
          <w:szCs w:val="44"/>
          <w:lang w:eastAsia="zh-CN"/>
        </w:rPr>
      </w:pPr>
      <w:r>
        <w:rPr>
          <w:rFonts w:hint="eastAsia" w:ascii="方正小标宋简体" w:hAnsi="方正小标宋简体" w:eastAsia="方正小标宋简体" w:cs="方正小标宋简体"/>
          <w:b/>
          <w:bCs/>
          <w:sz w:val="44"/>
          <w:szCs w:val="44"/>
        </w:rPr>
        <w:t>（</w:t>
      </w:r>
      <w:r>
        <w:rPr>
          <w:rFonts w:hint="eastAsia" w:ascii="方正小标宋简体" w:hAnsi="方正小标宋简体" w:eastAsia="方正小标宋简体" w:cs="方正小标宋简体"/>
          <w:b/>
          <w:bCs/>
          <w:sz w:val="44"/>
          <w:szCs w:val="44"/>
          <w:lang w:val="en-US" w:eastAsia="zh-CN"/>
        </w:rPr>
        <w:t>电梯</w:t>
      </w:r>
      <w:r>
        <w:rPr>
          <w:rFonts w:hint="eastAsia" w:ascii="方正小标宋简体" w:hAnsi="方正小标宋简体" w:eastAsia="方正小标宋简体" w:cs="方正小标宋简体"/>
          <w:b/>
          <w:bCs/>
          <w:sz w:val="44"/>
          <w:szCs w:val="44"/>
        </w:rPr>
        <w:t>采购部分）</w:t>
      </w:r>
      <w:r>
        <w:rPr>
          <w:rFonts w:hint="eastAsia" w:ascii="方正小标宋简体" w:hAnsi="方正小标宋简体" w:eastAsia="方正小标宋简体" w:cs="方正小标宋简体"/>
          <w:b/>
          <w:bCs/>
          <w:sz w:val="44"/>
          <w:szCs w:val="44"/>
          <w:lang w:eastAsia="zh-CN"/>
        </w:rPr>
        <w:t>竞价须知</w:t>
      </w:r>
    </w:p>
    <w:p w14:paraId="0E28A3E3">
      <w:pPr>
        <w:keepNext w:val="0"/>
        <w:keepLines w:val="0"/>
        <w:pageBreakBefore w:val="0"/>
        <w:widowControl w:val="0"/>
        <w:kinsoku/>
        <w:wordWrap/>
        <w:overflowPunct/>
        <w:topLinePunct w:val="0"/>
        <w:autoSpaceDE/>
        <w:autoSpaceDN/>
        <w:bidi w:val="0"/>
        <w:adjustRightInd/>
        <w:snapToGrid/>
        <w:spacing w:line="760" w:lineRule="exact"/>
        <w:ind w:right="151" w:rightChars="72"/>
        <w:jc w:val="center"/>
        <w:textAlignment w:val="auto"/>
        <w:rPr>
          <w:rFonts w:hint="eastAsia" w:ascii="方正小标宋简体" w:hAnsi="方正小标宋简体" w:eastAsia="方正小标宋简体" w:cs="方正小标宋简体"/>
          <w:b/>
          <w:bCs/>
          <w:sz w:val="44"/>
          <w:szCs w:val="44"/>
          <w:lang w:eastAsia="zh-CN"/>
        </w:rPr>
      </w:pPr>
    </w:p>
    <w:p w14:paraId="11BAE1CA">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rPr>
        <w:t>一、项目基本情况：</w:t>
      </w:r>
    </w:p>
    <w:p w14:paraId="2E945470">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1.项目名称：金山桥街道金坪社区党群服务中心阵地建设项目（</w:t>
      </w:r>
      <w:r>
        <w:rPr>
          <w:rFonts w:hint="eastAsia" w:ascii="仿宋_GB2312" w:hAnsi="仿宋_GB2312" w:eastAsia="仿宋_GB2312" w:cs="仿宋_GB2312"/>
          <w:sz w:val="32"/>
          <w:szCs w:val="32"/>
          <w:lang w:eastAsia="zh-CN"/>
        </w:rPr>
        <w:t>电梯</w:t>
      </w:r>
      <w:r>
        <w:rPr>
          <w:rFonts w:hint="eastAsia" w:ascii="仿宋_GB2312" w:hAnsi="仿宋_GB2312" w:eastAsia="仿宋_GB2312" w:cs="仿宋_GB2312"/>
          <w:sz w:val="32"/>
          <w:szCs w:val="32"/>
        </w:rPr>
        <w:t>采购部分）</w:t>
      </w:r>
    </w:p>
    <w:p w14:paraId="4D8E269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2.项目主要内容：详见</w:t>
      </w:r>
      <w:r>
        <w:rPr>
          <w:rFonts w:hint="eastAsia" w:ascii="仿宋_GB2312" w:hAnsi="仿宋_GB2312" w:eastAsia="仿宋_GB2312" w:cs="仿宋_GB2312"/>
          <w:sz w:val="32"/>
          <w:szCs w:val="32"/>
          <w:lang w:eastAsia="zh-CN"/>
        </w:rPr>
        <w:t>技术参数</w:t>
      </w:r>
    </w:p>
    <w:p w14:paraId="08D2BC5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3.交货时间：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2024</w:t>
      </w:r>
      <w:r>
        <w:rPr>
          <w:rFonts w:hint="eastAsia" w:ascii="仿宋_GB2312" w:hAnsi="仿宋_GB2312" w:eastAsia="仿宋_GB2312" w:cs="仿宋_GB2312"/>
          <w:sz w:val="32"/>
          <w:szCs w:val="32"/>
          <w:u w:val="single"/>
          <w:lang w:val="en-US" w:eastAsia="zh-CN"/>
        </w:rPr>
        <w:tab/>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12</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30</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日</w:t>
      </w:r>
    </w:p>
    <w:p w14:paraId="6A84991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4.竞价上限金额</w:t>
      </w:r>
      <w:r>
        <w:rPr>
          <w:rFonts w:hint="eastAsia" w:ascii="仿宋_GB2312" w:hAnsi="仿宋_GB2312" w:eastAsia="仿宋_GB2312" w:cs="仿宋_GB2312"/>
          <w:sz w:val="32"/>
          <w:szCs w:val="32"/>
          <w:u w:val="none"/>
        </w:rPr>
        <w:t>：￥</w:t>
      </w:r>
      <w:r>
        <w:rPr>
          <w:rFonts w:hint="eastAsia" w:ascii="仿宋_GB2312" w:hAnsi="仿宋_GB2312" w:eastAsia="仿宋_GB2312" w:cs="仿宋_GB2312"/>
          <w:sz w:val="32"/>
          <w:szCs w:val="32"/>
          <w:u w:val="single"/>
          <w:lang w:val="en-US" w:eastAsia="zh-CN"/>
        </w:rPr>
        <w:t xml:space="preserve">  158000.00 </w:t>
      </w:r>
      <w:r>
        <w:rPr>
          <w:rFonts w:hint="eastAsia" w:ascii="仿宋_GB2312" w:hAnsi="仿宋_GB2312" w:eastAsia="仿宋_GB2312" w:cs="仿宋_GB2312"/>
          <w:sz w:val="32"/>
          <w:szCs w:val="32"/>
        </w:rPr>
        <w:t>元（总价款包含</w:t>
      </w:r>
      <w:r>
        <w:rPr>
          <w:rFonts w:hint="eastAsia" w:ascii="仿宋_GB2312" w:hAnsi="仿宋_GB2312" w:eastAsia="仿宋_GB2312" w:cs="仿宋_GB2312"/>
          <w:sz w:val="32"/>
          <w:szCs w:val="32"/>
          <w:lang w:eastAsia="zh-CN"/>
        </w:rPr>
        <w:t>运输</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税</w:t>
      </w:r>
      <w:r>
        <w:rPr>
          <w:rFonts w:hint="eastAsia" w:ascii="仿宋_GB2312" w:hAnsi="仿宋_GB2312" w:eastAsia="仿宋_GB2312" w:cs="仿宋_GB2312"/>
          <w:sz w:val="32"/>
          <w:szCs w:val="32"/>
          <w:lang w:eastAsia="zh-CN"/>
        </w:rPr>
        <w:t>金</w:t>
      </w:r>
      <w:r>
        <w:rPr>
          <w:rFonts w:hint="eastAsia" w:ascii="仿宋_GB2312" w:hAnsi="仿宋_GB2312" w:eastAsia="仿宋_GB2312" w:cs="仿宋_GB2312"/>
          <w:sz w:val="32"/>
          <w:szCs w:val="32"/>
        </w:rPr>
        <w:t>等一切费用）</w:t>
      </w:r>
    </w:p>
    <w:p w14:paraId="582DAC8B">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 xml:space="preserve">    </w:t>
      </w:r>
      <w:r>
        <w:rPr>
          <w:rFonts w:hint="eastAsia" w:ascii="黑体" w:hAnsi="黑体" w:eastAsia="黑体" w:cs="黑体"/>
          <w:b/>
          <w:bCs/>
          <w:sz w:val="32"/>
          <w:szCs w:val="32"/>
        </w:rPr>
        <w:t xml:space="preserve"> 二、项目基本要求：</w:t>
      </w:r>
    </w:p>
    <w:p w14:paraId="29CC8ED1">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竞价详细要</w:t>
      </w:r>
      <w:r>
        <w:rPr>
          <w:rFonts w:hint="eastAsia" w:ascii="仿宋_GB2312" w:hAnsi="仿宋_GB2312" w:eastAsia="仿宋_GB2312" w:cs="仿宋_GB2312"/>
          <w:sz w:val="32"/>
          <w:szCs w:val="32"/>
        </w:rPr>
        <w:t>求：</w:t>
      </w:r>
      <w:r>
        <w:rPr>
          <w:rFonts w:hint="eastAsia" w:ascii="仿宋_GB2312" w:hAnsi="仿宋_GB2312" w:eastAsia="仿宋_GB2312" w:cs="仿宋_GB2312"/>
          <w:sz w:val="32"/>
          <w:szCs w:val="32"/>
          <w:lang w:eastAsia="zh-CN"/>
        </w:rPr>
        <w:t>详见附表</w:t>
      </w:r>
    </w:p>
    <w:p w14:paraId="4A6D407B">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2.质量要求：采购清单产品均符合</w:t>
      </w:r>
      <w:r>
        <w:rPr>
          <w:rFonts w:hint="eastAsia" w:ascii="仿宋_GB2312" w:hAnsi="仿宋_GB2312" w:eastAsia="仿宋_GB2312" w:cs="仿宋_GB2312"/>
          <w:sz w:val="32"/>
          <w:szCs w:val="32"/>
          <w:lang w:val="en-US" w:eastAsia="zh-CN"/>
        </w:rPr>
        <w:t>GB10060-2011《电梯安装验收规范》、GB/T7588.1/2-2020《电梯制造与安装安全规范》</w:t>
      </w:r>
      <w:r>
        <w:rPr>
          <w:rFonts w:hint="eastAsia" w:ascii="仿宋_GB2312" w:hAnsi="仿宋_GB2312" w:eastAsia="仿宋_GB2312" w:cs="仿宋_GB2312"/>
          <w:sz w:val="32"/>
          <w:szCs w:val="32"/>
        </w:rPr>
        <w:t>要求，项目采用费用包干方式，</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应根据项目要求，详细</w:t>
      </w:r>
      <w:r>
        <w:rPr>
          <w:rFonts w:hint="eastAsia" w:ascii="仿宋_GB2312" w:hAnsi="仿宋_GB2312" w:eastAsia="仿宋_GB2312" w:cs="仿宋_GB2312"/>
          <w:sz w:val="32"/>
          <w:szCs w:val="32"/>
          <w:lang w:eastAsia="zh-CN"/>
        </w:rPr>
        <w:t>填写清单报价。包含</w:t>
      </w:r>
      <w:r>
        <w:rPr>
          <w:rFonts w:hint="eastAsia" w:ascii="仿宋_GB2312" w:hAnsi="仿宋_GB2312" w:eastAsia="仿宋_GB2312" w:cs="仿宋_GB2312"/>
          <w:sz w:val="32"/>
          <w:szCs w:val="32"/>
        </w:rPr>
        <w:t>产品运输</w:t>
      </w:r>
      <w:r>
        <w:rPr>
          <w:rFonts w:hint="eastAsia" w:ascii="仿宋_GB2312" w:hAnsi="仿宋_GB2312" w:eastAsia="仿宋_GB2312" w:cs="仿宋_GB2312"/>
          <w:sz w:val="32"/>
          <w:szCs w:val="32"/>
          <w:lang w:eastAsia="zh-CN"/>
        </w:rPr>
        <w:t>现场</w:t>
      </w:r>
      <w:r>
        <w:rPr>
          <w:rFonts w:hint="eastAsia" w:ascii="仿宋_GB2312" w:hAnsi="仿宋_GB2312" w:eastAsia="仿宋_GB2312" w:cs="仿宋_GB2312"/>
          <w:sz w:val="32"/>
          <w:szCs w:val="32"/>
        </w:rPr>
        <w:t>保管、质保期免费保修维护</w:t>
      </w:r>
      <w:r>
        <w:rPr>
          <w:rFonts w:hint="eastAsia" w:ascii="仿宋_GB2312" w:hAnsi="仿宋_GB2312" w:eastAsia="仿宋_GB2312" w:cs="仿宋_GB2312"/>
          <w:sz w:val="32"/>
          <w:szCs w:val="32"/>
          <w:lang w:eastAsia="zh-CN"/>
        </w:rPr>
        <w:t>、税金</w:t>
      </w:r>
      <w:r>
        <w:rPr>
          <w:rFonts w:hint="eastAsia" w:ascii="仿宋_GB2312" w:hAnsi="仿宋_GB2312" w:eastAsia="仿宋_GB2312" w:cs="仿宋_GB2312"/>
          <w:sz w:val="32"/>
          <w:szCs w:val="32"/>
        </w:rPr>
        <w:t>等所有</w:t>
      </w:r>
      <w:r>
        <w:rPr>
          <w:rFonts w:hint="eastAsia" w:ascii="仿宋_GB2312" w:hAnsi="仿宋_GB2312" w:eastAsia="仿宋_GB2312" w:cs="仿宋_GB2312"/>
          <w:sz w:val="32"/>
          <w:szCs w:val="32"/>
          <w:lang w:eastAsia="zh-CN"/>
        </w:rPr>
        <w:t>费用。</w:t>
      </w:r>
      <w:r>
        <w:rPr>
          <w:rFonts w:hint="eastAsia" w:ascii="仿宋_GB2312" w:hAnsi="仿宋_GB2312" w:eastAsia="仿宋_GB2312" w:cs="仿宋_GB2312"/>
          <w:sz w:val="32"/>
          <w:szCs w:val="32"/>
        </w:rPr>
        <w:t>在项目实施中出现任何遗漏，均由成交人免费提供，</w:t>
      </w:r>
      <w:r>
        <w:rPr>
          <w:rFonts w:hint="eastAsia" w:ascii="仿宋_GB2312" w:hAnsi="仿宋_GB2312" w:eastAsia="仿宋_GB2312" w:cs="仿宋_GB2312"/>
          <w:sz w:val="32"/>
          <w:szCs w:val="32"/>
          <w:lang w:eastAsia="zh-CN"/>
        </w:rPr>
        <w:t>采购方</w:t>
      </w:r>
      <w:r>
        <w:rPr>
          <w:rFonts w:hint="eastAsia" w:ascii="仿宋_GB2312" w:hAnsi="仿宋_GB2312" w:eastAsia="仿宋_GB2312" w:cs="仿宋_GB2312"/>
          <w:sz w:val="32"/>
          <w:szCs w:val="32"/>
        </w:rPr>
        <w:t>不再支付任何费用。</w:t>
      </w:r>
    </w:p>
    <w:p w14:paraId="45F35ACC">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.质保期限：整机保修1年。</w:t>
      </w:r>
    </w:p>
    <w:p w14:paraId="3F26B707">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.结算要求：验收合格后付款</w:t>
      </w:r>
      <w:r>
        <w:rPr>
          <w:rFonts w:hint="eastAsia" w:ascii="仿宋_GB2312" w:hAnsi="仿宋_GB2312" w:eastAsia="仿宋_GB2312" w:cs="仿宋_GB2312"/>
          <w:sz w:val="32"/>
          <w:szCs w:val="32"/>
          <w:lang w:val="en-US" w:eastAsia="zh-CN"/>
        </w:rPr>
        <w:t>97</w:t>
      </w:r>
      <w:r>
        <w:rPr>
          <w:rFonts w:hint="eastAsia" w:ascii="仿宋_GB2312" w:hAnsi="仿宋_GB2312" w:eastAsia="仿宋_GB2312" w:cs="仿宋_GB2312"/>
          <w:sz w:val="32"/>
          <w:szCs w:val="32"/>
          <w:lang w:eastAsia="zh-CN"/>
        </w:rPr>
        <w:t>％，预留</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％质保金一年后支付</w:t>
      </w:r>
      <w:r>
        <w:rPr>
          <w:rFonts w:hint="eastAsia" w:ascii="仿宋_GB2312" w:hAnsi="仿宋_GB2312" w:eastAsia="仿宋_GB2312" w:cs="仿宋_GB2312"/>
          <w:sz w:val="32"/>
          <w:szCs w:val="32"/>
        </w:rPr>
        <w:t>。</w:t>
      </w:r>
    </w:p>
    <w:p w14:paraId="02C755AA">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lang w:val="en-US" w:eastAsia="zh-CN"/>
        </w:rPr>
        <w:t>三、</w:t>
      </w:r>
      <w:r>
        <w:rPr>
          <w:rFonts w:hint="eastAsia" w:ascii="黑体" w:hAnsi="黑体" w:eastAsia="黑体" w:cs="黑体"/>
          <w:b/>
          <w:bCs/>
          <w:sz w:val="32"/>
          <w:szCs w:val="32"/>
        </w:rPr>
        <w:t>供应商</w:t>
      </w:r>
      <w:r>
        <w:rPr>
          <w:rFonts w:hint="eastAsia" w:ascii="黑体" w:hAnsi="黑体" w:eastAsia="黑体" w:cs="黑体"/>
          <w:b/>
          <w:bCs/>
          <w:sz w:val="32"/>
          <w:szCs w:val="32"/>
          <w:lang w:val="en-US" w:eastAsia="zh-CN"/>
        </w:rPr>
        <w:t>和品牌制造商</w:t>
      </w:r>
      <w:r>
        <w:rPr>
          <w:rFonts w:hint="eastAsia" w:ascii="黑体" w:hAnsi="黑体" w:eastAsia="黑体" w:cs="黑体"/>
          <w:b/>
          <w:bCs/>
          <w:sz w:val="32"/>
          <w:szCs w:val="32"/>
        </w:rPr>
        <w:t>资质要求：</w:t>
      </w:r>
    </w:p>
    <w:p w14:paraId="5C4CA43F">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1.供应商</w:t>
      </w:r>
      <w:r>
        <w:rPr>
          <w:rFonts w:hint="eastAsia" w:ascii="仿宋_GB2312" w:hAnsi="仿宋_GB2312" w:eastAsia="仿宋_GB2312" w:cs="仿宋_GB2312"/>
          <w:sz w:val="32"/>
          <w:szCs w:val="32"/>
          <w:lang w:val="en-US" w:eastAsia="zh-CN"/>
        </w:rPr>
        <w:t>和品牌制造商</w:t>
      </w:r>
      <w:r>
        <w:rPr>
          <w:rFonts w:hint="eastAsia" w:ascii="仿宋_GB2312" w:hAnsi="仿宋_GB2312" w:eastAsia="仿宋_GB2312" w:cs="仿宋_GB2312"/>
          <w:sz w:val="32"/>
          <w:szCs w:val="32"/>
        </w:rPr>
        <w:t>必须具备独立法人资格，依法具有企业单位营业执照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营业执照处于有效期间）</w:t>
      </w:r>
      <w:r>
        <w:rPr>
          <w:rFonts w:hint="eastAsia" w:ascii="仿宋_GB2312" w:hAnsi="仿宋_GB2312" w:eastAsia="仿宋_GB2312" w:cs="仿宋_GB2312"/>
          <w:sz w:val="32"/>
          <w:szCs w:val="32"/>
          <w:lang w:val="en-US" w:eastAsia="zh-CN"/>
        </w:rPr>
        <w:t>提供相应证书复印件并加盖公章</w:t>
      </w:r>
      <w:r>
        <w:rPr>
          <w:rFonts w:hint="eastAsia" w:ascii="仿宋_GB2312" w:hAnsi="仿宋_GB2312" w:eastAsia="仿宋_GB2312" w:cs="仿宋_GB2312"/>
          <w:sz w:val="32"/>
          <w:szCs w:val="32"/>
        </w:rPr>
        <w:t>。</w:t>
      </w:r>
    </w:p>
    <w:p w14:paraId="3828BB9D">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品牌制造商须具备《特种设备制造许可证》A级资质或新许可证《特种设备生产许可证》电梯安装曳引驱动乘客电梯（含消防员电梯）资质，提供相应证书复印件并加盖品牌制造公章。</w:t>
      </w:r>
    </w:p>
    <w:p w14:paraId="0B241FC1">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供应商具有</w:t>
      </w:r>
      <w:r>
        <w:rPr>
          <w:rFonts w:hint="eastAsia" w:ascii="仿宋_GB2312" w:hAnsi="仿宋_GB2312" w:eastAsia="仿宋_GB2312" w:cs="仿宋_GB2312"/>
          <w:sz w:val="32"/>
          <w:szCs w:val="32"/>
          <w:lang w:val="en-US" w:eastAsia="zh-CN"/>
        </w:rPr>
        <w:t>《特种设备安装改造维修许可证》B级资质或新许可证《特种设备生产许可证》电梯安装曳引驱动乘客电梯（含消防员电梯）提供相应证书复印件并加盖供应商公章</w:t>
      </w:r>
      <w:r>
        <w:rPr>
          <w:rFonts w:hint="eastAsia" w:ascii="仿宋_GB2312" w:hAnsi="仿宋_GB2312" w:eastAsia="仿宋_GB2312" w:cs="仿宋_GB2312"/>
          <w:sz w:val="32"/>
          <w:szCs w:val="32"/>
        </w:rPr>
        <w:t>。</w:t>
      </w:r>
    </w:p>
    <w:p w14:paraId="44ADB393">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4、品牌制造商须具有有效期内的ISO9001质量认证、ISO14001环境体系认证、ISO45001职业健康安全认证。提供相应证书复印件并加盖供应商公章。</w:t>
      </w:r>
    </w:p>
    <w:p w14:paraId="3D0B4F4F">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2"/>
          <w:szCs w:val="32"/>
          <w:lang w:val="en-US" w:eastAsia="zh-CN"/>
        </w:rPr>
        <w:t>5、品牌制造商在长沙注册直属分支机构，提供相应证书复印件并加盖供应商公章。</w:t>
      </w:r>
    </w:p>
    <w:p w14:paraId="4116687C">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lang w:eastAsia="zh-CN"/>
        </w:rPr>
        <w:t>四、</w:t>
      </w:r>
      <w:r>
        <w:rPr>
          <w:rFonts w:hint="eastAsia" w:ascii="黑体" w:hAnsi="黑体" w:eastAsia="黑体" w:cs="黑体"/>
          <w:b/>
          <w:bCs/>
          <w:sz w:val="32"/>
          <w:szCs w:val="32"/>
        </w:rPr>
        <w:t>竞价相应附件要求（</w:t>
      </w:r>
      <w:r>
        <w:rPr>
          <w:rFonts w:hint="eastAsia" w:ascii="黑体" w:hAnsi="黑体" w:eastAsia="黑体" w:cs="黑体"/>
          <w:b/>
          <w:bCs/>
          <w:sz w:val="32"/>
          <w:szCs w:val="32"/>
          <w:lang w:eastAsia="zh-CN"/>
        </w:rPr>
        <w:t>请</w:t>
      </w:r>
      <w:r>
        <w:rPr>
          <w:rFonts w:hint="eastAsia" w:ascii="黑体" w:hAnsi="黑体" w:eastAsia="黑体" w:cs="黑体"/>
          <w:b/>
          <w:bCs/>
          <w:sz w:val="32"/>
          <w:szCs w:val="32"/>
        </w:rPr>
        <w:t>供应商竞价时按下列要求上传相关附件）：</w:t>
      </w:r>
    </w:p>
    <w:p w14:paraId="5F15A15A">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1、营业执照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扫描件</w:t>
      </w:r>
      <w:r>
        <w:rPr>
          <w:rFonts w:hint="eastAsia" w:ascii="仿宋_GB2312" w:hAnsi="仿宋_GB2312" w:eastAsia="仿宋_GB2312" w:cs="仿宋_GB2312"/>
          <w:sz w:val="32"/>
          <w:szCs w:val="32"/>
          <w:lang w:eastAsia="zh-CN"/>
        </w:rPr>
        <w:t>）。</w:t>
      </w:r>
    </w:p>
    <w:p w14:paraId="5BE2AC6A">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2、质量保修承诺书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无</w:t>
      </w:r>
      <w:r>
        <w:rPr>
          <w:rFonts w:hint="eastAsia" w:ascii="仿宋_GB2312" w:hAnsi="仿宋_GB2312" w:eastAsia="仿宋_GB2312" w:cs="仿宋_GB2312"/>
          <w:sz w:val="32"/>
          <w:szCs w:val="32"/>
          <w:lang w:eastAsia="zh-CN"/>
        </w:rPr>
        <w:t>统一</w:t>
      </w:r>
      <w:r>
        <w:rPr>
          <w:rFonts w:hint="eastAsia" w:ascii="仿宋_GB2312" w:hAnsi="仿宋_GB2312" w:eastAsia="仿宋_GB2312" w:cs="仿宋_GB2312"/>
          <w:sz w:val="32"/>
          <w:szCs w:val="32"/>
        </w:rPr>
        <w:t>格式，可由供应商自行拟定</w:t>
      </w:r>
      <w:r>
        <w:rPr>
          <w:rFonts w:hint="eastAsia" w:ascii="仿宋_GB2312" w:hAnsi="仿宋_GB2312" w:eastAsia="仿宋_GB2312" w:cs="仿宋_GB2312"/>
          <w:sz w:val="32"/>
          <w:szCs w:val="32"/>
          <w:lang w:eastAsia="zh-CN"/>
        </w:rPr>
        <w:t>）。</w:t>
      </w:r>
    </w:p>
    <w:p w14:paraId="01C1B7D9">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3、报价清单，必须由法人或其授权人签字并加盖单位公章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竞价结束后成交单位提交纸质版文件</w:t>
      </w:r>
      <w:r>
        <w:rPr>
          <w:rFonts w:hint="eastAsia" w:ascii="仿宋_GB2312" w:hAnsi="仿宋_GB2312" w:eastAsia="仿宋_GB2312" w:cs="仿宋_GB2312"/>
          <w:sz w:val="32"/>
          <w:szCs w:val="32"/>
          <w:lang w:eastAsia="zh-CN"/>
        </w:rPr>
        <w:t>）。</w:t>
      </w:r>
    </w:p>
    <w:p w14:paraId="75BEF935">
      <w:pPr>
        <w:keepNext w:val="0"/>
        <w:keepLines w:val="0"/>
        <w:pageBreakBefore w:val="0"/>
        <w:widowControl w:val="0"/>
        <w:kinsoku/>
        <w:wordWrap/>
        <w:overflowPunct/>
        <w:topLinePunct w:val="0"/>
        <w:autoSpaceDE/>
        <w:autoSpaceDN/>
        <w:bidi w:val="0"/>
        <w:adjustRightInd/>
        <w:snapToGrid/>
        <w:spacing w:line="600" w:lineRule="exact"/>
        <w:ind w:right="151" w:rightChars="72" w:firstLine="643" w:firstLineChars="200"/>
        <w:textAlignment w:val="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五、其他要求：</w:t>
      </w:r>
    </w:p>
    <w:p w14:paraId="4AEABF89">
      <w:pPr>
        <w:pStyle w:val="9"/>
        <w:widowControl w:val="0"/>
        <w:ind w:left="0" w:leftChars="0"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1、投标人根据采购技术要求，必须做好相关设计文件，自行进行现场踏勘，踏勘路线和踏勘地点可与招标人进行联系，对于未进行现场踏勘的投标将作无效标处理；</w:t>
      </w:r>
    </w:p>
    <w:p w14:paraId="3B5E5B0A">
      <w:pPr>
        <w:pStyle w:val="9"/>
        <w:widowControl w:val="0"/>
        <w:ind w:left="0" w:leftChars="0"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2、现场踏勘后，满足采购需求的，由采购方出具满足采购需求踏勘证明，踏勘证明必须上传，作为投标的依据；</w:t>
      </w:r>
    </w:p>
    <w:p w14:paraId="025408BA">
      <w:pPr>
        <w:pStyle w:val="9"/>
        <w:widowControl w:val="0"/>
        <w:ind w:left="0" w:leftChars="0"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3、现场踏勘期限：从发布竞价日起两日内完成踏勘，现场联系人</w:t>
      </w:r>
      <w:r>
        <w:rPr>
          <w:rFonts w:hint="eastAsia" w:ascii="仿宋_GB2312" w:hAnsi="仿宋_GB2312" w:eastAsia="仿宋_GB2312" w:cs="仿宋_GB2312"/>
          <w:color w:val="000000"/>
          <w:kern w:val="0"/>
          <w:sz w:val="32"/>
          <w:szCs w:val="32"/>
          <w:u w:val="single"/>
          <w:lang w:val="en-US" w:eastAsia="zh-CN" w:bidi="ar-SA"/>
        </w:rPr>
        <w:t>黄厚</w:t>
      </w:r>
      <w:r>
        <w:rPr>
          <w:rFonts w:hint="eastAsia" w:ascii="仿宋_GB2312" w:hAnsi="仿宋_GB2312" w:eastAsia="仿宋_GB2312" w:cs="仿宋_GB2312"/>
          <w:color w:val="000000"/>
          <w:kern w:val="0"/>
          <w:sz w:val="32"/>
          <w:szCs w:val="32"/>
          <w:lang w:val="en-US" w:eastAsia="zh-CN" w:bidi="ar-SA"/>
        </w:rPr>
        <w:t xml:space="preserve"> ，联系电话：</w:t>
      </w:r>
      <w:r>
        <w:rPr>
          <w:rFonts w:hint="eastAsia" w:ascii="仿宋_GB2312" w:hAnsi="仿宋_GB2312" w:eastAsia="仿宋_GB2312" w:cs="仿宋_GB2312"/>
          <w:color w:val="000000"/>
          <w:kern w:val="0"/>
          <w:sz w:val="32"/>
          <w:szCs w:val="32"/>
          <w:u w:val="single"/>
          <w:lang w:val="en-US" w:eastAsia="zh-CN" w:bidi="ar-SA"/>
        </w:rPr>
        <w:t>15700722291</w:t>
      </w:r>
      <w:r>
        <w:rPr>
          <w:rFonts w:hint="eastAsia" w:ascii="仿宋_GB2312" w:hAnsi="仿宋_GB2312" w:eastAsia="仿宋_GB2312" w:cs="仿宋_GB2312"/>
          <w:color w:val="000000"/>
          <w:kern w:val="0"/>
          <w:sz w:val="32"/>
          <w:szCs w:val="32"/>
          <w:lang w:val="en-US" w:eastAsia="zh-CN" w:bidi="ar-SA"/>
        </w:rPr>
        <w:t xml:space="preserve">  ； </w:t>
      </w:r>
    </w:p>
    <w:p w14:paraId="74FE3997">
      <w:pPr>
        <w:pStyle w:val="9"/>
        <w:widowControl w:val="0"/>
        <w:ind w:left="0" w:leftChars="0"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4、投标人携带相关证明文件（内容须含项目名称、法人授权委托书原件、联系方式、法人及受托人身份证复印件，相关设计文件）后才能进行现场踏勘，踏勘费用自理；</w:t>
      </w:r>
    </w:p>
    <w:p w14:paraId="4172ECFC">
      <w:pPr>
        <w:keepNext w:val="0"/>
        <w:keepLines w:val="0"/>
        <w:pageBreakBefore w:val="0"/>
        <w:widowControl w:val="0"/>
        <w:kinsoku/>
        <w:wordWrap/>
        <w:overflowPunct/>
        <w:topLinePunct w:val="0"/>
        <w:autoSpaceDE/>
        <w:autoSpaceDN/>
        <w:bidi w:val="0"/>
        <w:adjustRightInd/>
        <w:snapToGrid/>
        <w:spacing w:line="600" w:lineRule="exact"/>
        <w:ind w:right="151" w:rightChars="72" w:firstLine="640" w:firstLineChars="200"/>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5、投标人在投标前应认真踏勘工程现场，熟悉现场的位置，以及建筑情况、选择材料、设备、人员的进出方位等，并取得一切可能影响投标、报价的资料，报价时充分考虑各种不可预见因素及风险，各种确属实际发生的费用都应在投标报价中一并考虑。中标后不得以不完全了解项目施工现场情况为借口而做出额外费用索赔或延长工期等要求，对此采购人将不做任何考虑。</w:t>
      </w:r>
    </w:p>
    <w:p w14:paraId="1EBCDDEC">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仿宋" w:hAnsi="仿宋" w:eastAsia="仿宋" w:cs="宋体"/>
          <w:sz w:val="32"/>
          <w:szCs w:val="32"/>
          <w:lang w:val="en-US" w:eastAsia="zh-CN"/>
        </w:rPr>
      </w:pPr>
    </w:p>
    <w:p w14:paraId="3C495A3F">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仿宋" w:hAnsi="仿宋" w:eastAsia="仿宋" w:cs="宋体"/>
          <w:sz w:val="32"/>
          <w:szCs w:val="32"/>
          <w:lang w:val="en-US" w:eastAsia="zh-CN"/>
        </w:rPr>
      </w:pPr>
    </w:p>
    <w:p w14:paraId="2FE15F9C">
      <w:pPr>
        <w:keepNext w:val="0"/>
        <w:keepLines w:val="0"/>
        <w:pageBreakBefore w:val="0"/>
        <w:widowControl w:val="0"/>
        <w:kinsoku/>
        <w:wordWrap/>
        <w:overflowPunct/>
        <w:topLinePunct w:val="0"/>
        <w:autoSpaceDE/>
        <w:autoSpaceDN/>
        <w:bidi w:val="0"/>
        <w:adjustRightInd/>
        <w:snapToGrid/>
        <w:spacing w:line="600" w:lineRule="exact"/>
        <w:ind w:left="562"/>
        <w:textAlignment w:val="auto"/>
        <w:rPr>
          <w:rFonts w:hint="default" w:ascii="仿宋_GB2312" w:hAnsi="仿宋_GB2312" w:eastAsia="仿宋_GB2312" w:cs="仿宋_GB2312"/>
          <w:sz w:val="32"/>
          <w:szCs w:val="32"/>
          <w:lang w:val="en-US" w:eastAsia="zh-CN"/>
        </w:rPr>
      </w:pPr>
      <w:r>
        <w:rPr>
          <w:rFonts w:hint="eastAsia" w:asciiTheme="minorEastAsia" w:hAnsiTheme="minorEastAsia" w:eastAsiaTheme="minorEastAsia" w:cstheme="minorEastAsia"/>
          <w:sz w:val="32"/>
          <w:szCs w:val="32"/>
          <w:lang w:val="en-US" w:eastAsia="zh-CN"/>
        </w:rPr>
        <w:t xml:space="preserve">               </w:t>
      </w:r>
      <w:r>
        <w:rPr>
          <w:rFonts w:hint="eastAsia" w:ascii="仿宋_GB2312" w:hAnsi="仿宋_GB2312" w:eastAsia="仿宋_GB2312" w:cs="仿宋_GB2312"/>
          <w:sz w:val="32"/>
          <w:szCs w:val="32"/>
          <w:lang w:val="en-US" w:eastAsia="zh-CN"/>
        </w:rPr>
        <w:t xml:space="preserve">采购方：金山桥街道金坪社区居民委员会  </w:t>
      </w:r>
    </w:p>
    <w:p w14:paraId="1C192F04">
      <w:pPr>
        <w:keepNext w:val="0"/>
        <w:keepLines w:val="0"/>
        <w:pageBreakBefore w:val="0"/>
        <w:widowControl w:val="0"/>
        <w:kinsoku/>
        <w:wordWrap/>
        <w:overflowPunct/>
        <w:topLinePunct w:val="0"/>
        <w:autoSpaceDE/>
        <w:autoSpaceDN/>
        <w:bidi w:val="0"/>
        <w:adjustRightInd/>
        <w:snapToGrid/>
        <w:spacing w:line="600" w:lineRule="exact"/>
        <w:ind w:left="562"/>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32"/>
          <w:szCs w:val="32"/>
          <w:lang w:val="en-US" w:eastAsia="zh-CN"/>
        </w:rPr>
        <w:t xml:space="preserve">               联系电话：15700722291</w:t>
      </w:r>
    </w:p>
    <w:p w14:paraId="14C8C11E">
      <w:pPr>
        <w:keepNext w:val="0"/>
        <w:keepLines w:val="0"/>
        <w:pageBreakBefore w:val="0"/>
        <w:widowControl w:val="0"/>
        <w:kinsoku/>
        <w:wordWrap/>
        <w:overflowPunct/>
        <w:topLinePunct w:val="0"/>
        <w:autoSpaceDE/>
        <w:autoSpaceDN/>
        <w:bidi w:val="0"/>
        <w:adjustRightInd/>
        <w:snapToGrid/>
        <w:spacing w:line="600" w:lineRule="exact"/>
        <w:ind w:left="562"/>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eastAsia="zh-CN"/>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32"/>
          <w:szCs w:val="32"/>
          <w:lang w:eastAsia="zh-CN"/>
        </w:rPr>
        <w:t>日期：</w:t>
      </w:r>
      <w:r>
        <w:rPr>
          <w:rFonts w:hint="eastAsia" w:ascii="仿宋_GB2312" w:hAnsi="仿宋_GB2312" w:eastAsia="仿宋_GB2312" w:cs="仿宋_GB2312"/>
          <w:sz w:val="32"/>
          <w:szCs w:val="32"/>
          <w:lang w:val="en-US" w:eastAsia="zh-CN"/>
        </w:rPr>
        <w:t>2024年12月6日</w:t>
      </w:r>
    </w:p>
    <w:p w14:paraId="099FC8AE">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br w:type="page"/>
      </w:r>
      <w:bookmarkStart w:id="0" w:name="_GoBack"/>
      <w:bookmarkEnd w:id="0"/>
    </w:p>
    <w:p w14:paraId="28A8EAB5">
      <w:pPr>
        <w:spacing w:line="360" w:lineRule="auto"/>
        <w:jc w:val="center"/>
        <w:rPr>
          <w:rFonts w:hint="eastAsia" w:ascii="黑体" w:hAnsi="黑体" w:eastAsia="黑体" w:cs="黑体"/>
          <w:sz w:val="32"/>
          <w:szCs w:val="32"/>
        </w:rPr>
      </w:pPr>
      <w:r>
        <w:rPr>
          <w:rFonts w:hint="eastAsia" w:ascii="黑体" w:hAnsi="黑体" w:eastAsia="黑体" w:cs="黑体"/>
          <w:sz w:val="32"/>
          <w:szCs w:val="32"/>
          <w:lang w:eastAsia="zh-CN"/>
        </w:rPr>
        <w:t>竞价详细</w:t>
      </w:r>
      <w:r>
        <w:rPr>
          <w:rFonts w:hint="eastAsia" w:ascii="黑体" w:hAnsi="黑体" w:eastAsia="黑体" w:cs="黑体"/>
          <w:sz w:val="32"/>
          <w:szCs w:val="32"/>
        </w:rPr>
        <w:t>要求</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3"/>
        <w:gridCol w:w="7548"/>
      </w:tblGrid>
      <w:tr w14:paraId="2C3B6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tcPr>
          <w:p w14:paraId="00C2B246">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w:t>
            </w:r>
          </w:p>
        </w:tc>
        <w:tc>
          <w:tcPr>
            <w:tcW w:w="8256" w:type="dxa"/>
          </w:tcPr>
          <w:p w14:paraId="4C7B6E07">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详细</w:t>
            </w:r>
            <w:r>
              <w:rPr>
                <w:rFonts w:hint="eastAsia" w:ascii="仿宋_GB2312" w:hAnsi="仿宋_GB2312" w:eastAsia="仿宋_GB2312" w:cs="仿宋_GB2312"/>
                <w:sz w:val="24"/>
                <w:szCs w:val="24"/>
              </w:rPr>
              <w:t>要求</w:t>
            </w:r>
          </w:p>
        </w:tc>
      </w:tr>
      <w:tr w14:paraId="01F0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06A847A3">
            <w:pPr>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竞价</w:t>
            </w:r>
            <w:r>
              <w:rPr>
                <w:rFonts w:hint="eastAsia" w:ascii="仿宋_GB2312" w:hAnsi="仿宋_GB2312" w:eastAsia="仿宋_GB2312" w:cs="仿宋_GB2312"/>
                <w:sz w:val="24"/>
                <w:szCs w:val="24"/>
                <w:lang w:eastAsia="zh-CN"/>
              </w:rPr>
              <w:t>要求</w:t>
            </w:r>
          </w:p>
        </w:tc>
        <w:tc>
          <w:tcPr>
            <w:tcW w:w="8256" w:type="dxa"/>
          </w:tcPr>
          <w:p w14:paraId="14264C93">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采购清单中</w:t>
            </w:r>
            <w:r>
              <w:rPr>
                <w:rFonts w:hint="eastAsia" w:ascii="仿宋_GB2312" w:hAnsi="仿宋_GB2312" w:eastAsia="仿宋_GB2312" w:cs="仿宋_GB2312"/>
                <w:sz w:val="24"/>
                <w:szCs w:val="24"/>
                <w:lang w:eastAsia="zh-CN"/>
              </w:rPr>
              <w:t>的所有设备</w:t>
            </w:r>
            <w:r>
              <w:rPr>
                <w:rFonts w:hint="eastAsia" w:ascii="仿宋_GB2312" w:hAnsi="仿宋_GB2312" w:eastAsia="仿宋_GB2312" w:cs="仿宋_GB2312"/>
                <w:sz w:val="24"/>
                <w:szCs w:val="24"/>
              </w:rPr>
              <w:t>，供应商必须根据技术参数要求提供相关证明材料并加盖制造商公章作为报价附件，报价时所有附件上传时需加盖供应商公章，未上传附件或附件未盖供应商公章视为无效报价。</w:t>
            </w:r>
          </w:p>
          <w:p w14:paraId="66668FB3">
            <w:pPr>
              <w:spacing w:line="360" w:lineRule="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2、为确保产品符合要求及售后服务的可靠性，必须提供产品制造商加盖公章的售后承诺书</w:t>
            </w:r>
            <w:r>
              <w:rPr>
                <w:rFonts w:hint="eastAsia" w:ascii="仿宋_GB2312" w:hAnsi="仿宋_GB2312" w:eastAsia="仿宋_GB2312" w:cs="仿宋_GB2312"/>
                <w:sz w:val="24"/>
                <w:szCs w:val="24"/>
                <w:lang w:eastAsia="zh-CN"/>
              </w:rPr>
              <w:t>及产品检测报告</w:t>
            </w:r>
            <w:r>
              <w:rPr>
                <w:rFonts w:hint="eastAsia" w:ascii="仿宋_GB2312" w:hAnsi="仿宋_GB2312" w:eastAsia="仿宋_GB2312" w:cs="仿宋_GB2312"/>
                <w:sz w:val="24"/>
                <w:szCs w:val="24"/>
              </w:rPr>
              <w:t>，如未提供则视为竞价无效。</w:t>
            </w:r>
            <w:r>
              <w:rPr>
                <w:rFonts w:hint="eastAsia" w:ascii="仿宋_GB2312" w:hAnsi="仿宋_GB2312" w:eastAsia="仿宋_GB2312" w:cs="仿宋_GB2312"/>
                <w:sz w:val="24"/>
                <w:szCs w:val="24"/>
                <w:lang w:val="en-US" w:eastAsia="zh-CN"/>
              </w:rPr>
              <w:t xml:space="preserve">   </w:t>
            </w:r>
          </w:p>
          <w:p w14:paraId="41309D72">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竞价文件中供应商必须提供加盖公章的营业执照扫描件。</w:t>
            </w:r>
          </w:p>
          <w:p w14:paraId="2B24ADF1">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此项目交钥匙工程，报价为包干价，需含设备安装所需的运输、辅材、人工、安装调试、税费、质检等所有费用</w:t>
            </w:r>
            <w:r>
              <w:rPr>
                <w:rFonts w:hint="eastAsia" w:ascii="仿宋_GB2312" w:hAnsi="仿宋_GB2312" w:eastAsia="仿宋_GB2312" w:cs="仿宋_GB2312"/>
                <w:sz w:val="24"/>
                <w:szCs w:val="24"/>
                <w:lang w:eastAsia="zh-CN"/>
              </w:rPr>
              <w:t>。</w:t>
            </w:r>
          </w:p>
        </w:tc>
      </w:tr>
      <w:tr w14:paraId="3E6B9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44A12389">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交货要求</w:t>
            </w:r>
          </w:p>
        </w:tc>
        <w:tc>
          <w:tcPr>
            <w:tcW w:w="8256" w:type="dxa"/>
            <w:vAlign w:val="top"/>
          </w:tcPr>
          <w:p w14:paraId="45369156">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交货</w:t>
            </w:r>
            <w:r>
              <w:rPr>
                <w:rFonts w:hint="eastAsia" w:ascii="仿宋_GB2312" w:hAnsi="仿宋_GB2312" w:eastAsia="仿宋_GB2312" w:cs="仿宋_GB2312"/>
                <w:sz w:val="24"/>
                <w:szCs w:val="24"/>
              </w:rPr>
              <w:t>时间:</w:t>
            </w:r>
            <w:r>
              <w:rPr>
                <w:rFonts w:hint="eastAsia" w:ascii="仿宋_GB2312" w:hAnsi="仿宋_GB2312" w:eastAsia="仿宋_GB2312" w:cs="仿宋_GB2312"/>
                <w:sz w:val="24"/>
                <w:szCs w:val="24"/>
                <w:lang w:eastAsia="zh-CN"/>
              </w:rPr>
              <w:t>根据合同签订时间</w:t>
            </w:r>
            <w:r>
              <w:rPr>
                <w:rFonts w:hint="eastAsia" w:ascii="仿宋_GB2312" w:hAnsi="仿宋_GB2312" w:eastAsia="仿宋_GB2312" w:cs="仿宋_GB2312"/>
                <w:sz w:val="24"/>
                <w:szCs w:val="24"/>
              </w:rPr>
              <w:t>。</w:t>
            </w:r>
          </w:p>
          <w:p w14:paraId="3B3D030A">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交货</w:t>
            </w:r>
            <w:r>
              <w:rPr>
                <w:rFonts w:hint="eastAsia" w:ascii="仿宋_GB2312" w:hAnsi="仿宋_GB2312" w:eastAsia="仿宋_GB2312" w:cs="仿宋_GB2312"/>
                <w:sz w:val="24"/>
                <w:szCs w:val="24"/>
              </w:rPr>
              <w:t>方式:按采购人要求完成。</w:t>
            </w:r>
          </w:p>
          <w:p w14:paraId="223DF670">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交货</w:t>
            </w:r>
            <w:r>
              <w:rPr>
                <w:rFonts w:hint="eastAsia" w:ascii="仿宋_GB2312" w:hAnsi="仿宋_GB2312" w:eastAsia="仿宋_GB2312" w:cs="仿宋_GB2312"/>
                <w:sz w:val="24"/>
                <w:szCs w:val="24"/>
              </w:rPr>
              <w:t>地点:采购人指定地点。</w:t>
            </w:r>
          </w:p>
        </w:tc>
      </w:tr>
      <w:tr w14:paraId="651EA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4CDB6A54">
            <w:pPr>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运输、安装</w:t>
            </w:r>
            <w:r>
              <w:rPr>
                <w:rFonts w:hint="eastAsia" w:ascii="仿宋_GB2312" w:hAnsi="仿宋_GB2312" w:eastAsia="仿宋_GB2312" w:cs="仿宋_GB2312"/>
                <w:sz w:val="24"/>
                <w:szCs w:val="24"/>
                <w:lang w:eastAsia="zh-CN"/>
              </w:rPr>
              <w:t>要求</w:t>
            </w:r>
          </w:p>
        </w:tc>
        <w:tc>
          <w:tcPr>
            <w:tcW w:w="8256" w:type="dxa"/>
          </w:tcPr>
          <w:p w14:paraId="1A021C4B">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1、供应商负责产品的供货、运输、安装、调试、测试等，供应商应保证货物到达安装地点所在地时完好无损，如有缺漏、损坏，由供应商负责调换、补齐</w:t>
            </w:r>
            <w:r>
              <w:rPr>
                <w:rFonts w:hint="eastAsia" w:ascii="仿宋_GB2312" w:hAnsi="仿宋_GB2312" w:eastAsia="仿宋_GB2312" w:cs="仿宋_GB2312"/>
                <w:sz w:val="24"/>
                <w:szCs w:val="24"/>
                <w:lang w:eastAsia="zh-CN"/>
              </w:rPr>
              <w:t>或</w:t>
            </w:r>
            <w:r>
              <w:rPr>
                <w:rFonts w:hint="eastAsia" w:ascii="仿宋_GB2312" w:hAnsi="仿宋_GB2312" w:eastAsia="仿宋_GB2312" w:cs="仿宋_GB2312"/>
                <w:sz w:val="24"/>
                <w:szCs w:val="24"/>
              </w:rPr>
              <w:t>赔偿。</w:t>
            </w:r>
          </w:p>
          <w:p w14:paraId="17E69F01">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2、所有的设备必须是全新且未使用过的、标牌齐全的合格产品，提供货物的出厂检验报告和质量合格证书，并在各个方面符合招标文件规定的质量规格和性能要求。</w:t>
            </w:r>
          </w:p>
          <w:p w14:paraId="4B5A62FA">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3、供应商负责其派出的工作人员的人身意外保险。承担本项目施工作业过程可能发生的意外伤害及事故等所有安全责任。</w:t>
            </w:r>
          </w:p>
          <w:p w14:paraId="0FEAAFB8">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4、货物在安装、调试时各项指标和技术参数应符合验收标准要求。</w:t>
            </w:r>
          </w:p>
          <w:p w14:paraId="15CECB95">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5、供应商应加强施工的组织管理，所有施工人员须遵守文明安全施工的有关规章制度进行施工。</w:t>
            </w:r>
          </w:p>
          <w:p w14:paraId="42239CBB">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6、整体项目安装调试完毕后，供应商应向</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提交安装调试报告，并由双方共同按合同规定要求进行验收。</w:t>
            </w:r>
          </w:p>
          <w:p w14:paraId="0814AC69">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7、整体项目完成后，供应商应将项目有关的全部资料，包括产品资料、技术文档、施工图纸等，移交</w:t>
            </w:r>
            <w:r>
              <w:rPr>
                <w:rFonts w:hint="eastAsia" w:ascii="仿宋_GB2312" w:hAnsi="仿宋_GB2312" w:eastAsia="仿宋_GB2312" w:cs="仿宋_GB2312"/>
                <w:sz w:val="24"/>
                <w:szCs w:val="24"/>
                <w:lang w:eastAsia="zh-CN"/>
              </w:rPr>
              <w:t>采购人</w:t>
            </w:r>
            <w:r>
              <w:rPr>
                <w:rFonts w:hint="eastAsia" w:ascii="仿宋_GB2312" w:hAnsi="仿宋_GB2312" w:eastAsia="仿宋_GB2312" w:cs="仿宋_GB2312"/>
                <w:sz w:val="24"/>
                <w:szCs w:val="24"/>
              </w:rPr>
              <w:t>。</w:t>
            </w:r>
          </w:p>
        </w:tc>
      </w:tr>
      <w:tr w14:paraId="45C0E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055B762A">
            <w:pPr>
              <w:spacing w:line="360" w:lineRule="auto"/>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验收</w:t>
            </w:r>
            <w:r>
              <w:rPr>
                <w:rFonts w:hint="eastAsia" w:ascii="仿宋_GB2312" w:hAnsi="仿宋_GB2312" w:eastAsia="仿宋_GB2312" w:cs="仿宋_GB2312"/>
                <w:sz w:val="24"/>
                <w:szCs w:val="24"/>
                <w:lang w:eastAsia="zh-CN"/>
              </w:rPr>
              <w:t>要求</w:t>
            </w:r>
          </w:p>
        </w:tc>
        <w:tc>
          <w:tcPr>
            <w:tcW w:w="8256" w:type="dxa"/>
          </w:tcPr>
          <w:p w14:paraId="4A41BCA9">
            <w:pPr>
              <w:numPr>
                <w:ilvl w:val="0"/>
                <w:numId w:val="1"/>
              </w:num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验收标准：按照国家、行业标准及招标文件规定的相关要求为验收标准进行验收，投标文件中有关技术条款和商务服务条款优于招标文件要求的部分，将直接成为验收执行标准的一部分。</w:t>
            </w:r>
          </w:p>
          <w:p w14:paraId="24F44935">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验收方法及验收费用</w:t>
            </w:r>
          </w:p>
          <w:p w14:paraId="4254EA2A">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需要产品制造商对供应商交付的产品</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包括质量、技术参数、真伪等</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进行确认的，产品制造商应给予配合，并出具书面意见。</w:t>
            </w:r>
          </w:p>
          <w:p w14:paraId="0E25CC6A">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.2 货物</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含配套软件等</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安装、调试结束后，</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可委托第三方机构或外聘相关专家及相关部门进行验收，验收合格后交付使用，若项目验收不能满足或达不到验收标准，</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不予验收，给</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造成的损失，由供应商承担一切责任，</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有权提出退货。验收费用由供应商承担，验收报告作为申请付款的凭证之一。</w:t>
            </w:r>
          </w:p>
          <w:p w14:paraId="4C2C6D37">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验收争议</w:t>
            </w:r>
          </w:p>
          <w:p w14:paraId="2BFF9645">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.1验收过程中产生纠纷的，由双方认定的检测、鉴定机构检测鉴定</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如为</w:t>
            </w:r>
            <w:r>
              <w:rPr>
                <w:rFonts w:hint="eastAsia" w:ascii="仿宋_GB2312" w:hAnsi="仿宋_GB2312" w:eastAsia="仿宋_GB2312" w:cs="仿宋_GB2312"/>
                <w:sz w:val="24"/>
                <w:szCs w:val="24"/>
                <w:lang w:eastAsia="zh-CN"/>
              </w:rPr>
              <w:t>供应商</w:t>
            </w:r>
            <w:r>
              <w:rPr>
                <w:rFonts w:hint="eastAsia" w:ascii="仿宋_GB2312" w:hAnsi="仿宋_GB2312" w:eastAsia="仿宋_GB2312" w:cs="仿宋_GB2312"/>
                <w:sz w:val="24"/>
                <w:szCs w:val="24"/>
              </w:rPr>
              <w:t>原因造成的，由</w:t>
            </w:r>
            <w:r>
              <w:rPr>
                <w:rFonts w:hint="eastAsia" w:ascii="仿宋_GB2312" w:hAnsi="仿宋_GB2312" w:eastAsia="仿宋_GB2312" w:cs="仿宋_GB2312"/>
                <w:sz w:val="24"/>
                <w:szCs w:val="24"/>
                <w:lang w:eastAsia="zh-CN"/>
              </w:rPr>
              <w:t>供应商</w:t>
            </w:r>
            <w:r>
              <w:rPr>
                <w:rFonts w:hint="eastAsia" w:ascii="仿宋_GB2312" w:hAnsi="仿宋_GB2312" w:eastAsia="仿宋_GB2312" w:cs="仿宋_GB2312"/>
                <w:sz w:val="24"/>
                <w:szCs w:val="24"/>
              </w:rPr>
              <w:t>承担费用，否则，由</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承担。</w:t>
            </w:r>
          </w:p>
          <w:p w14:paraId="19F27A88">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.2项目验收不合格，由</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选择退货、换货或返工。选择换货或返工的，由</w:t>
            </w:r>
            <w:r>
              <w:rPr>
                <w:rFonts w:hint="eastAsia" w:ascii="仿宋_GB2312" w:hAnsi="仿宋_GB2312" w:eastAsia="仿宋_GB2312" w:cs="仿宋_GB2312"/>
                <w:sz w:val="24"/>
                <w:szCs w:val="24"/>
                <w:lang w:eastAsia="zh-CN"/>
              </w:rPr>
              <w:t>供应商</w:t>
            </w:r>
            <w:r>
              <w:rPr>
                <w:rFonts w:hint="eastAsia" w:ascii="仿宋_GB2312" w:hAnsi="仿宋_GB2312" w:eastAsia="仿宋_GB2312" w:cs="仿宋_GB2312"/>
                <w:sz w:val="24"/>
                <w:szCs w:val="24"/>
              </w:rPr>
              <w:t>换货或返工直至合格，有关换货、返工、再行验收，以及给</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造成的损失与费用由供应商承担。</w:t>
            </w:r>
          </w:p>
        </w:tc>
      </w:tr>
      <w:tr w14:paraId="23B26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27F3300D">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售后服务要求</w:t>
            </w:r>
          </w:p>
        </w:tc>
        <w:tc>
          <w:tcPr>
            <w:tcW w:w="8256" w:type="dxa"/>
          </w:tcPr>
          <w:p w14:paraId="3108AC7C">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1、免费维护服务期与质保期，从项目验收合格后双方签署验收文件之日起供应商提供本项目一年免费维护服务，货物质保期按国家（行业）标准及制造厂商的三包政策执行。</w:t>
            </w:r>
          </w:p>
          <w:p w14:paraId="22BEF66C">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2、供应商负责售后服务，需附详细的售后服务承诺，提供长期的专业化服务和技术支持，在响应文件中予以明确说明。</w:t>
            </w:r>
          </w:p>
          <w:p w14:paraId="01931109">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3、响应时间:免费维护期内提供7*24小时的故障服务受理，免费维护期内若出现故障，供应商应在收到</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通知</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不限于书面通知、电话、信息、网络通知等均可</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0.5小时内做出明确响应和安排，2小时内到达现场，一般故障4小时内处理完毕，其他故障应在24小时内排除</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对于在24小时内不能解决的问题</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供应商应立即提供包括但不限于替代设备的应急措施和应急方案，此项工作属于免费维护范围，供应商不另行收费。</w:t>
            </w:r>
          </w:p>
          <w:p w14:paraId="76BB662E">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4、免费维护期内出现任何质量问题</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人为破坏或自然灾害等不可抗力除外</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，由供应商负责全免费</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全部工时费、材料费、管理费、财务费等所有费用</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更换或维修。如果发生较大质量故障并且不能在48小时内修复，则从该故障修复之日起重新核定免费维护期。免费维护期满后，无论</w:t>
            </w:r>
            <w:r>
              <w:rPr>
                <w:rFonts w:hint="eastAsia" w:ascii="仿宋_GB2312" w:hAnsi="仿宋_GB2312" w:eastAsia="仿宋_GB2312" w:cs="仿宋_GB2312"/>
                <w:sz w:val="24"/>
                <w:szCs w:val="24"/>
                <w:lang w:eastAsia="zh-CN"/>
              </w:rPr>
              <w:t>采购方</w:t>
            </w:r>
            <w:r>
              <w:rPr>
                <w:rFonts w:hint="eastAsia" w:ascii="仿宋_GB2312" w:hAnsi="仿宋_GB2312" w:eastAsia="仿宋_GB2312" w:cs="仿宋_GB2312"/>
                <w:sz w:val="24"/>
                <w:szCs w:val="24"/>
              </w:rPr>
              <w:t>是否另行选择维保供应商，供应商应及时优惠提供所需的备品、备件。</w:t>
            </w:r>
          </w:p>
        </w:tc>
      </w:tr>
      <w:tr w14:paraId="11ABD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48727691">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付款方式</w:t>
            </w:r>
          </w:p>
        </w:tc>
        <w:tc>
          <w:tcPr>
            <w:tcW w:w="8256" w:type="dxa"/>
          </w:tcPr>
          <w:p w14:paraId="4C407BA3">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本项目验收合格后，供应商应提供相应金额的合法有效发票，采购人付款97％，预留3％质保金一年后支付。</w:t>
            </w:r>
          </w:p>
        </w:tc>
      </w:tr>
      <w:tr w14:paraId="1B996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00" w:type="dxa"/>
            <w:vAlign w:val="center"/>
          </w:tcPr>
          <w:p w14:paraId="4DBC8C84">
            <w:pPr>
              <w:spacing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成交方式</w:t>
            </w:r>
          </w:p>
        </w:tc>
        <w:tc>
          <w:tcPr>
            <w:tcW w:w="8256" w:type="dxa"/>
          </w:tcPr>
          <w:p w14:paraId="091DD039">
            <w:pPr>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根据供应商投标响应情况采购方进行审核评定后手动确认成交供应商。</w:t>
            </w:r>
          </w:p>
        </w:tc>
      </w:tr>
    </w:tbl>
    <w:p w14:paraId="5AD2C453">
      <w:pPr>
        <w:pStyle w:val="14"/>
        <w:ind w:left="0" w:leftChars="0" w:firstLine="0" w:firstLineChars="0"/>
        <w:jc w:val="center"/>
        <w:rPr>
          <w:rFonts w:hint="eastAsia" w:ascii="宋体" w:hAnsi="宋体" w:eastAsia="宋体" w:cs="宋体"/>
          <w:bCs/>
          <w:kern w:val="2"/>
          <w:sz w:val="24"/>
          <w:szCs w:val="24"/>
          <w:lang w:val="en-US" w:eastAsia="zh-CN" w:bidi="ar-SA"/>
        </w:rPr>
      </w:pPr>
      <w:r>
        <w:rPr>
          <w:rFonts w:hint="eastAsia" w:asciiTheme="minorEastAsia" w:hAnsiTheme="minorEastAsia" w:eastAsiaTheme="minorEastAsia" w:cstheme="minorEastAsia"/>
          <w:sz w:val="28"/>
          <w:szCs w:val="28"/>
        </w:rPr>
        <w:br w:type="page"/>
      </w:r>
      <w:r>
        <w:rPr>
          <w:rFonts w:hint="eastAsia" w:ascii="黑体" w:hAnsi="黑体" w:eastAsia="黑体" w:cs="黑体"/>
          <w:bCs/>
          <w:kern w:val="2"/>
          <w:sz w:val="32"/>
          <w:szCs w:val="32"/>
          <w:lang w:val="en-US" w:eastAsia="zh-CN" w:bidi="ar-SA"/>
        </w:rPr>
        <w:t>技术参数</w:t>
      </w:r>
    </w:p>
    <w:tbl>
      <w:tblPr>
        <w:tblStyle w:val="10"/>
        <w:tblW w:w="1040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2344"/>
        <w:gridCol w:w="7245"/>
      </w:tblGrid>
      <w:tr w14:paraId="4C43529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819" w:type="dxa"/>
            <w:noWrap/>
            <w:vAlign w:val="center"/>
          </w:tcPr>
          <w:p w14:paraId="0F90DF83">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序号</w:t>
            </w:r>
          </w:p>
        </w:tc>
        <w:tc>
          <w:tcPr>
            <w:tcW w:w="9589" w:type="dxa"/>
            <w:gridSpan w:val="2"/>
            <w:noWrap/>
            <w:vAlign w:val="center"/>
          </w:tcPr>
          <w:p w14:paraId="0E7B978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xml:space="preserve">               基本规格</w:t>
            </w:r>
          </w:p>
        </w:tc>
      </w:tr>
      <w:tr w14:paraId="75C5253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7381CD64">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w:t>
            </w:r>
          </w:p>
        </w:tc>
        <w:tc>
          <w:tcPr>
            <w:tcW w:w="2344" w:type="dxa"/>
            <w:noWrap/>
            <w:vAlign w:val="center"/>
          </w:tcPr>
          <w:p w14:paraId="5052371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货物名称</w:t>
            </w:r>
          </w:p>
        </w:tc>
        <w:tc>
          <w:tcPr>
            <w:tcW w:w="7245" w:type="dxa"/>
            <w:noWrap/>
            <w:vAlign w:val="center"/>
          </w:tcPr>
          <w:p w14:paraId="2822BB95">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无机房乘客电梯</w:t>
            </w:r>
          </w:p>
        </w:tc>
      </w:tr>
      <w:tr w14:paraId="289FB6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5E57A46F">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w:t>
            </w:r>
          </w:p>
        </w:tc>
        <w:tc>
          <w:tcPr>
            <w:tcW w:w="2344" w:type="dxa"/>
            <w:noWrap/>
            <w:vAlign w:val="center"/>
          </w:tcPr>
          <w:p w14:paraId="3D32D0CF">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层/站/门：</w:t>
            </w:r>
          </w:p>
        </w:tc>
        <w:tc>
          <w:tcPr>
            <w:tcW w:w="7245" w:type="dxa"/>
            <w:noWrap/>
            <w:vAlign w:val="center"/>
          </w:tcPr>
          <w:p w14:paraId="0A6370FC">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3/3/3</w:t>
            </w:r>
          </w:p>
        </w:tc>
      </w:tr>
      <w:tr w14:paraId="112E238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2A08358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2344" w:type="dxa"/>
            <w:noWrap/>
            <w:vAlign w:val="center"/>
          </w:tcPr>
          <w:p w14:paraId="515DB9B9">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台数：</w:t>
            </w:r>
          </w:p>
        </w:tc>
        <w:tc>
          <w:tcPr>
            <w:tcW w:w="7245" w:type="dxa"/>
            <w:noWrap/>
            <w:vAlign w:val="center"/>
          </w:tcPr>
          <w:p w14:paraId="2081241F">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val="en-US" w:eastAsia="zh-CN"/>
              </w:rPr>
              <w:t>1</w:t>
            </w:r>
            <w:r>
              <w:rPr>
                <w:rFonts w:hint="eastAsia" w:ascii="仿宋_GB2312" w:hAnsi="仿宋_GB2312" w:eastAsia="仿宋_GB2312" w:cs="仿宋_GB2312"/>
                <w:kern w:val="0"/>
                <w:sz w:val="24"/>
                <w:szCs w:val="24"/>
              </w:rPr>
              <w:t>台</w:t>
            </w:r>
          </w:p>
        </w:tc>
      </w:tr>
      <w:tr w14:paraId="5550F86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2D881D38">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2344" w:type="dxa"/>
            <w:noWrap/>
            <w:vAlign w:val="center"/>
          </w:tcPr>
          <w:p w14:paraId="7F717882">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载重量：</w:t>
            </w:r>
          </w:p>
        </w:tc>
        <w:tc>
          <w:tcPr>
            <w:tcW w:w="7245" w:type="dxa"/>
            <w:noWrap/>
            <w:vAlign w:val="center"/>
          </w:tcPr>
          <w:p w14:paraId="66436895">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≥800kg</w:t>
            </w:r>
          </w:p>
        </w:tc>
      </w:tr>
      <w:tr w14:paraId="4CE2F98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571C616">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5</w:t>
            </w:r>
          </w:p>
        </w:tc>
        <w:tc>
          <w:tcPr>
            <w:tcW w:w="2344" w:type="dxa"/>
            <w:noWrap/>
            <w:vAlign w:val="center"/>
          </w:tcPr>
          <w:p w14:paraId="7CD4EF4B">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速度：m/s</w:t>
            </w:r>
          </w:p>
        </w:tc>
        <w:tc>
          <w:tcPr>
            <w:tcW w:w="7245" w:type="dxa"/>
            <w:noWrap/>
            <w:vAlign w:val="center"/>
          </w:tcPr>
          <w:p w14:paraId="583329BF">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≥1.0m/s</w:t>
            </w:r>
          </w:p>
        </w:tc>
      </w:tr>
      <w:tr w14:paraId="18A402A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6BDFA1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2344" w:type="dxa"/>
            <w:noWrap/>
            <w:vAlign w:val="center"/>
          </w:tcPr>
          <w:p w14:paraId="0D0219A4">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层高：</w:t>
            </w:r>
          </w:p>
        </w:tc>
        <w:tc>
          <w:tcPr>
            <w:tcW w:w="7245" w:type="dxa"/>
            <w:noWrap/>
            <w:vAlign w:val="center"/>
          </w:tcPr>
          <w:p w14:paraId="2E56126A">
            <w:pPr>
              <w:jc w:val="center"/>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3m</w:t>
            </w:r>
          </w:p>
        </w:tc>
      </w:tr>
      <w:tr w14:paraId="781E4E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14A33F77">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7</w:t>
            </w:r>
          </w:p>
        </w:tc>
        <w:tc>
          <w:tcPr>
            <w:tcW w:w="2344" w:type="dxa"/>
            <w:noWrap/>
            <w:vAlign w:val="center"/>
          </w:tcPr>
          <w:p w14:paraId="6B1591DC">
            <w:pPr>
              <w:jc w:val="center"/>
              <w:textAlignment w:val="center"/>
              <w:rPr>
                <w:rFonts w:hint="eastAsia" w:ascii="仿宋_GB2312" w:hAnsi="仿宋_GB2312" w:eastAsia="仿宋_GB2312" w:cs="仿宋_GB2312"/>
                <w:kern w:val="0"/>
                <w:sz w:val="24"/>
                <w:szCs w:val="24"/>
              </w:rPr>
            </w:pPr>
            <w:r>
              <w:rPr>
                <w:rFonts w:hint="eastAsia" w:ascii="仿宋_GB2312" w:hAnsi="仿宋_GB2312" w:eastAsia="仿宋_GB2312" w:cs="仿宋_GB2312"/>
                <w:color w:val="000000"/>
                <w:kern w:val="0"/>
                <w:sz w:val="24"/>
                <w:szCs w:val="24"/>
              </w:rPr>
              <w:t>提升高度：mm</w:t>
            </w:r>
          </w:p>
        </w:tc>
        <w:tc>
          <w:tcPr>
            <w:tcW w:w="7245" w:type="dxa"/>
            <w:noWrap/>
            <w:vAlign w:val="center"/>
          </w:tcPr>
          <w:p w14:paraId="5314F4D3">
            <w:pPr>
              <w:jc w:val="center"/>
              <w:textAlignment w:val="center"/>
              <w:rPr>
                <w:rFonts w:hint="eastAsia" w:ascii="仿宋_GB2312" w:hAnsi="仿宋_GB2312" w:eastAsia="仿宋_GB2312" w:cs="仿宋_GB2312"/>
                <w:kern w:val="0"/>
                <w:sz w:val="24"/>
                <w:szCs w:val="24"/>
                <w:lang w:val="en-US"/>
              </w:rPr>
            </w:pPr>
            <w:r>
              <w:rPr>
                <w:rFonts w:hint="eastAsia" w:ascii="仿宋_GB2312" w:hAnsi="仿宋_GB2312" w:eastAsia="仿宋_GB2312" w:cs="仿宋_GB2312"/>
                <w:kern w:val="0"/>
                <w:sz w:val="24"/>
                <w:szCs w:val="24"/>
                <w:lang w:val="en-US" w:eastAsia="zh-CN"/>
              </w:rPr>
              <w:t>6m</w:t>
            </w:r>
          </w:p>
        </w:tc>
      </w:tr>
      <w:tr w14:paraId="544B255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1F65D94D">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8</w:t>
            </w:r>
          </w:p>
        </w:tc>
        <w:tc>
          <w:tcPr>
            <w:tcW w:w="2344" w:type="dxa"/>
            <w:noWrap/>
            <w:vAlign w:val="center"/>
          </w:tcPr>
          <w:p w14:paraId="4A9C825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基站位置</w:t>
            </w:r>
          </w:p>
        </w:tc>
        <w:tc>
          <w:tcPr>
            <w:tcW w:w="7245" w:type="dxa"/>
            <w:noWrap/>
            <w:vAlign w:val="center"/>
          </w:tcPr>
          <w:p w14:paraId="301F2D56">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1F</w:t>
            </w:r>
          </w:p>
        </w:tc>
      </w:tr>
      <w:tr w14:paraId="536DE2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3ECA36E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9</w:t>
            </w:r>
          </w:p>
        </w:tc>
        <w:tc>
          <w:tcPr>
            <w:tcW w:w="2344" w:type="dxa"/>
            <w:noWrap/>
            <w:vAlign w:val="center"/>
          </w:tcPr>
          <w:p w14:paraId="7FE01884">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顶层高度:mm</w:t>
            </w:r>
          </w:p>
        </w:tc>
        <w:tc>
          <w:tcPr>
            <w:tcW w:w="7245" w:type="dxa"/>
            <w:noWrap/>
            <w:vAlign w:val="center"/>
          </w:tcPr>
          <w:p w14:paraId="2193593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375</w:t>
            </w:r>
            <w:r>
              <w:rPr>
                <w:rFonts w:hint="eastAsia" w:ascii="仿宋_GB2312" w:hAnsi="仿宋_GB2312" w:eastAsia="仿宋_GB2312" w:cs="仿宋_GB2312"/>
                <w:color w:val="000000"/>
                <w:kern w:val="0"/>
                <w:sz w:val="24"/>
                <w:szCs w:val="24"/>
              </w:rPr>
              <w:t>0mm</w:t>
            </w:r>
          </w:p>
        </w:tc>
      </w:tr>
      <w:tr w14:paraId="75B6CA5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0516DC6F">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10</w:t>
            </w:r>
          </w:p>
        </w:tc>
        <w:tc>
          <w:tcPr>
            <w:tcW w:w="2344" w:type="dxa"/>
            <w:noWrap/>
            <w:vAlign w:val="center"/>
          </w:tcPr>
          <w:p w14:paraId="658E9BF2">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底坑深度：mm</w:t>
            </w:r>
          </w:p>
        </w:tc>
        <w:tc>
          <w:tcPr>
            <w:tcW w:w="7245" w:type="dxa"/>
            <w:noWrap/>
            <w:vAlign w:val="center"/>
          </w:tcPr>
          <w:p w14:paraId="6F99D8B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w:t>
            </w:r>
            <w:r>
              <w:rPr>
                <w:rFonts w:hint="eastAsia" w:ascii="仿宋_GB2312" w:hAnsi="仿宋_GB2312" w:eastAsia="仿宋_GB2312" w:cs="仿宋_GB2312"/>
                <w:color w:val="000000"/>
                <w:kern w:val="0"/>
                <w:sz w:val="24"/>
                <w:szCs w:val="24"/>
                <w:lang w:val="en-US" w:eastAsia="zh-CN"/>
              </w:rPr>
              <w:t>3</w:t>
            </w:r>
            <w:r>
              <w:rPr>
                <w:rFonts w:hint="eastAsia" w:ascii="仿宋_GB2312" w:hAnsi="仿宋_GB2312" w:eastAsia="仿宋_GB2312" w:cs="仿宋_GB2312"/>
                <w:color w:val="000000"/>
                <w:kern w:val="0"/>
                <w:sz w:val="24"/>
                <w:szCs w:val="24"/>
              </w:rPr>
              <w:t>00mm</w:t>
            </w:r>
          </w:p>
        </w:tc>
      </w:tr>
      <w:tr w14:paraId="04A626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0D0EB3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11</w:t>
            </w:r>
          </w:p>
        </w:tc>
        <w:tc>
          <w:tcPr>
            <w:tcW w:w="2344" w:type="dxa"/>
            <w:noWrap/>
            <w:vAlign w:val="center"/>
          </w:tcPr>
          <w:p w14:paraId="13CE1D58">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井道净尺寸</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rPr>
              <w:t>宽×深</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rPr>
              <w:t>：</w:t>
            </w:r>
          </w:p>
        </w:tc>
        <w:tc>
          <w:tcPr>
            <w:tcW w:w="7245" w:type="dxa"/>
            <w:noWrap/>
            <w:vAlign w:val="center"/>
          </w:tcPr>
          <w:p w14:paraId="363934A4">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kern w:val="0"/>
                <w:sz w:val="24"/>
                <w:szCs w:val="24"/>
                <w:lang w:val="en-US" w:eastAsia="zh-CN"/>
              </w:rPr>
              <w:t>195</w:t>
            </w:r>
            <w:r>
              <w:rPr>
                <w:rFonts w:hint="eastAsia" w:ascii="仿宋_GB2312" w:hAnsi="仿宋_GB2312" w:eastAsia="仿宋_GB2312" w:cs="仿宋_GB2312"/>
                <w:kern w:val="0"/>
                <w:sz w:val="24"/>
                <w:szCs w:val="24"/>
              </w:rPr>
              <w:t>0mm×18</w:t>
            </w:r>
            <w:r>
              <w:rPr>
                <w:rFonts w:hint="eastAsia" w:ascii="仿宋_GB2312" w:hAnsi="仿宋_GB2312" w:eastAsia="仿宋_GB2312" w:cs="仿宋_GB2312"/>
                <w:kern w:val="0"/>
                <w:sz w:val="24"/>
                <w:szCs w:val="24"/>
                <w:lang w:val="en-US" w:eastAsia="zh-CN"/>
              </w:rPr>
              <w:t>1</w:t>
            </w:r>
            <w:r>
              <w:rPr>
                <w:rFonts w:hint="eastAsia" w:ascii="仿宋_GB2312" w:hAnsi="仿宋_GB2312" w:eastAsia="仿宋_GB2312" w:cs="仿宋_GB2312"/>
                <w:kern w:val="0"/>
                <w:sz w:val="24"/>
                <w:szCs w:val="24"/>
              </w:rPr>
              <w:t>0mm</w:t>
            </w:r>
          </w:p>
        </w:tc>
      </w:tr>
      <w:tr w14:paraId="7C881C9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CEACAF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12</w:t>
            </w:r>
          </w:p>
        </w:tc>
        <w:tc>
          <w:tcPr>
            <w:tcW w:w="2344" w:type="dxa"/>
            <w:noWrap/>
            <w:vAlign w:val="center"/>
          </w:tcPr>
          <w:p w14:paraId="37258E9D">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开门净尺寸</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rPr>
              <w:t>宽×高</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rPr>
              <w:t>：</w:t>
            </w:r>
          </w:p>
        </w:tc>
        <w:tc>
          <w:tcPr>
            <w:tcW w:w="7245" w:type="dxa"/>
            <w:noWrap/>
            <w:vAlign w:val="center"/>
          </w:tcPr>
          <w:p w14:paraId="6AA7D13F">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800mm×2100mm</w:t>
            </w:r>
          </w:p>
        </w:tc>
      </w:tr>
      <w:tr w14:paraId="3A7D39D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1734BAA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13</w:t>
            </w:r>
          </w:p>
        </w:tc>
        <w:tc>
          <w:tcPr>
            <w:tcW w:w="2344" w:type="dxa"/>
            <w:noWrap/>
            <w:vAlign w:val="center"/>
          </w:tcPr>
          <w:p w14:paraId="267C948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轿厢净尺寸：</w:t>
            </w:r>
          </w:p>
        </w:tc>
        <w:tc>
          <w:tcPr>
            <w:tcW w:w="7245" w:type="dxa"/>
            <w:noWrap/>
            <w:vAlign w:val="center"/>
          </w:tcPr>
          <w:p w14:paraId="7D9B617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1350mm宽×1400mm深×2</w:t>
            </w:r>
            <w:r>
              <w:rPr>
                <w:rFonts w:hint="eastAsia" w:ascii="仿宋_GB2312" w:hAnsi="仿宋_GB2312" w:eastAsia="仿宋_GB2312" w:cs="仿宋_GB2312"/>
                <w:color w:val="000000"/>
                <w:kern w:val="0"/>
                <w:sz w:val="24"/>
                <w:szCs w:val="24"/>
                <w:lang w:val="en-US" w:eastAsia="zh-CN"/>
              </w:rPr>
              <w:t>4</w:t>
            </w:r>
            <w:r>
              <w:rPr>
                <w:rFonts w:hint="eastAsia" w:ascii="仿宋_GB2312" w:hAnsi="仿宋_GB2312" w:eastAsia="仿宋_GB2312" w:cs="仿宋_GB2312"/>
                <w:color w:val="000000"/>
                <w:kern w:val="0"/>
                <w:sz w:val="24"/>
                <w:szCs w:val="24"/>
              </w:rPr>
              <w:t>00mm高</w:t>
            </w:r>
          </w:p>
        </w:tc>
      </w:tr>
      <w:tr w14:paraId="685FA8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0A02F03">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14</w:t>
            </w:r>
          </w:p>
        </w:tc>
        <w:tc>
          <w:tcPr>
            <w:tcW w:w="2344" w:type="dxa"/>
            <w:noWrap/>
            <w:vAlign w:val="center"/>
          </w:tcPr>
          <w:p w14:paraId="41623A26">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门机系统：</w:t>
            </w:r>
          </w:p>
        </w:tc>
        <w:tc>
          <w:tcPr>
            <w:tcW w:w="7245" w:type="dxa"/>
            <w:noWrap/>
            <w:vAlign w:val="center"/>
          </w:tcPr>
          <w:p w14:paraId="3BFCD378">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采用交流变压变频调速门机</w:t>
            </w:r>
          </w:p>
        </w:tc>
      </w:tr>
      <w:tr w14:paraId="1D33719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47DEA9F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15</w:t>
            </w:r>
          </w:p>
        </w:tc>
        <w:tc>
          <w:tcPr>
            <w:tcW w:w="2344" w:type="dxa"/>
            <w:noWrap/>
            <w:vAlign w:val="center"/>
          </w:tcPr>
          <w:p w14:paraId="7CD3B454">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开关门保护：</w:t>
            </w:r>
          </w:p>
        </w:tc>
        <w:tc>
          <w:tcPr>
            <w:tcW w:w="7245" w:type="dxa"/>
            <w:noWrap/>
            <w:vAlign w:val="center"/>
          </w:tcPr>
          <w:p w14:paraId="7E5954CE">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kern w:val="0"/>
                <w:sz w:val="24"/>
                <w:szCs w:val="24"/>
              </w:rPr>
              <w:t>红外线光幕保护（探测整个门高）</w:t>
            </w:r>
          </w:p>
        </w:tc>
      </w:tr>
      <w:tr w14:paraId="1346B42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444CF9D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16</w:t>
            </w:r>
          </w:p>
        </w:tc>
        <w:tc>
          <w:tcPr>
            <w:tcW w:w="2344" w:type="dxa"/>
            <w:noWrap/>
            <w:vAlign w:val="center"/>
          </w:tcPr>
          <w:p w14:paraId="0B33E079">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开门方式：</w:t>
            </w:r>
          </w:p>
        </w:tc>
        <w:tc>
          <w:tcPr>
            <w:tcW w:w="7245" w:type="dxa"/>
            <w:noWrap/>
            <w:vAlign w:val="center"/>
          </w:tcPr>
          <w:p w14:paraId="6D55C36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中分双扇门</w:t>
            </w:r>
          </w:p>
        </w:tc>
      </w:tr>
      <w:tr w14:paraId="0EAF28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526CE5B5">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17</w:t>
            </w:r>
          </w:p>
        </w:tc>
        <w:tc>
          <w:tcPr>
            <w:tcW w:w="2344" w:type="dxa"/>
            <w:noWrap/>
            <w:vAlign w:val="center"/>
          </w:tcPr>
          <w:p w14:paraId="675E8C7F">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控制系统：</w:t>
            </w:r>
          </w:p>
        </w:tc>
        <w:tc>
          <w:tcPr>
            <w:tcW w:w="7245" w:type="dxa"/>
            <w:noWrap/>
            <w:vAlign w:val="center"/>
          </w:tcPr>
          <w:p w14:paraId="700BD32B">
            <w:pPr>
              <w:ind w:firstLine="2640" w:firstLineChars="1100"/>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32位微电脑控制系统</w:t>
            </w:r>
          </w:p>
        </w:tc>
      </w:tr>
      <w:tr w14:paraId="0108FD5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5EC5F4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18</w:t>
            </w:r>
          </w:p>
        </w:tc>
        <w:tc>
          <w:tcPr>
            <w:tcW w:w="2344" w:type="dxa"/>
            <w:noWrap/>
            <w:vAlign w:val="center"/>
          </w:tcPr>
          <w:p w14:paraId="3336748D">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变频控制系统：</w:t>
            </w:r>
          </w:p>
        </w:tc>
        <w:tc>
          <w:tcPr>
            <w:tcW w:w="7245" w:type="dxa"/>
            <w:noWrap/>
            <w:vAlign w:val="center"/>
          </w:tcPr>
          <w:p w14:paraId="2322279D">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数字化、模块化的智变频能控制</w:t>
            </w:r>
          </w:p>
        </w:tc>
      </w:tr>
      <w:tr w14:paraId="138514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4B4E2A3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19</w:t>
            </w:r>
          </w:p>
        </w:tc>
        <w:tc>
          <w:tcPr>
            <w:tcW w:w="2344" w:type="dxa"/>
            <w:noWrap/>
            <w:vAlign w:val="center"/>
          </w:tcPr>
          <w:p w14:paraId="106B641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曳引机：</w:t>
            </w:r>
          </w:p>
        </w:tc>
        <w:tc>
          <w:tcPr>
            <w:tcW w:w="7245" w:type="dxa"/>
            <w:noWrap/>
            <w:vAlign w:val="center"/>
          </w:tcPr>
          <w:p w14:paraId="3CBDC5AE">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PMS永磁同步无齿轮曳引机</w:t>
            </w:r>
          </w:p>
        </w:tc>
      </w:tr>
      <w:tr w14:paraId="32D7373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4529D5D6">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20</w:t>
            </w:r>
          </w:p>
        </w:tc>
        <w:tc>
          <w:tcPr>
            <w:tcW w:w="2344" w:type="dxa"/>
            <w:noWrap/>
            <w:vAlign w:val="center"/>
          </w:tcPr>
          <w:p w14:paraId="1E434F59">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 厢 壁：</w:t>
            </w:r>
          </w:p>
        </w:tc>
        <w:tc>
          <w:tcPr>
            <w:tcW w:w="7245" w:type="dxa"/>
            <w:noWrap/>
            <w:vAlign w:val="center"/>
          </w:tcPr>
          <w:p w14:paraId="4D23F85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发纹不锈钢</w:t>
            </w:r>
          </w:p>
        </w:tc>
      </w:tr>
      <w:tr w14:paraId="415ED48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538ADF8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21</w:t>
            </w:r>
          </w:p>
        </w:tc>
        <w:tc>
          <w:tcPr>
            <w:tcW w:w="2344" w:type="dxa"/>
            <w:noWrap/>
            <w:vAlign w:val="center"/>
          </w:tcPr>
          <w:p w14:paraId="7924F2A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轿厢吊顶：</w:t>
            </w:r>
          </w:p>
        </w:tc>
        <w:tc>
          <w:tcPr>
            <w:tcW w:w="7245" w:type="dxa"/>
            <w:noWrap/>
            <w:vAlign w:val="center"/>
          </w:tcPr>
          <w:p w14:paraId="0DBADAEB">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轿顶一体式，发纹不锈钢，配置通风、LED 照明</w:t>
            </w:r>
          </w:p>
        </w:tc>
      </w:tr>
      <w:tr w14:paraId="3D6E16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10BBA563">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22</w:t>
            </w:r>
          </w:p>
        </w:tc>
        <w:tc>
          <w:tcPr>
            <w:tcW w:w="2344" w:type="dxa"/>
            <w:noWrap/>
            <w:vAlign w:val="center"/>
          </w:tcPr>
          <w:p w14:paraId="10A3FBD2">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    门：</w:t>
            </w:r>
          </w:p>
        </w:tc>
        <w:tc>
          <w:tcPr>
            <w:tcW w:w="7245" w:type="dxa"/>
            <w:noWrap/>
            <w:vAlign w:val="center"/>
          </w:tcPr>
          <w:p w14:paraId="7F48FA6C">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发纹不锈钢</w:t>
            </w:r>
          </w:p>
        </w:tc>
      </w:tr>
      <w:tr w14:paraId="1585B07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6492E9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23</w:t>
            </w:r>
          </w:p>
        </w:tc>
        <w:tc>
          <w:tcPr>
            <w:tcW w:w="2344" w:type="dxa"/>
            <w:noWrap/>
            <w:vAlign w:val="center"/>
          </w:tcPr>
          <w:p w14:paraId="7FD4A434">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轿厢地面：</w:t>
            </w:r>
          </w:p>
        </w:tc>
        <w:tc>
          <w:tcPr>
            <w:tcW w:w="7245" w:type="dxa"/>
            <w:noWrap/>
            <w:vAlign w:val="center"/>
          </w:tcPr>
          <w:p w14:paraId="40654E2A">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PVC</w:t>
            </w:r>
            <w:r>
              <w:rPr>
                <w:rFonts w:hint="eastAsia" w:ascii="仿宋_GB2312" w:hAnsi="仿宋_GB2312" w:eastAsia="仿宋_GB2312" w:cs="仿宋_GB2312"/>
                <w:color w:val="000000"/>
                <w:kern w:val="0"/>
                <w:sz w:val="24"/>
                <w:szCs w:val="24"/>
              </w:rPr>
              <w:t>地板</w:t>
            </w:r>
          </w:p>
        </w:tc>
      </w:tr>
      <w:tr w14:paraId="0A5A8CD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72F38EC3">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24</w:t>
            </w:r>
          </w:p>
        </w:tc>
        <w:tc>
          <w:tcPr>
            <w:tcW w:w="2344" w:type="dxa"/>
            <w:noWrap/>
            <w:vAlign w:val="center"/>
          </w:tcPr>
          <w:p w14:paraId="5D939CE8">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地坎：</w:t>
            </w:r>
          </w:p>
        </w:tc>
        <w:tc>
          <w:tcPr>
            <w:tcW w:w="7245" w:type="dxa"/>
            <w:noWrap/>
            <w:vAlign w:val="center"/>
          </w:tcPr>
          <w:p w14:paraId="3D989D69">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硬质铝合金地坎</w:t>
            </w:r>
          </w:p>
        </w:tc>
      </w:tr>
      <w:tr w14:paraId="1992819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3941844E">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25</w:t>
            </w:r>
          </w:p>
        </w:tc>
        <w:tc>
          <w:tcPr>
            <w:tcW w:w="2344" w:type="dxa"/>
            <w:noWrap/>
            <w:vAlign w:val="center"/>
          </w:tcPr>
          <w:p w14:paraId="6CEA851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厅门材质：</w:t>
            </w:r>
          </w:p>
        </w:tc>
        <w:tc>
          <w:tcPr>
            <w:tcW w:w="7245" w:type="dxa"/>
            <w:noWrap/>
            <w:vAlign w:val="center"/>
          </w:tcPr>
          <w:p w14:paraId="2DB15859">
            <w:pPr>
              <w:jc w:val="center"/>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rPr>
              <w:t>发纹不锈钢</w:t>
            </w:r>
            <w:r>
              <w:rPr>
                <w:rFonts w:hint="eastAsia" w:ascii="仿宋_GB2312" w:hAnsi="仿宋_GB2312" w:eastAsia="仿宋_GB2312" w:cs="仿宋_GB2312"/>
                <w:color w:val="000000"/>
                <w:kern w:val="0"/>
                <w:sz w:val="24"/>
                <w:szCs w:val="24"/>
                <w:lang w:val="en-US" w:eastAsia="zh-CN"/>
              </w:rPr>
              <w:t>厅门</w:t>
            </w:r>
          </w:p>
        </w:tc>
      </w:tr>
      <w:tr w14:paraId="3A7A243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67743099">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26</w:t>
            </w:r>
          </w:p>
        </w:tc>
        <w:tc>
          <w:tcPr>
            <w:tcW w:w="2344" w:type="dxa"/>
            <w:noWrap/>
            <w:vAlign w:val="center"/>
          </w:tcPr>
          <w:p w14:paraId="4D7F2557">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门套材质：</w:t>
            </w:r>
          </w:p>
        </w:tc>
        <w:tc>
          <w:tcPr>
            <w:tcW w:w="7245" w:type="dxa"/>
            <w:noWrap/>
            <w:vAlign w:val="center"/>
          </w:tcPr>
          <w:p w14:paraId="11041351">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发纹不锈钢</w:t>
            </w:r>
            <w:r>
              <w:rPr>
                <w:rFonts w:hint="eastAsia" w:ascii="仿宋_GB2312" w:hAnsi="仿宋_GB2312" w:eastAsia="仿宋_GB2312" w:cs="仿宋_GB2312"/>
                <w:color w:val="000000"/>
                <w:kern w:val="0"/>
                <w:sz w:val="24"/>
                <w:szCs w:val="24"/>
                <w:lang w:val="en-US" w:eastAsia="zh-CN"/>
              </w:rPr>
              <w:t>小门套</w:t>
            </w:r>
          </w:p>
        </w:tc>
      </w:tr>
      <w:tr w14:paraId="58E9FE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819" w:type="dxa"/>
            <w:noWrap/>
            <w:vAlign w:val="center"/>
          </w:tcPr>
          <w:p w14:paraId="60920A2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27</w:t>
            </w:r>
          </w:p>
        </w:tc>
        <w:tc>
          <w:tcPr>
            <w:tcW w:w="2344" w:type="dxa"/>
            <w:noWrap/>
            <w:vAlign w:val="center"/>
          </w:tcPr>
          <w:p w14:paraId="19AB9D57">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操纵箱型号：</w:t>
            </w:r>
          </w:p>
        </w:tc>
        <w:tc>
          <w:tcPr>
            <w:tcW w:w="7245" w:type="dxa"/>
            <w:noWrap/>
            <w:vAlign w:val="center"/>
          </w:tcPr>
          <w:p w14:paraId="36D28050">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白色断码</w:t>
            </w:r>
            <w:r>
              <w:rPr>
                <w:rFonts w:hint="eastAsia" w:ascii="仿宋_GB2312" w:hAnsi="仿宋_GB2312" w:eastAsia="仿宋_GB2312" w:cs="仿宋_GB2312"/>
                <w:color w:val="000000"/>
                <w:kern w:val="0"/>
                <w:sz w:val="24"/>
                <w:szCs w:val="24"/>
              </w:rPr>
              <w:t>显示，面板</w:t>
            </w:r>
            <w:r>
              <w:rPr>
                <w:rFonts w:hint="eastAsia" w:ascii="仿宋_GB2312" w:hAnsi="仿宋_GB2312" w:eastAsia="仿宋_GB2312" w:cs="仿宋_GB2312"/>
                <w:color w:val="000000"/>
                <w:kern w:val="0"/>
                <w:sz w:val="24"/>
                <w:szCs w:val="24"/>
                <w:lang w:val="en-US" w:eastAsia="zh-CN"/>
              </w:rPr>
              <w:t>发纹</w:t>
            </w:r>
            <w:r>
              <w:rPr>
                <w:rFonts w:hint="eastAsia" w:ascii="仿宋_GB2312" w:hAnsi="仿宋_GB2312" w:eastAsia="仿宋_GB2312" w:cs="仿宋_GB2312"/>
                <w:color w:val="000000"/>
                <w:kern w:val="0"/>
                <w:sz w:val="24"/>
                <w:szCs w:val="24"/>
              </w:rPr>
              <w:t>不锈钢</w:t>
            </w:r>
          </w:p>
        </w:tc>
      </w:tr>
      <w:tr w14:paraId="6C8D9F5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819" w:type="dxa"/>
            <w:noWrap/>
            <w:vAlign w:val="center"/>
          </w:tcPr>
          <w:p w14:paraId="4C60977F">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28</w:t>
            </w:r>
          </w:p>
        </w:tc>
        <w:tc>
          <w:tcPr>
            <w:tcW w:w="2344" w:type="dxa"/>
            <w:noWrap/>
            <w:vAlign w:val="center"/>
          </w:tcPr>
          <w:p w14:paraId="49F61F3E">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外召唤配置：</w:t>
            </w:r>
          </w:p>
        </w:tc>
        <w:tc>
          <w:tcPr>
            <w:tcW w:w="7245" w:type="dxa"/>
            <w:noWrap/>
            <w:vAlign w:val="center"/>
          </w:tcPr>
          <w:p w14:paraId="4346A026">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白色断码</w:t>
            </w:r>
            <w:r>
              <w:rPr>
                <w:rFonts w:hint="eastAsia" w:ascii="仿宋_GB2312" w:hAnsi="仿宋_GB2312" w:eastAsia="仿宋_GB2312" w:cs="仿宋_GB2312"/>
                <w:color w:val="000000"/>
                <w:kern w:val="0"/>
                <w:sz w:val="24"/>
                <w:szCs w:val="24"/>
              </w:rPr>
              <w:t>显示，面板</w:t>
            </w:r>
            <w:r>
              <w:rPr>
                <w:rFonts w:hint="eastAsia" w:ascii="仿宋_GB2312" w:hAnsi="仿宋_GB2312" w:eastAsia="仿宋_GB2312" w:cs="仿宋_GB2312"/>
                <w:color w:val="000000"/>
                <w:kern w:val="0"/>
                <w:sz w:val="24"/>
                <w:szCs w:val="24"/>
                <w:lang w:val="en-US" w:eastAsia="zh-CN"/>
              </w:rPr>
              <w:t>发纹</w:t>
            </w:r>
            <w:r>
              <w:rPr>
                <w:rFonts w:hint="eastAsia" w:ascii="仿宋_GB2312" w:hAnsi="仿宋_GB2312" w:eastAsia="仿宋_GB2312" w:cs="仿宋_GB2312"/>
                <w:color w:val="000000"/>
                <w:kern w:val="0"/>
                <w:sz w:val="24"/>
                <w:szCs w:val="24"/>
              </w:rPr>
              <w:t>不锈钢</w:t>
            </w:r>
          </w:p>
        </w:tc>
      </w:tr>
      <w:tr w14:paraId="0A4961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73" w:hRule="exact"/>
          <w:jc w:val="center"/>
        </w:trPr>
        <w:tc>
          <w:tcPr>
            <w:tcW w:w="819" w:type="dxa"/>
            <w:noWrap/>
            <w:vAlign w:val="center"/>
          </w:tcPr>
          <w:p w14:paraId="7E11E78D">
            <w:pPr>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29</w:t>
            </w:r>
          </w:p>
        </w:tc>
        <w:tc>
          <w:tcPr>
            <w:tcW w:w="2344" w:type="dxa"/>
            <w:noWrap/>
            <w:vAlign w:val="center"/>
          </w:tcPr>
          <w:p w14:paraId="75139000">
            <w:pPr>
              <w:jc w:val="center"/>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其余配置</w:t>
            </w:r>
          </w:p>
        </w:tc>
        <w:tc>
          <w:tcPr>
            <w:tcW w:w="7245" w:type="dxa"/>
            <w:noWrap/>
            <w:vAlign w:val="center"/>
          </w:tcPr>
          <w:p w14:paraId="7D25D425">
            <w:pPr>
              <w:jc w:val="center"/>
              <w:rPr>
                <w:rFonts w:hint="eastAsia" w:ascii="仿宋_GB2312" w:hAnsi="仿宋_GB2312" w:eastAsia="仿宋_GB2312" w:cs="仿宋_GB2312"/>
                <w:color w:val="000000"/>
                <w:kern w:val="0"/>
                <w:sz w:val="24"/>
                <w:szCs w:val="24"/>
                <w:lang w:val="en-US" w:eastAsia="zh-CN"/>
              </w:rPr>
            </w:pPr>
            <w:r>
              <w:rPr>
                <w:rFonts w:hint="eastAsia" w:ascii="仿宋_GB2312" w:hAnsi="仿宋_GB2312" w:eastAsia="仿宋_GB2312" w:cs="仿宋_GB2312"/>
                <w:color w:val="000000"/>
                <w:kern w:val="0"/>
                <w:sz w:val="24"/>
                <w:szCs w:val="24"/>
                <w:lang w:val="en-US" w:eastAsia="zh-CN"/>
              </w:rPr>
              <w:t>轿厢到站钟</w:t>
            </w:r>
          </w:p>
        </w:tc>
      </w:tr>
    </w:tbl>
    <w:p w14:paraId="40AE9939">
      <w:pPr>
        <w:rPr>
          <w:rFonts w:hint="eastAsia" w:ascii="仿宋_GB2312" w:hAnsi="仿宋_GB2312" w:eastAsia="仿宋_GB2312" w:cs="仿宋_GB2312"/>
          <w:bCs/>
          <w:kern w:val="2"/>
          <w:sz w:val="24"/>
          <w:szCs w:val="24"/>
          <w:lang w:val="en-US" w:eastAsia="zh-CN" w:bidi="ar-SA"/>
        </w:rPr>
      </w:pPr>
      <w:r>
        <w:rPr>
          <w:rFonts w:hint="eastAsia" w:ascii="仿宋_GB2312" w:hAnsi="仿宋_GB2312" w:eastAsia="仿宋_GB2312" w:cs="仿宋_GB2312"/>
          <w:bCs/>
          <w:kern w:val="2"/>
          <w:sz w:val="24"/>
          <w:szCs w:val="24"/>
          <w:lang w:val="en-US" w:eastAsia="zh-CN" w:bidi="ar-SA"/>
        </w:rPr>
        <w:br w:type="page"/>
      </w:r>
    </w:p>
    <w:p w14:paraId="66F903B8">
      <w:pPr>
        <w:pStyle w:val="14"/>
        <w:ind w:left="0" w:leftChars="0" w:firstLine="0" w:firstLineChars="0"/>
        <w:rPr>
          <w:rFonts w:hint="eastAsia" w:ascii="仿宋_GB2312" w:hAnsi="仿宋_GB2312" w:eastAsia="仿宋_GB2312" w:cs="仿宋_GB2312"/>
          <w:bCs/>
          <w:kern w:val="2"/>
          <w:sz w:val="24"/>
          <w:szCs w:val="24"/>
          <w:lang w:val="en-US" w:eastAsia="zh-CN" w:bidi="ar-SA"/>
        </w:rPr>
      </w:pPr>
      <w:r>
        <w:rPr>
          <w:rFonts w:hint="eastAsia" w:ascii="仿宋_GB2312" w:hAnsi="仿宋_GB2312" w:eastAsia="仿宋_GB2312" w:cs="仿宋_GB2312"/>
          <w:bCs/>
          <w:kern w:val="2"/>
          <w:sz w:val="24"/>
          <w:szCs w:val="24"/>
          <w:lang w:val="en-US" w:eastAsia="zh-CN" w:bidi="ar-SA"/>
        </w:rPr>
        <w:t xml:space="preserve"> 6.2、主要部件配置要求</w:t>
      </w:r>
    </w:p>
    <w:tbl>
      <w:tblPr>
        <w:tblStyle w:val="10"/>
        <w:tblW w:w="5268" w:type="pct"/>
        <w:jc w:val="center"/>
        <w:tblLayout w:type="autofit"/>
        <w:tblCellMar>
          <w:top w:w="15" w:type="dxa"/>
          <w:left w:w="15" w:type="dxa"/>
          <w:bottom w:w="15" w:type="dxa"/>
          <w:right w:w="15" w:type="dxa"/>
        </w:tblCellMar>
      </w:tblPr>
      <w:tblGrid>
        <w:gridCol w:w="2903"/>
        <w:gridCol w:w="6448"/>
      </w:tblGrid>
      <w:tr w14:paraId="5F7046DD">
        <w:tblPrEx>
          <w:tblCellMar>
            <w:top w:w="15" w:type="dxa"/>
            <w:left w:w="15" w:type="dxa"/>
            <w:bottom w:w="15" w:type="dxa"/>
            <w:right w:w="15" w:type="dxa"/>
          </w:tblCellMar>
        </w:tblPrEx>
        <w:trPr>
          <w:trHeight w:val="90" w:hRule="atLeast"/>
          <w:tblHeader/>
          <w:jc w:val="center"/>
        </w:trPr>
        <w:tc>
          <w:tcPr>
            <w:tcW w:w="1552" w:type="pct"/>
            <w:tcBorders>
              <w:top w:val="single" w:color="000000" w:sz="4" w:space="0"/>
              <w:left w:val="single" w:color="auto" w:sz="4" w:space="0"/>
              <w:bottom w:val="single" w:color="000000" w:sz="4" w:space="0"/>
              <w:right w:val="single" w:color="auto" w:sz="4" w:space="0"/>
            </w:tcBorders>
          </w:tcPr>
          <w:p w14:paraId="469B99EE">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控制柜</w:t>
            </w:r>
          </w:p>
        </w:tc>
        <w:tc>
          <w:tcPr>
            <w:tcW w:w="3447" w:type="pct"/>
            <w:tcBorders>
              <w:top w:val="single" w:color="000000" w:sz="4" w:space="0"/>
              <w:left w:val="single" w:color="auto" w:sz="4" w:space="0"/>
              <w:bottom w:val="single" w:color="000000" w:sz="4" w:space="0"/>
              <w:right w:val="single" w:color="auto" w:sz="4" w:space="0"/>
            </w:tcBorders>
          </w:tcPr>
          <w:p w14:paraId="081B083C">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原厂原品牌</w:t>
            </w:r>
          </w:p>
        </w:tc>
      </w:tr>
      <w:tr w14:paraId="164955A9">
        <w:tblPrEx>
          <w:tblCellMar>
            <w:top w:w="15" w:type="dxa"/>
            <w:left w:w="15" w:type="dxa"/>
            <w:bottom w:w="15" w:type="dxa"/>
            <w:right w:w="15" w:type="dxa"/>
          </w:tblCellMar>
        </w:tblPrEx>
        <w:trPr>
          <w:trHeight w:val="90" w:hRule="atLeast"/>
          <w:tblHeader/>
          <w:jc w:val="center"/>
        </w:trPr>
        <w:tc>
          <w:tcPr>
            <w:tcW w:w="1552" w:type="pct"/>
            <w:tcBorders>
              <w:top w:val="single" w:color="000000" w:sz="4" w:space="0"/>
              <w:left w:val="single" w:color="auto" w:sz="4" w:space="0"/>
              <w:bottom w:val="single" w:color="000000" w:sz="4" w:space="0"/>
              <w:right w:val="single" w:color="auto" w:sz="4" w:space="0"/>
            </w:tcBorders>
            <w:vAlign w:val="center"/>
          </w:tcPr>
          <w:p w14:paraId="12923538">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变频器</w:t>
            </w:r>
          </w:p>
        </w:tc>
        <w:tc>
          <w:tcPr>
            <w:tcW w:w="3447" w:type="pct"/>
            <w:tcBorders>
              <w:top w:val="single" w:color="000000" w:sz="4" w:space="0"/>
              <w:left w:val="single" w:color="auto" w:sz="4" w:space="0"/>
              <w:bottom w:val="single" w:color="000000" w:sz="4" w:space="0"/>
              <w:right w:val="single" w:color="auto" w:sz="4" w:space="0"/>
            </w:tcBorders>
            <w:vAlign w:val="center"/>
          </w:tcPr>
          <w:p w14:paraId="785E3D9C">
            <w:pPr>
              <w:spacing w:line="4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交流变频变压控制（VVVF），</w:t>
            </w:r>
            <w:r>
              <w:rPr>
                <w:rFonts w:hint="eastAsia" w:ascii="仿宋_GB2312" w:hAnsi="仿宋_GB2312" w:eastAsia="仿宋_GB2312" w:cs="仿宋_GB2312"/>
                <w:sz w:val="24"/>
                <w:szCs w:val="24"/>
                <w:lang w:eastAsia="zh-CN"/>
              </w:rPr>
              <w:t>原厂原品牌</w:t>
            </w:r>
          </w:p>
        </w:tc>
      </w:tr>
      <w:tr w14:paraId="0F405627">
        <w:tblPrEx>
          <w:tblCellMar>
            <w:top w:w="15" w:type="dxa"/>
            <w:left w:w="15" w:type="dxa"/>
            <w:bottom w:w="15" w:type="dxa"/>
            <w:right w:w="15" w:type="dxa"/>
          </w:tblCellMar>
        </w:tblPrEx>
        <w:trPr>
          <w:trHeight w:val="90" w:hRule="atLeast"/>
          <w:tblHeader/>
          <w:jc w:val="center"/>
        </w:trPr>
        <w:tc>
          <w:tcPr>
            <w:tcW w:w="1552" w:type="pct"/>
            <w:tcBorders>
              <w:top w:val="single" w:color="000000" w:sz="4" w:space="0"/>
              <w:left w:val="single" w:color="auto" w:sz="4" w:space="0"/>
              <w:bottom w:val="single" w:color="000000" w:sz="4" w:space="0"/>
              <w:right w:val="single" w:color="auto" w:sz="4" w:space="0"/>
            </w:tcBorders>
            <w:vAlign w:val="center"/>
          </w:tcPr>
          <w:p w14:paraId="6EC4FD23">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控制系统</w:t>
            </w:r>
          </w:p>
        </w:tc>
        <w:tc>
          <w:tcPr>
            <w:tcW w:w="3447" w:type="pct"/>
            <w:tcBorders>
              <w:top w:val="single" w:color="000000" w:sz="4" w:space="0"/>
              <w:left w:val="single" w:color="auto" w:sz="4" w:space="0"/>
              <w:bottom w:val="single" w:color="000000" w:sz="4" w:space="0"/>
              <w:right w:val="single" w:color="auto" w:sz="4" w:space="0"/>
            </w:tcBorders>
            <w:vAlign w:val="center"/>
          </w:tcPr>
          <w:p w14:paraId="069A3E05">
            <w:pPr>
              <w:spacing w:line="4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微</w:t>
            </w:r>
            <w:r>
              <w:rPr>
                <w:rFonts w:hint="eastAsia" w:ascii="仿宋_GB2312" w:hAnsi="仿宋_GB2312" w:eastAsia="仿宋_GB2312" w:cs="仿宋_GB2312"/>
                <w:sz w:val="24"/>
                <w:szCs w:val="24"/>
                <w:lang w:eastAsia="zh-CN"/>
              </w:rPr>
              <w:t>电脑</w:t>
            </w:r>
            <w:r>
              <w:rPr>
                <w:rFonts w:hint="eastAsia" w:ascii="仿宋_GB2312" w:hAnsi="仿宋_GB2312" w:eastAsia="仿宋_GB2312" w:cs="仿宋_GB2312"/>
                <w:sz w:val="24"/>
                <w:szCs w:val="24"/>
              </w:rPr>
              <w:t>控制系统，</w:t>
            </w:r>
            <w:r>
              <w:rPr>
                <w:rFonts w:hint="eastAsia" w:ascii="仿宋_GB2312" w:hAnsi="仿宋_GB2312" w:eastAsia="仿宋_GB2312" w:cs="仿宋_GB2312"/>
                <w:sz w:val="24"/>
                <w:szCs w:val="24"/>
                <w:lang w:eastAsia="zh-CN"/>
              </w:rPr>
              <w:t>原厂原品牌</w:t>
            </w:r>
          </w:p>
        </w:tc>
      </w:tr>
      <w:tr w14:paraId="4AF41C21">
        <w:tblPrEx>
          <w:tblCellMar>
            <w:top w:w="15" w:type="dxa"/>
            <w:left w:w="15" w:type="dxa"/>
            <w:bottom w:w="15" w:type="dxa"/>
            <w:right w:w="15" w:type="dxa"/>
          </w:tblCellMar>
        </w:tblPrEx>
        <w:trPr>
          <w:trHeight w:val="90" w:hRule="atLeast"/>
          <w:tblHeader/>
          <w:jc w:val="center"/>
        </w:trPr>
        <w:tc>
          <w:tcPr>
            <w:tcW w:w="1552" w:type="pct"/>
            <w:tcBorders>
              <w:top w:val="single" w:color="000000" w:sz="4" w:space="0"/>
              <w:left w:val="single" w:color="auto" w:sz="4" w:space="0"/>
              <w:bottom w:val="single" w:color="000000" w:sz="4" w:space="0"/>
              <w:right w:val="single" w:color="auto" w:sz="4" w:space="0"/>
            </w:tcBorders>
          </w:tcPr>
          <w:p w14:paraId="4E2D0A0C">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电梯主机</w:t>
            </w:r>
          </w:p>
        </w:tc>
        <w:tc>
          <w:tcPr>
            <w:tcW w:w="3447" w:type="pct"/>
            <w:tcBorders>
              <w:top w:val="single" w:color="000000" w:sz="4" w:space="0"/>
              <w:left w:val="single" w:color="auto" w:sz="4" w:space="0"/>
              <w:bottom w:val="single" w:color="000000" w:sz="4" w:space="0"/>
              <w:right w:val="single" w:color="auto" w:sz="4" w:space="0"/>
            </w:tcBorders>
          </w:tcPr>
          <w:p w14:paraId="22FAF492">
            <w:pPr>
              <w:spacing w:line="4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永磁</w:t>
            </w:r>
            <w:r>
              <w:rPr>
                <w:rFonts w:hint="eastAsia" w:ascii="仿宋_GB2312" w:hAnsi="仿宋_GB2312" w:eastAsia="仿宋_GB2312" w:cs="仿宋_GB2312"/>
                <w:sz w:val="24"/>
                <w:szCs w:val="24"/>
                <w:lang w:eastAsia="zh-CN"/>
              </w:rPr>
              <w:t>同步无齿轮</w:t>
            </w:r>
            <w:r>
              <w:rPr>
                <w:rFonts w:hint="eastAsia" w:ascii="仿宋_GB2312" w:hAnsi="仿宋_GB2312" w:eastAsia="仿宋_GB2312" w:cs="仿宋_GB2312"/>
                <w:sz w:val="24"/>
                <w:szCs w:val="24"/>
              </w:rPr>
              <w:t>曳引机</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原厂原品牌</w:t>
            </w:r>
          </w:p>
        </w:tc>
      </w:tr>
      <w:tr w14:paraId="2417DAEC">
        <w:tblPrEx>
          <w:tblCellMar>
            <w:top w:w="15" w:type="dxa"/>
            <w:left w:w="15" w:type="dxa"/>
            <w:bottom w:w="15" w:type="dxa"/>
            <w:right w:w="15" w:type="dxa"/>
          </w:tblCellMar>
        </w:tblPrEx>
        <w:trPr>
          <w:trHeight w:val="90" w:hRule="atLeast"/>
          <w:tblHeader/>
          <w:jc w:val="center"/>
        </w:trPr>
        <w:tc>
          <w:tcPr>
            <w:tcW w:w="1552" w:type="pct"/>
            <w:tcBorders>
              <w:top w:val="single" w:color="000000" w:sz="4" w:space="0"/>
              <w:left w:val="single" w:color="auto" w:sz="4" w:space="0"/>
              <w:bottom w:val="single" w:color="000000" w:sz="4" w:space="0"/>
              <w:right w:val="single" w:color="auto" w:sz="4" w:space="0"/>
            </w:tcBorders>
          </w:tcPr>
          <w:p w14:paraId="036F825F">
            <w:pPr>
              <w:spacing w:line="4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光幕</w:t>
            </w:r>
          </w:p>
        </w:tc>
        <w:tc>
          <w:tcPr>
            <w:tcW w:w="3447" w:type="pct"/>
            <w:tcBorders>
              <w:top w:val="single" w:color="000000" w:sz="4" w:space="0"/>
              <w:left w:val="single" w:color="auto" w:sz="4" w:space="0"/>
              <w:bottom w:val="single" w:color="000000" w:sz="4" w:space="0"/>
              <w:right w:val="single" w:color="auto" w:sz="4" w:space="0"/>
            </w:tcBorders>
          </w:tcPr>
          <w:p w14:paraId="4DAE1DF2">
            <w:pPr>
              <w:spacing w:line="4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探测整个门高</w:t>
            </w:r>
          </w:p>
        </w:tc>
      </w:tr>
      <w:tr w14:paraId="6AF0F54B">
        <w:tblPrEx>
          <w:tblCellMar>
            <w:top w:w="15" w:type="dxa"/>
            <w:left w:w="15" w:type="dxa"/>
            <w:bottom w:w="15" w:type="dxa"/>
            <w:right w:w="15" w:type="dxa"/>
          </w:tblCellMar>
        </w:tblPrEx>
        <w:trPr>
          <w:trHeight w:val="90" w:hRule="atLeast"/>
          <w:tblHeader/>
          <w:jc w:val="center"/>
        </w:trPr>
        <w:tc>
          <w:tcPr>
            <w:tcW w:w="5000" w:type="pct"/>
            <w:gridSpan w:val="2"/>
            <w:tcBorders>
              <w:top w:val="single" w:color="000000" w:sz="4" w:space="0"/>
              <w:left w:val="single" w:color="auto" w:sz="4" w:space="0"/>
              <w:bottom w:val="single" w:color="000000" w:sz="4" w:space="0"/>
              <w:right w:val="single" w:color="auto" w:sz="4" w:space="0"/>
            </w:tcBorders>
          </w:tcPr>
          <w:p w14:paraId="3CF5459B">
            <w:pPr>
              <w:spacing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其他配置按制造商标准配置提供</w:t>
            </w:r>
          </w:p>
        </w:tc>
      </w:tr>
    </w:tbl>
    <w:p w14:paraId="26237D59">
      <w:pPr>
        <w:pStyle w:val="14"/>
        <w:ind w:left="0" w:leftChars="0" w:firstLine="0" w:firstLineChars="0"/>
        <w:rPr>
          <w:rFonts w:hint="eastAsia" w:ascii="仿宋_GB2312" w:hAnsi="仿宋_GB2312" w:eastAsia="仿宋_GB2312" w:cs="仿宋_GB2312"/>
          <w:bCs/>
          <w:kern w:val="2"/>
          <w:sz w:val="24"/>
          <w:szCs w:val="24"/>
          <w:lang w:val="en-US" w:eastAsia="zh-CN" w:bidi="ar-SA"/>
        </w:rPr>
      </w:pPr>
      <w:r>
        <w:rPr>
          <w:rFonts w:hint="eastAsia" w:ascii="仿宋_GB2312" w:hAnsi="仿宋_GB2312" w:eastAsia="仿宋_GB2312" w:cs="仿宋_GB2312"/>
          <w:bCs/>
          <w:kern w:val="2"/>
          <w:sz w:val="24"/>
          <w:szCs w:val="24"/>
          <w:lang w:val="en-US" w:eastAsia="zh-CN" w:bidi="ar-SA"/>
        </w:rPr>
        <w:t xml:space="preserve">  6.3、电梯功能表</w:t>
      </w:r>
    </w:p>
    <w:tbl>
      <w:tblPr>
        <w:tblStyle w:val="11"/>
        <w:tblW w:w="10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1"/>
        <w:gridCol w:w="3612"/>
        <w:gridCol w:w="882"/>
        <w:gridCol w:w="4694"/>
      </w:tblGrid>
      <w:tr w14:paraId="54871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31BC7483">
            <w:pPr>
              <w:widowControl w:val="0"/>
              <w:spacing w:line="360" w:lineRule="auto"/>
              <w:jc w:val="center"/>
              <w:rPr>
                <w:rFonts w:hint="eastAsia" w:ascii="仿宋_GB2312" w:hAnsi="仿宋_GB2312" w:eastAsia="仿宋_GB2312" w:cs="仿宋_GB2312"/>
                <w:b/>
                <w:snapToGrid w:val="0"/>
                <w:color w:val="FF0000"/>
                <w:kern w:val="0"/>
                <w:sz w:val="24"/>
                <w:szCs w:val="24"/>
              </w:rPr>
            </w:pPr>
            <w:r>
              <w:rPr>
                <w:rFonts w:hint="eastAsia" w:ascii="仿宋_GB2312" w:hAnsi="仿宋_GB2312" w:eastAsia="仿宋_GB2312" w:cs="仿宋_GB2312"/>
                <w:b/>
                <w:snapToGrid w:val="0"/>
                <w:color w:val="FF0000"/>
                <w:kern w:val="0"/>
                <w:sz w:val="24"/>
                <w:szCs w:val="24"/>
              </w:rPr>
              <w:t>序号</w:t>
            </w:r>
          </w:p>
        </w:tc>
        <w:tc>
          <w:tcPr>
            <w:tcW w:w="3612" w:type="dxa"/>
            <w:noWrap/>
          </w:tcPr>
          <w:p w14:paraId="4781FFE9">
            <w:pPr>
              <w:widowControl w:val="0"/>
              <w:spacing w:line="360" w:lineRule="auto"/>
              <w:jc w:val="center"/>
              <w:rPr>
                <w:rFonts w:hint="eastAsia" w:ascii="仿宋_GB2312" w:hAnsi="仿宋_GB2312" w:eastAsia="仿宋_GB2312" w:cs="仿宋_GB2312"/>
                <w:b/>
                <w:snapToGrid w:val="0"/>
                <w:color w:val="FF0000"/>
                <w:kern w:val="0"/>
                <w:sz w:val="24"/>
                <w:szCs w:val="24"/>
              </w:rPr>
            </w:pPr>
            <w:r>
              <w:rPr>
                <w:rFonts w:hint="eastAsia" w:ascii="仿宋_GB2312" w:hAnsi="仿宋_GB2312" w:eastAsia="仿宋_GB2312" w:cs="仿宋_GB2312"/>
                <w:b/>
                <w:snapToGrid w:val="0"/>
                <w:color w:val="FF0000"/>
                <w:kern w:val="0"/>
                <w:sz w:val="24"/>
                <w:szCs w:val="24"/>
              </w:rPr>
              <w:t>功        能</w:t>
            </w:r>
          </w:p>
        </w:tc>
        <w:tc>
          <w:tcPr>
            <w:tcW w:w="882" w:type="dxa"/>
            <w:noWrap/>
          </w:tcPr>
          <w:p w14:paraId="69FE50F1">
            <w:pPr>
              <w:widowControl w:val="0"/>
              <w:spacing w:line="360" w:lineRule="auto"/>
              <w:jc w:val="center"/>
              <w:rPr>
                <w:rFonts w:hint="eastAsia" w:ascii="仿宋_GB2312" w:hAnsi="仿宋_GB2312" w:eastAsia="仿宋_GB2312" w:cs="仿宋_GB2312"/>
                <w:b/>
                <w:snapToGrid w:val="0"/>
                <w:color w:val="FF0000"/>
                <w:kern w:val="0"/>
                <w:sz w:val="24"/>
                <w:szCs w:val="24"/>
              </w:rPr>
            </w:pPr>
            <w:r>
              <w:rPr>
                <w:rFonts w:hint="eastAsia" w:ascii="仿宋_GB2312" w:hAnsi="仿宋_GB2312" w:eastAsia="仿宋_GB2312" w:cs="仿宋_GB2312"/>
                <w:b/>
                <w:snapToGrid w:val="0"/>
                <w:color w:val="FF0000"/>
                <w:kern w:val="0"/>
                <w:sz w:val="24"/>
                <w:szCs w:val="24"/>
              </w:rPr>
              <w:t>序号</w:t>
            </w:r>
          </w:p>
        </w:tc>
        <w:tc>
          <w:tcPr>
            <w:tcW w:w="4694" w:type="dxa"/>
            <w:noWrap/>
          </w:tcPr>
          <w:p w14:paraId="4B98FB8F">
            <w:pPr>
              <w:widowControl w:val="0"/>
              <w:spacing w:line="360" w:lineRule="auto"/>
              <w:jc w:val="center"/>
              <w:rPr>
                <w:rFonts w:hint="eastAsia" w:ascii="仿宋_GB2312" w:hAnsi="仿宋_GB2312" w:eastAsia="仿宋_GB2312" w:cs="仿宋_GB2312"/>
                <w:b/>
                <w:snapToGrid w:val="0"/>
                <w:color w:val="FF0000"/>
                <w:kern w:val="0"/>
                <w:sz w:val="24"/>
                <w:szCs w:val="24"/>
              </w:rPr>
            </w:pPr>
            <w:r>
              <w:rPr>
                <w:rFonts w:hint="eastAsia" w:ascii="仿宋_GB2312" w:hAnsi="仿宋_GB2312" w:eastAsia="仿宋_GB2312" w:cs="仿宋_GB2312"/>
                <w:b/>
                <w:snapToGrid w:val="0"/>
                <w:color w:val="FF0000"/>
                <w:kern w:val="0"/>
                <w:sz w:val="24"/>
                <w:szCs w:val="24"/>
              </w:rPr>
              <w:t>功            能</w:t>
            </w:r>
          </w:p>
        </w:tc>
      </w:tr>
      <w:tr w14:paraId="6A584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11AB8BB7">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w:t>
            </w:r>
          </w:p>
        </w:tc>
        <w:tc>
          <w:tcPr>
            <w:tcW w:w="3612" w:type="dxa"/>
            <w:noWrap/>
          </w:tcPr>
          <w:p w14:paraId="37C4146B">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eastAsia="zh-CN"/>
              </w:rPr>
              <w:t>全集选控制</w:t>
            </w:r>
          </w:p>
        </w:tc>
        <w:tc>
          <w:tcPr>
            <w:tcW w:w="882" w:type="dxa"/>
            <w:noWrap/>
          </w:tcPr>
          <w:p w14:paraId="572CBB3A">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w:t>
            </w:r>
          </w:p>
        </w:tc>
        <w:tc>
          <w:tcPr>
            <w:tcW w:w="4694" w:type="dxa"/>
            <w:noWrap/>
          </w:tcPr>
          <w:p w14:paraId="3E2297EF">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满载直驶</w:t>
            </w:r>
          </w:p>
        </w:tc>
      </w:tr>
      <w:tr w14:paraId="4732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0E5A4728">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3</w:t>
            </w:r>
          </w:p>
        </w:tc>
        <w:tc>
          <w:tcPr>
            <w:tcW w:w="3612" w:type="dxa"/>
            <w:noWrap/>
          </w:tcPr>
          <w:p w14:paraId="6377C875">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超载报警</w:t>
            </w:r>
          </w:p>
        </w:tc>
        <w:tc>
          <w:tcPr>
            <w:tcW w:w="882" w:type="dxa"/>
            <w:noWrap/>
          </w:tcPr>
          <w:p w14:paraId="3EADF48A">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4</w:t>
            </w:r>
          </w:p>
        </w:tc>
        <w:tc>
          <w:tcPr>
            <w:tcW w:w="4694" w:type="dxa"/>
            <w:noWrap/>
          </w:tcPr>
          <w:p w14:paraId="2297D0B8">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开门时间自适应</w:t>
            </w:r>
          </w:p>
        </w:tc>
      </w:tr>
      <w:tr w14:paraId="38B59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1C64DEC6">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5</w:t>
            </w:r>
          </w:p>
        </w:tc>
        <w:tc>
          <w:tcPr>
            <w:tcW w:w="3612" w:type="dxa"/>
            <w:noWrap/>
          </w:tcPr>
          <w:p w14:paraId="2CAC34BF">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光幕保护</w:t>
            </w:r>
          </w:p>
        </w:tc>
        <w:tc>
          <w:tcPr>
            <w:tcW w:w="882" w:type="dxa"/>
            <w:noWrap/>
          </w:tcPr>
          <w:p w14:paraId="22533A23">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6</w:t>
            </w:r>
          </w:p>
        </w:tc>
        <w:tc>
          <w:tcPr>
            <w:tcW w:w="4694" w:type="dxa"/>
            <w:noWrap/>
          </w:tcPr>
          <w:p w14:paraId="2B534E64">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机房急停按钮</w:t>
            </w:r>
          </w:p>
        </w:tc>
      </w:tr>
      <w:tr w14:paraId="0B011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42B5E458">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7</w:t>
            </w:r>
          </w:p>
        </w:tc>
        <w:tc>
          <w:tcPr>
            <w:tcW w:w="3612" w:type="dxa"/>
            <w:noWrap/>
          </w:tcPr>
          <w:p w14:paraId="2B5AB40B">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轿顶急停按钮</w:t>
            </w:r>
          </w:p>
        </w:tc>
        <w:tc>
          <w:tcPr>
            <w:tcW w:w="882" w:type="dxa"/>
            <w:noWrap/>
          </w:tcPr>
          <w:p w14:paraId="6F81C9B9">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8</w:t>
            </w:r>
          </w:p>
        </w:tc>
        <w:tc>
          <w:tcPr>
            <w:tcW w:w="4694" w:type="dxa"/>
            <w:noWrap/>
          </w:tcPr>
          <w:p w14:paraId="07478A14">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运行时间超出保护</w:t>
            </w:r>
          </w:p>
        </w:tc>
      </w:tr>
      <w:tr w14:paraId="481DB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672F1699">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9</w:t>
            </w:r>
          </w:p>
        </w:tc>
        <w:tc>
          <w:tcPr>
            <w:tcW w:w="3612" w:type="dxa"/>
            <w:noWrap/>
          </w:tcPr>
          <w:p w14:paraId="17CC11D5">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关门监控接点</w:t>
            </w:r>
          </w:p>
        </w:tc>
        <w:tc>
          <w:tcPr>
            <w:tcW w:w="882" w:type="dxa"/>
            <w:noWrap/>
          </w:tcPr>
          <w:p w14:paraId="721A0625">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10</w:t>
            </w:r>
          </w:p>
        </w:tc>
        <w:tc>
          <w:tcPr>
            <w:tcW w:w="4694" w:type="dxa"/>
            <w:noWrap/>
          </w:tcPr>
          <w:p w14:paraId="4D8E40A0">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开门监控接点</w:t>
            </w:r>
          </w:p>
        </w:tc>
      </w:tr>
      <w:tr w14:paraId="663C5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7A7A0771">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11</w:t>
            </w:r>
          </w:p>
        </w:tc>
        <w:tc>
          <w:tcPr>
            <w:tcW w:w="3612" w:type="dxa"/>
            <w:noWrap/>
          </w:tcPr>
          <w:p w14:paraId="0480EE6B">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曳引媒介松紧监测触点</w:t>
            </w:r>
          </w:p>
        </w:tc>
        <w:tc>
          <w:tcPr>
            <w:tcW w:w="882" w:type="dxa"/>
            <w:noWrap/>
          </w:tcPr>
          <w:p w14:paraId="2BD7B05F">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12</w:t>
            </w:r>
          </w:p>
        </w:tc>
        <w:tc>
          <w:tcPr>
            <w:tcW w:w="4694" w:type="dxa"/>
            <w:noWrap/>
          </w:tcPr>
          <w:p w14:paraId="316A5E77">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安全钳释放规程</w:t>
            </w:r>
          </w:p>
        </w:tc>
      </w:tr>
      <w:tr w14:paraId="437C8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26580522">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13</w:t>
            </w:r>
          </w:p>
        </w:tc>
        <w:tc>
          <w:tcPr>
            <w:tcW w:w="3612" w:type="dxa"/>
            <w:noWrap/>
          </w:tcPr>
          <w:p w14:paraId="4AEA0519">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机房主电源开关</w:t>
            </w:r>
          </w:p>
        </w:tc>
        <w:tc>
          <w:tcPr>
            <w:tcW w:w="882" w:type="dxa"/>
            <w:noWrap/>
          </w:tcPr>
          <w:p w14:paraId="182C8157">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14</w:t>
            </w:r>
          </w:p>
        </w:tc>
        <w:tc>
          <w:tcPr>
            <w:tcW w:w="4694" w:type="dxa"/>
            <w:noWrap/>
          </w:tcPr>
          <w:p w14:paraId="784EAA9C">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轿顶检修控制</w:t>
            </w:r>
          </w:p>
        </w:tc>
      </w:tr>
      <w:tr w14:paraId="79712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7799BA29">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15</w:t>
            </w:r>
          </w:p>
        </w:tc>
        <w:tc>
          <w:tcPr>
            <w:tcW w:w="3612" w:type="dxa"/>
            <w:noWrap/>
          </w:tcPr>
          <w:p w14:paraId="18C05C78">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自动行程测试控制</w:t>
            </w:r>
          </w:p>
        </w:tc>
        <w:tc>
          <w:tcPr>
            <w:tcW w:w="882" w:type="dxa"/>
            <w:noWrap/>
          </w:tcPr>
          <w:p w14:paraId="6212A52A">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16</w:t>
            </w:r>
          </w:p>
        </w:tc>
        <w:tc>
          <w:tcPr>
            <w:tcW w:w="4694" w:type="dxa"/>
            <w:noWrap/>
          </w:tcPr>
          <w:p w14:paraId="47D6B9D9">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回召服务控制</w:t>
            </w:r>
          </w:p>
        </w:tc>
      </w:tr>
      <w:tr w14:paraId="21A8A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0A6AE934">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17</w:t>
            </w:r>
          </w:p>
        </w:tc>
        <w:tc>
          <w:tcPr>
            <w:tcW w:w="3612" w:type="dxa"/>
            <w:noWrap/>
          </w:tcPr>
          <w:p w14:paraId="0FE54708">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运行计数器</w:t>
            </w:r>
          </w:p>
        </w:tc>
        <w:tc>
          <w:tcPr>
            <w:tcW w:w="882" w:type="dxa"/>
            <w:noWrap/>
          </w:tcPr>
          <w:p w14:paraId="1D2B2ADA">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18</w:t>
            </w:r>
          </w:p>
        </w:tc>
        <w:tc>
          <w:tcPr>
            <w:tcW w:w="4694" w:type="dxa"/>
            <w:noWrap/>
          </w:tcPr>
          <w:p w14:paraId="067674BA">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机房检修照明</w:t>
            </w:r>
          </w:p>
        </w:tc>
      </w:tr>
      <w:tr w14:paraId="14A4E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015A1918">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19</w:t>
            </w:r>
          </w:p>
        </w:tc>
        <w:tc>
          <w:tcPr>
            <w:tcW w:w="3612" w:type="dxa"/>
            <w:noWrap/>
          </w:tcPr>
          <w:p w14:paraId="39DE6BDD">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控制柜内门开保护开关</w:t>
            </w:r>
          </w:p>
        </w:tc>
        <w:tc>
          <w:tcPr>
            <w:tcW w:w="882" w:type="dxa"/>
            <w:noWrap/>
          </w:tcPr>
          <w:p w14:paraId="7C8DC48D">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20</w:t>
            </w:r>
          </w:p>
        </w:tc>
        <w:tc>
          <w:tcPr>
            <w:tcW w:w="4694" w:type="dxa"/>
            <w:noWrap/>
          </w:tcPr>
          <w:p w14:paraId="27B6AE12">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电源错相保护</w:t>
            </w:r>
          </w:p>
        </w:tc>
      </w:tr>
      <w:tr w14:paraId="697EC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6AFF9F2E">
            <w:pPr>
              <w:widowControl w:val="0"/>
              <w:spacing w:line="360" w:lineRule="auto"/>
              <w:jc w:val="center"/>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rPr>
              <w:t>21</w:t>
            </w:r>
          </w:p>
        </w:tc>
        <w:tc>
          <w:tcPr>
            <w:tcW w:w="3612" w:type="dxa"/>
            <w:noWrap/>
          </w:tcPr>
          <w:p w14:paraId="556B0166">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安全钳触点</w:t>
            </w:r>
          </w:p>
        </w:tc>
        <w:tc>
          <w:tcPr>
            <w:tcW w:w="882" w:type="dxa"/>
            <w:noWrap/>
          </w:tcPr>
          <w:p w14:paraId="6E2A7684">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22</w:t>
            </w:r>
          </w:p>
        </w:tc>
        <w:tc>
          <w:tcPr>
            <w:tcW w:w="4694" w:type="dxa"/>
            <w:noWrap/>
          </w:tcPr>
          <w:p w14:paraId="0F7B0C20">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限速器涨紧装置安全触点</w:t>
            </w:r>
          </w:p>
        </w:tc>
      </w:tr>
      <w:tr w14:paraId="0F86A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exact"/>
          <w:jc w:val="center"/>
        </w:trPr>
        <w:tc>
          <w:tcPr>
            <w:tcW w:w="1141" w:type="dxa"/>
            <w:noWrap/>
          </w:tcPr>
          <w:p w14:paraId="0D24DD0C">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23</w:t>
            </w:r>
          </w:p>
        </w:tc>
        <w:tc>
          <w:tcPr>
            <w:tcW w:w="3612" w:type="dxa"/>
            <w:noWrap/>
          </w:tcPr>
          <w:p w14:paraId="2EFCFC14">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手动救援操作</w:t>
            </w:r>
          </w:p>
        </w:tc>
        <w:tc>
          <w:tcPr>
            <w:tcW w:w="882" w:type="dxa"/>
            <w:noWrap/>
          </w:tcPr>
          <w:p w14:paraId="1BD63C1B">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24</w:t>
            </w:r>
          </w:p>
        </w:tc>
        <w:tc>
          <w:tcPr>
            <w:tcW w:w="4694" w:type="dxa"/>
            <w:noWrap/>
          </w:tcPr>
          <w:p w14:paraId="17019E99">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对讲系统</w:t>
            </w:r>
          </w:p>
        </w:tc>
      </w:tr>
      <w:tr w14:paraId="09F4C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52E855D8">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25</w:t>
            </w:r>
          </w:p>
        </w:tc>
        <w:tc>
          <w:tcPr>
            <w:tcW w:w="3612" w:type="dxa"/>
            <w:noWrap/>
          </w:tcPr>
          <w:p w14:paraId="230EC132">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机房通讯</w:t>
            </w:r>
          </w:p>
        </w:tc>
        <w:tc>
          <w:tcPr>
            <w:tcW w:w="882" w:type="dxa"/>
            <w:noWrap/>
          </w:tcPr>
          <w:p w14:paraId="77461175">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26</w:t>
            </w:r>
          </w:p>
        </w:tc>
        <w:tc>
          <w:tcPr>
            <w:tcW w:w="4694" w:type="dxa"/>
            <w:noWrap/>
          </w:tcPr>
          <w:p w14:paraId="2C43796F">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轿厢通讯</w:t>
            </w:r>
          </w:p>
        </w:tc>
      </w:tr>
      <w:tr w14:paraId="2E353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0697A76B">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27</w:t>
            </w:r>
          </w:p>
        </w:tc>
        <w:tc>
          <w:tcPr>
            <w:tcW w:w="3612" w:type="dxa"/>
            <w:noWrap/>
          </w:tcPr>
          <w:p w14:paraId="69A4D23F">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井道温度监控</w:t>
            </w:r>
          </w:p>
        </w:tc>
        <w:tc>
          <w:tcPr>
            <w:tcW w:w="882" w:type="dxa"/>
            <w:noWrap/>
          </w:tcPr>
          <w:p w14:paraId="15E209AC">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28</w:t>
            </w:r>
          </w:p>
        </w:tc>
        <w:tc>
          <w:tcPr>
            <w:tcW w:w="4694" w:type="dxa"/>
            <w:noWrap/>
          </w:tcPr>
          <w:p w14:paraId="7608F169">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消防返回功能</w:t>
            </w:r>
          </w:p>
        </w:tc>
      </w:tr>
      <w:tr w14:paraId="7693B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42F2AB5C">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29</w:t>
            </w:r>
          </w:p>
        </w:tc>
        <w:tc>
          <w:tcPr>
            <w:tcW w:w="3612" w:type="dxa"/>
            <w:noWrap/>
          </w:tcPr>
          <w:p w14:paraId="00D0CB4C">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轿厢及井道内警报</w:t>
            </w:r>
          </w:p>
        </w:tc>
        <w:tc>
          <w:tcPr>
            <w:tcW w:w="882" w:type="dxa"/>
            <w:noWrap/>
          </w:tcPr>
          <w:p w14:paraId="55A9112C">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30</w:t>
            </w:r>
          </w:p>
        </w:tc>
        <w:tc>
          <w:tcPr>
            <w:tcW w:w="4694" w:type="dxa"/>
            <w:noWrap/>
          </w:tcPr>
          <w:p w14:paraId="067A9065">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 xml:space="preserve"> 上行超速保护</w:t>
            </w:r>
          </w:p>
        </w:tc>
      </w:tr>
      <w:tr w14:paraId="2B265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1C2E1D18">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31</w:t>
            </w:r>
          </w:p>
        </w:tc>
        <w:tc>
          <w:tcPr>
            <w:tcW w:w="3612" w:type="dxa"/>
            <w:noWrap/>
          </w:tcPr>
          <w:p w14:paraId="661DE473">
            <w:pPr>
              <w:widowControl w:val="0"/>
              <w:spacing w:line="360" w:lineRule="auto"/>
              <w:jc w:val="center"/>
              <w:rPr>
                <w:rFonts w:hint="eastAsia" w:ascii="仿宋_GB2312" w:hAnsi="仿宋_GB2312" w:eastAsia="仿宋_GB2312" w:cs="仿宋_GB2312"/>
                <w:color w:val="FF0000"/>
                <w:kern w:val="0"/>
                <w:sz w:val="24"/>
                <w:szCs w:val="24"/>
                <w:lang w:eastAsia="zh-CN"/>
              </w:rPr>
            </w:pPr>
            <w:r>
              <w:rPr>
                <w:rFonts w:hint="eastAsia" w:ascii="仿宋_GB2312" w:hAnsi="仿宋_GB2312" w:eastAsia="仿宋_GB2312" w:cs="仿宋_GB2312"/>
                <w:color w:val="FF0000"/>
                <w:kern w:val="0"/>
                <w:sz w:val="24"/>
                <w:szCs w:val="24"/>
                <w:lang w:eastAsia="zh-CN"/>
              </w:rPr>
              <w:t>底坑双重急停按钮</w:t>
            </w:r>
          </w:p>
        </w:tc>
        <w:tc>
          <w:tcPr>
            <w:tcW w:w="882" w:type="dxa"/>
            <w:noWrap/>
          </w:tcPr>
          <w:p w14:paraId="1C51B474">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32</w:t>
            </w:r>
          </w:p>
        </w:tc>
        <w:tc>
          <w:tcPr>
            <w:tcW w:w="4694" w:type="dxa"/>
            <w:noWrap/>
          </w:tcPr>
          <w:p w14:paraId="460DEDD5">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轿厢应急照明</w:t>
            </w:r>
          </w:p>
        </w:tc>
      </w:tr>
      <w:tr w14:paraId="4B808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67B1DADF">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33</w:t>
            </w:r>
          </w:p>
        </w:tc>
        <w:tc>
          <w:tcPr>
            <w:tcW w:w="9188" w:type="dxa"/>
            <w:gridSpan w:val="3"/>
            <w:noWrap/>
          </w:tcPr>
          <w:p w14:paraId="0B9362A1">
            <w:pPr>
              <w:widowControl w:val="0"/>
              <w:spacing w:line="360" w:lineRule="auto"/>
              <w:jc w:val="both"/>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环保产品</w:t>
            </w:r>
          </w:p>
        </w:tc>
      </w:tr>
      <w:tr w14:paraId="1D5C8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289E0EA4">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34</w:t>
            </w:r>
          </w:p>
        </w:tc>
        <w:tc>
          <w:tcPr>
            <w:tcW w:w="9188" w:type="dxa"/>
            <w:gridSpan w:val="3"/>
            <w:noWrap/>
          </w:tcPr>
          <w:p w14:paraId="48F99C8A">
            <w:pPr>
              <w:widowControl w:val="0"/>
              <w:spacing w:line="360" w:lineRule="auto"/>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kern w:val="0"/>
                <w:sz w:val="24"/>
                <w:szCs w:val="24"/>
                <w:lang w:val="zh-CN"/>
              </w:rPr>
              <w:t>基站层开门候梯功能</w:t>
            </w:r>
          </w:p>
        </w:tc>
      </w:tr>
      <w:tr w14:paraId="41EBB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34450986">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35</w:t>
            </w:r>
          </w:p>
        </w:tc>
        <w:tc>
          <w:tcPr>
            <w:tcW w:w="9188" w:type="dxa"/>
            <w:gridSpan w:val="3"/>
            <w:noWrap/>
          </w:tcPr>
          <w:p w14:paraId="53BFD949">
            <w:pPr>
              <w:widowControl w:val="0"/>
              <w:spacing w:line="360" w:lineRule="auto"/>
              <w:rPr>
                <w:rFonts w:hint="eastAsia" w:ascii="仿宋_GB2312" w:hAnsi="仿宋_GB2312" w:eastAsia="仿宋_GB2312" w:cs="仿宋_GB2312"/>
                <w:color w:val="FF0000"/>
                <w:kern w:val="0"/>
                <w:sz w:val="24"/>
                <w:szCs w:val="24"/>
                <w:lang w:val="zh-CN"/>
              </w:rPr>
            </w:pPr>
            <w:r>
              <w:rPr>
                <w:rFonts w:hint="eastAsia" w:ascii="仿宋_GB2312" w:hAnsi="仿宋_GB2312" w:eastAsia="仿宋_GB2312" w:cs="仿宋_GB2312"/>
                <w:color w:val="FF0000"/>
                <w:kern w:val="0"/>
                <w:sz w:val="24"/>
                <w:szCs w:val="24"/>
                <w:lang w:val="zh-CN"/>
              </w:rPr>
              <w:t>轿内指定楼层开门延时功能</w:t>
            </w:r>
          </w:p>
        </w:tc>
      </w:tr>
      <w:tr w14:paraId="568D1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0A61AE94">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36</w:t>
            </w:r>
          </w:p>
        </w:tc>
        <w:tc>
          <w:tcPr>
            <w:tcW w:w="9188" w:type="dxa"/>
            <w:gridSpan w:val="3"/>
            <w:noWrap/>
          </w:tcPr>
          <w:p w14:paraId="7B9F4518">
            <w:pPr>
              <w:widowControl w:val="0"/>
              <w:spacing w:line="360" w:lineRule="auto"/>
              <w:rPr>
                <w:rFonts w:hint="eastAsia" w:ascii="仿宋_GB2312" w:hAnsi="仿宋_GB2312" w:eastAsia="仿宋_GB2312" w:cs="仿宋_GB2312"/>
                <w:color w:val="FF0000"/>
                <w:kern w:val="0"/>
                <w:sz w:val="24"/>
                <w:szCs w:val="24"/>
                <w:lang w:val="zh-CN"/>
              </w:rPr>
            </w:pPr>
            <w:r>
              <w:rPr>
                <w:rFonts w:hint="eastAsia" w:ascii="仿宋_GB2312" w:hAnsi="仿宋_GB2312" w:eastAsia="仿宋_GB2312" w:cs="仿宋_GB2312"/>
                <w:color w:val="FF0000"/>
                <w:kern w:val="0"/>
                <w:sz w:val="24"/>
                <w:szCs w:val="24"/>
              </w:rPr>
              <w:t>五方对讲</w:t>
            </w:r>
            <w:r>
              <w:rPr>
                <w:rFonts w:hint="eastAsia" w:ascii="仿宋_GB2312" w:hAnsi="仿宋_GB2312" w:eastAsia="仿宋_GB2312" w:cs="仿宋_GB2312"/>
                <w:color w:val="FF0000"/>
                <w:kern w:val="0"/>
                <w:sz w:val="24"/>
                <w:szCs w:val="24"/>
                <w:lang w:eastAsia="zh-CN"/>
              </w:rPr>
              <w:t>（</w:t>
            </w:r>
            <w:r>
              <w:rPr>
                <w:rFonts w:hint="eastAsia" w:ascii="仿宋_GB2312" w:hAnsi="仿宋_GB2312" w:eastAsia="仿宋_GB2312" w:cs="仿宋_GB2312"/>
                <w:color w:val="FF0000"/>
                <w:kern w:val="0"/>
                <w:sz w:val="24"/>
                <w:szCs w:val="24"/>
              </w:rPr>
              <w:t>注：机房至值班室线路采购方自理</w:t>
            </w:r>
            <w:r>
              <w:rPr>
                <w:rFonts w:hint="eastAsia" w:ascii="仿宋_GB2312" w:hAnsi="仿宋_GB2312" w:eastAsia="仿宋_GB2312" w:cs="仿宋_GB2312"/>
                <w:color w:val="FF0000"/>
                <w:kern w:val="0"/>
                <w:sz w:val="24"/>
                <w:szCs w:val="24"/>
                <w:lang w:eastAsia="zh-CN"/>
              </w:rPr>
              <w:t>）</w:t>
            </w:r>
          </w:p>
        </w:tc>
      </w:tr>
      <w:tr w14:paraId="49021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141" w:type="dxa"/>
            <w:noWrap/>
          </w:tcPr>
          <w:p w14:paraId="7A1D1EF5">
            <w:pPr>
              <w:widowControl w:val="0"/>
              <w:spacing w:line="360" w:lineRule="auto"/>
              <w:jc w:val="center"/>
              <w:rPr>
                <w:rFonts w:hint="eastAsia" w:ascii="仿宋_GB2312" w:hAnsi="仿宋_GB2312" w:eastAsia="仿宋_GB2312" w:cs="仿宋_GB2312"/>
                <w:color w:val="FF0000"/>
                <w:kern w:val="0"/>
                <w:sz w:val="24"/>
                <w:szCs w:val="24"/>
                <w:lang w:val="en-US" w:eastAsia="zh-CN"/>
              </w:rPr>
            </w:pPr>
            <w:r>
              <w:rPr>
                <w:rFonts w:hint="eastAsia" w:ascii="仿宋_GB2312" w:hAnsi="仿宋_GB2312" w:eastAsia="仿宋_GB2312" w:cs="仿宋_GB2312"/>
                <w:color w:val="FF0000"/>
                <w:kern w:val="0"/>
                <w:sz w:val="24"/>
                <w:szCs w:val="24"/>
                <w:lang w:val="en-US" w:eastAsia="zh-CN"/>
              </w:rPr>
              <w:t>37</w:t>
            </w:r>
          </w:p>
        </w:tc>
        <w:tc>
          <w:tcPr>
            <w:tcW w:w="9188" w:type="dxa"/>
            <w:gridSpan w:val="3"/>
            <w:noWrap/>
          </w:tcPr>
          <w:p w14:paraId="16EBAB38">
            <w:pPr>
              <w:widowControl w:val="0"/>
              <w:spacing w:line="360" w:lineRule="auto"/>
              <w:rPr>
                <w:rFonts w:hint="eastAsia" w:ascii="仿宋_GB2312" w:hAnsi="仿宋_GB2312" w:eastAsia="仿宋_GB2312" w:cs="仿宋_GB2312"/>
                <w:color w:val="FF0000"/>
                <w:kern w:val="0"/>
                <w:sz w:val="24"/>
                <w:szCs w:val="24"/>
              </w:rPr>
            </w:pPr>
            <w:r>
              <w:rPr>
                <w:rFonts w:hint="eastAsia" w:ascii="仿宋_GB2312" w:hAnsi="仿宋_GB2312" w:eastAsia="仿宋_GB2312" w:cs="仿宋_GB2312"/>
                <w:color w:val="FF0000"/>
                <w:sz w:val="24"/>
                <w:szCs w:val="24"/>
              </w:rPr>
              <w:t>其他</w:t>
            </w:r>
            <w:r>
              <w:rPr>
                <w:rFonts w:hint="eastAsia" w:ascii="仿宋_GB2312" w:hAnsi="仿宋_GB2312" w:eastAsia="仿宋_GB2312" w:cs="仿宋_GB2312"/>
                <w:color w:val="FF0000"/>
                <w:sz w:val="24"/>
                <w:szCs w:val="24"/>
                <w:lang w:eastAsia="zh-CN"/>
              </w:rPr>
              <w:t>功能</w:t>
            </w:r>
            <w:r>
              <w:rPr>
                <w:rFonts w:hint="eastAsia" w:ascii="仿宋_GB2312" w:hAnsi="仿宋_GB2312" w:eastAsia="仿宋_GB2312" w:cs="仿宋_GB2312"/>
                <w:color w:val="FF0000"/>
                <w:sz w:val="24"/>
                <w:szCs w:val="24"/>
              </w:rPr>
              <w:t>按制造商标准</w:t>
            </w:r>
            <w:r>
              <w:rPr>
                <w:rFonts w:hint="eastAsia" w:ascii="仿宋_GB2312" w:hAnsi="仿宋_GB2312" w:eastAsia="仿宋_GB2312" w:cs="仿宋_GB2312"/>
                <w:color w:val="FF0000"/>
                <w:sz w:val="24"/>
                <w:szCs w:val="24"/>
                <w:lang w:eastAsia="zh-CN"/>
              </w:rPr>
              <w:t>功能</w:t>
            </w:r>
            <w:r>
              <w:rPr>
                <w:rFonts w:hint="eastAsia" w:ascii="仿宋_GB2312" w:hAnsi="仿宋_GB2312" w:eastAsia="仿宋_GB2312" w:cs="仿宋_GB2312"/>
                <w:color w:val="FF0000"/>
                <w:sz w:val="24"/>
                <w:szCs w:val="24"/>
              </w:rPr>
              <w:t>提供</w:t>
            </w:r>
          </w:p>
        </w:tc>
      </w:tr>
    </w:tbl>
    <w:p w14:paraId="19CD900A">
      <w:pPr>
        <w:rPr>
          <w:rFonts w:hint="eastAsia" w:ascii="仿宋_GB2312" w:hAnsi="仿宋_GB2312" w:eastAsia="仿宋_GB2312" w:cs="仿宋_GB2312"/>
          <w:sz w:val="24"/>
          <w:szCs w:val="24"/>
        </w:rPr>
      </w:pPr>
    </w:p>
    <w:p w14:paraId="68010851">
      <w:pPr>
        <w:pStyle w:val="8"/>
        <w:rPr>
          <w:rFonts w:hint="eastAsia" w:asciiTheme="minorEastAsia" w:hAnsiTheme="minorEastAsia" w:eastAsiaTheme="minorEastAsia" w:cstheme="minorEastAsia"/>
        </w:rPr>
      </w:pPr>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9004FD"/>
    <w:multiLevelType w:val="singleLevel"/>
    <w:tmpl w:val="2D9004FD"/>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9"/>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3011"/>
    <w:rsid w:val="000032D8"/>
    <w:rsid w:val="00084F7F"/>
    <w:rsid w:val="00122268"/>
    <w:rsid w:val="0016003D"/>
    <w:rsid w:val="002C7C4B"/>
    <w:rsid w:val="002F145F"/>
    <w:rsid w:val="00325C59"/>
    <w:rsid w:val="00333DF1"/>
    <w:rsid w:val="00370BE5"/>
    <w:rsid w:val="0039011B"/>
    <w:rsid w:val="003A39E4"/>
    <w:rsid w:val="00400390"/>
    <w:rsid w:val="00481411"/>
    <w:rsid w:val="0048278C"/>
    <w:rsid w:val="004E56CC"/>
    <w:rsid w:val="0052562C"/>
    <w:rsid w:val="00552C95"/>
    <w:rsid w:val="0057037E"/>
    <w:rsid w:val="005847E3"/>
    <w:rsid w:val="00594A73"/>
    <w:rsid w:val="00613011"/>
    <w:rsid w:val="00643C34"/>
    <w:rsid w:val="006512A0"/>
    <w:rsid w:val="00653338"/>
    <w:rsid w:val="006E331C"/>
    <w:rsid w:val="006F0C61"/>
    <w:rsid w:val="007319FC"/>
    <w:rsid w:val="007B6C02"/>
    <w:rsid w:val="00800605"/>
    <w:rsid w:val="008A7F7E"/>
    <w:rsid w:val="009D19DF"/>
    <w:rsid w:val="009F4154"/>
    <w:rsid w:val="00A36F51"/>
    <w:rsid w:val="00A516D8"/>
    <w:rsid w:val="00AB1346"/>
    <w:rsid w:val="00D04805"/>
    <w:rsid w:val="00D57AE9"/>
    <w:rsid w:val="00DA71E1"/>
    <w:rsid w:val="00DC2A3A"/>
    <w:rsid w:val="00E006BA"/>
    <w:rsid w:val="00F70A28"/>
    <w:rsid w:val="00FE20E1"/>
    <w:rsid w:val="013F178C"/>
    <w:rsid w:val="02947208"/>
    <w:rsid w:val="04764A39"/>
    <w:rsid w:val="06DA4BFF"/>
    <w:rsid w:val="079B25E0"/>
    <w:rsid w:val="0B0D50F6"/>
    <w:rsid w:val="0CF34325"/>
    <w:rsid w:val="0D8938C7"/>
    <w:rsid w:val="0FA61B22"/>
    <w:rsid w:val="10F726F7"/>
    <w:rsid w:val="11037352"/>
    <w:rsid w:val="15083040"/>
    <w:rsid w:val="15FC6940"/>
    <w:rsid w:val="15FD7FC2"/>
    <w:rsid w:val="163859E6"/>
    <w:rsid w:val="17231293"/>
    <w:rsid w:val="1852691C"/>
    <w:rsid w:val="193F465C"/>
    <w:rsid w:val="19940109"/>
    <w:rsid w:val="1A4F2DB6"/>
    <w:rsid w:val="1AC35C7E"/>
    <w:rsid w:val="1B180A2C"/>
    <w:rsid w:val="1B1A7BFB"/>
    <w:rsid w:val="1B34092A"/>
    <w:rsid w:val="1BFD0D1C"/>
    <w:rsid w:val="1C094D8B"/>
    <w:rsid w:val="1E242665"/>
    <w:rsid w:val="1E8F5E77"/>
    <w:rsid w:val="1ED41ADC"/>
    <w:rsid w:val="1FDC3C7D"/>
    <w:rsid w:val="1FF77FF7"/>
    <w:rsid w:val="2091237A"/>
    <w:rsid w:val="227E06DD"/>
    <w:rsid w:val="22C63074"/>
    <w:rsid w:val="252923EC"/>
    <w:rsid w:val="25C97EC1"/>
    <w:rsid w:val="26450DE8"/>
    <w:rsid w:val="267528BA"/>
    <w:rsid w:val="26AE1C5E"/>
    <w:rsid w:val="26DB27A2"/>
    <w:rsid w:val="270E727A"/>
    <w:rsid w:val="27952750"/>
    <w:rsid w:val="28144642"/>
    <w:rsid w:val="29253660"/>
    <w:rsid w:val="29ED7976"/>
    <w:rsid w:val="2A59098F"/>
    <w:rsid w:val="2AF552B4"/>
    <w:rsid w:val="2B3C1135"/>
    <w:rsid w:val="2B897C2D"/>
    <w:rsid w:val="2C8D1C48"/>
    <w:rsid w:val="2F391C13"/>
    <w:rsid w:val="2FB70442"/>
    <w:rsid w:val="30D140CD"/>
    <w:rsid w:val="31047DEB"/>
    <w:rsid w:val="317F3B29"/>
    <w:rsid w:val="323A5B9D"/>
    <w:rsid w:val="33643BDD"/>
    <w:rsid w:val="33770F5C"/>
    <w:rsid w:val="338A74B7"/>
    <w:rsid w:val="359202CF"/>
    <w:rsid w:val="36DD37CC"/>
    <w:rsid w:val="383B0081"/>
    <w:rsid w:val="397C1ED3"/>
    <w:rsid w:val="39E3473C"/>
    <w:rsid w:val="39FE6AB4"/>
    <w:rsid w:val="3A6F1D41"/>
    <w:rsid w:val="3A986C70"/>
    <w:rsid w:val="3D2930F6"/>
    <w:rsid w:val="3D3F6F8E"/>
    <w:rsid w:val="3D6151F0"/>
    <w:rsid w:val="3DD35929"/>
    <w:rsid w:val="3E6A3BC9"/>
    <w:rsid w:val="403965C5"/>
    <w:rsid w:val="41CC21FF"/>
    <w:rsid w:val="443A5E97"/>
    <w:rsid w:val="45091837"/>
    <w:rsid w:val="458A4B1F"/>
    <w:rsid w:val="45EF423E"/>
    <w:rsid w:val="46AA2F9F"/>
    <w:rsid w:val="481F675A"/>
    <w:rsid w:val="48BC5937"/>
    <w:rsid w:val="48C742DC"/>
    <w:rsid w:val="49B63C15"/>
    <w:rsid w:val="4AE35421"/>
    <w:rsid w:val="4BB40C38"/>
    <w:rsid w:val="4F4218C7"/>
    <w:rsid w:val="503C6F0D"/>
    <w:rsid w:val="52176D4B"/>
    <w:rsid w:val="522105B9"/>
    <w:rsid w:val="527821A3"/>
    <w:rsid w:val="52B81245"/>
    <w:rsid w:val="5343337B"/>
    <w:rsid w:val="53447F01"/>
    <w:rsid w:val="53563FA8"/>
    <w:rsid w:val="537C6C08"/>
    <w:rsid w:val="53CC09F8"/>
    <w:rsid w:val="551F47F3"/>
    <w:rsid w:val="563D70EC"/>
    <w:rsid w:val="577845E8"/>
    <w:rsid w:val="579935AE"/>
    <w:rsid w:val="581462BD"/>
    <w:rsid w:val="582F1556"/>
    <w:rsid w:val="58356B57"/>
    <w:rsid w:val="58AF45DA"/>
    <w:rsid w:val="59E41DAA"/>
    <w:rsid w:val="5A315A59"/>
    <w:rsid w:val="5B701DF1"/>
    <w:rsid w:val="5B720058"/>
    <w:rsid w:val="5C0D1BAE"/>
    <w:rsid w:val="5CC32BA9"/>
    <w:rsid w:val="5CDA2F9E"/>
    <w:rsid w:val="5D2508DD"/>
    <w:rsid w:val="5DBA1DF2"/>
    <w:rsid w:val="5E543AC4"/>
    <w:rsid w:val="5E9640DD"/>
    <w:rsid w:val="61691F7C"/>
    <w:rsid w:val="62290529"/>
    <w:rsid w:val="62C27B96"/>
    <w:rsid w:val="638B79C2"/>
    <w:rsid w:val="64496091"/>
    <w:rsid w:val="65E46193"/>
    <w:rsid w:val="663C7189"/>
    <w:rsid w:val="663F5CB9"/>
    <w:rsid w:val="67F65BEC"/>
    <w:rsid w:val="685C5552"/>
    <w:rsid w:val="6A3E60B3"/>
    <w:rsid w:val="6B2D401B"/>
    <w:rsid w:val="6C7D068A"/>
    <w:rsid w:val="6CA435E2"/>
    <w:rsid w:val="6D4C594D"/>
    <w:rsid w:val="6E727A85"/>
    <w:rsid w:val="6EC00DE2"/>
    <w:rsid w:val="6FFD045F"/>
    <w:rsid w:val="717E2EDA"/>
    <w:rsid w:val="72203F91"/>
    <w:rsid w:val="72B24C32"/>
    <w:rsid w:val="73DE427F"/>
    <w:rsid w:val="73FB6A64"/>
    <w:rsid w:val="74012423"/>
    <w:rsid w:val="741D53DE"/>
    <w:rsid w:val="75A17835"/>
    <w:rsid w:val="765212D2"/>
    <w:rsid w:val="798D684E"/>
    <w:rsid w:val="7A3B22B0"/>
    <w:rsid w:val="7A5047B7"/>
    <w:rsid w:val="7A6953CA"/>
    <w:rsid w:val="7B7470FC"/>
    <w:rsid w:val="7CA31234"/>
    <w:rsid w:val="7DAA2A2F"/>
    <w:rsid w:val="7EFA67FF"/>
    <w:rsid w:val="7F0E5872"/>
    <w:rsid w:val="7F4006D6"/>
    <w:rsid w:val="7F954B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Body Text Indent"/>
    <w:basedOn w:val="1"/>
    <w:unhideWhenUsed/>
    <w:qFormat/>
    <w:uiPriority w:val="99"/>
    <w:pPr>
      <w:spacing w:after="120"/>
      <w:ind w:left="200" w:leftChars="200"/>
    </w:p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rPr>
      <w:sz w:val="24"/>
    </w:rPr>
  </w:style>
  <w:style w:type="paragraph" w:styleId="8">
    <w:name w:val="Body Text First Indent"/>
    <w:basedOn w:val="1"/>
    <w:qFormat/>
    <w:uiPriority w:val="0"/>
    <w:pPr>
      <w:ind w:firstLine="420" w:firstLineChars="100"/>
    </w:pPr>
  </w:style>
  <w:style w:type="paragraph" w:styleId="9">
    <w:name w:val="Body Text First Indent 2"/>
    <w:basedOn w:val="3"/>
    <w:next w:val="2"/>
    <w:qFormat/>
    <w:uiPriority w:val="0"/>
    <w:pPr>
      <w:autoSpaceDE w:val="0"/>
      <w:autoSpaceDN w:val="0"/>
      <w:adjustRightInd w:val="0"/>
      <w:ind w:firstLine="420"/>
      <w:jc w:val="left"/>
    </w:pPr>
    <w:rPr>
      <w:rFonts w:cs="Times New Roman"/>
      <w:kern w:val="0"/>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3">
    <w:name w:val="List Paragraph"/>
    <w:basedOn w:val="1"/>
    <w:unhideWhenUsed/>
    <w:qFormat/>
    <w:uiPriority w:val="99"/>
    <w:pPr>
      <w:ind w:firstLine="420" w:firstLineChars="200"/>
    </w:pPr>
  </w:style>
  <w:style w:type="paragraph" w:customStyle="1" w:styleId="14">
    <w:name w:val="列出段落1"/>
    <w:basedOn w:val="1"/>
    <w:qFormat/>
    <w:uiPriority w:val="99"/>
    <w:pPr>
      <w:ind w:firstLine="420" w:firstLineChars="200"/>
    </w:pPr>
    <w:rPr>
      <w:rFonts w:ascii="Times New Roman" w:hAnsi="Times New Roman" w:eastAsia="宋体" w:cs="Times New Roman"/>
      <w:szCs w:val="24"/>
    </w:rPr>
  </w:style>
  <w:style w:type="paragraph" w:customStyle="1" w:styleId="15">
    <w:name w:val="Default"/>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3683</Words>
  <Characters>3916</Characters>
  <Lines>21</Lines>
  <Paragraphs>6</Paragraphs>
  <TotalTime>7</TotalTime>
  <ScaleCrop>false</ScaleCrop>
  <LinksUpToDate>false</LinksUpToDate>
  <CharactersWithSpaces>4096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2024-12-04T06:17:00Z</dcterms:created>
  <dc:creator>cg</dc:creator>
  <cp:lastModifiedBy>芳</cp:lastModifiedBy>
  <cp:lastPrinted>2024-12-06T01:39:00Z</cp:lastPrinted>
  <dcterms:modified xsi:type="dcterms:W3CDTF">2024-12-06T06:41:40Z</dcterms:modified>
  <dc:title>山水庭院一期工程（一—十二栋单位工程）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70E8A40DA9CC42A099622BC172DD3729_13</vt:lpwstr>
  </property>
</Properties>
</file>