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/>
          <w:bCs/>
          <w:sz w:val="32"/>
          <w:szCs w:val="32"/>
        </w:rPr>
      </w:pPr>
      <w:bookmarkStart w:id="0" w:name="OLE_LINK39"/>
      <w:bookmarkStart w:id="1" w:name="OLE_LINK40"/>
      <w:bookmarkStart w:id="2" w:name="OLE_LINK4"/>
    </w:p>
    <w:bookmarkEnd w:id="0"/>
    <w:bookmarkEnd w:id="1"/>
    <w:bookmarkEnd w:id="2"/>
    <w:p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长沙市星沙医院灭火器采购竞价文件</w:t>
      </w:r>
    </w:p>
    <w:p>
      <w:pPr>
        <w:pStyle w:val="9"/>
        <w:widowControl/>
        <w:shd w:val="clear" w:color="auto" w:fill="FFFFFF"/>
        <w:spacing w:line="560" w:lineRule="atLeast"/>
        <w:ind w:firstLine="241" w:firstLineChars="100"/>
        <w:rPr>
          <w:rFonts w:ascii="仿宋" w:hAnsi="仿宋" w:eastAsia="仿宋" w:cs="仿宋_GB2312"/>
          <w:color w:val="000000"/>
          <w:shd w:val="clear" w:color="auto" w:fill="FFFFFF"/>
        </w:rPr>
      </w:pPr>
      <w:r>
        <w:rPr>
          <w:rFonts w:hint="eastAsia" w:ascii="仿宋" w:hAnsi="仿宋" w:eastAsia="仿宋" w:cs="仿宋_GB2312"/>
          <w:b/>
          <w:color w:val="000000"/>
        </w:rPr>
        <w:t>一、项目基本情况</w:t>
      </w:r>
      <w:r>
        <w:rPr>
          <w:rFonts w:hint="eastAsia" w:ascii="仿宋" w:hAnsi="仿宋" w:eastAsia="仿宋" w:cs="仿宋_GB2312"/>
          <w:color w:val="000000"/>
          <w:shd w:val="clear" w:color="auto" w:fill="FFFFFF"/>
        </w:rPr>
        <w:t xml:space="preserve">： </w:t>
      </w:r>
    </w:p>
    <w:p>
      <w:pPr>
        <w:spacing w:line="560" w:lineRule="atLeast"/>
        <w:ind w:firstLine="480" w:firstLineChars="200"/>
        <w:rPr>
          <w:rFonts w:ascii="仿宋" w:hAnsi="仿宋" w:eastAsia="仿宋" w:cs="仿宋_GB2312"/>
          <w:color w:val="000000"/>
          <w:sz w:val="24"/>
        </w:rPr>
      </w:pPr>
      <w:r>
        <w:rPr>
          <w:rFonts w:hint="eastAsia" w:ascii="仿宋" w:hAnsi="仿宋" w:eastAsia="仿宋" w:cs="仿宋_GB2312"/>
          <w:bCs/>
          <w:color w:val="000000"/>
          <w:sz w:val="24"/>
        </w:rPr>
        <w:t>项目名称：</w:t>
      </w:r>
      <w:bookmarkStart w:id="3" w:name="OLE_LINK7"/>
      <w:bookmarkStart w:id="4" w:name="OLE_LINK5"/>
      <w:bookmarkStart w:id="5" w:name="OLE_LINK6"/>
      <w:r>
        <w:rPr>
          <w:rFonts w:hint="eastAsia" w:ascii="仿宋" w:hAnsi="仿宋" w:eastAsia="仿宋" w:cs="仿宋_GB2312"/>
          <w:bCs/>
          <w:color w:val="000000"/>
          <w:sz w:val="24"/>
        </w:rPr>
        <w:t>长沙市星沙医院灭火器采购项目</w:t>
      </w:r>
    </w:p>
    <w:bookmarkEnd w:id="3"/>
    <w:bookmarkEnd w:id="4"/>
    <w:bookmarkEnd w:id="5"/>
    <w:p>
      <w:pPr>
        <w:pStyle w:val="3"/>
        <w:adjustRightInd w:val="0"/>
        <w:snapToGrid w:val="0"/>
        <w:spacing w:before="0" w:after="0" w:line="560" w:lineRule="atLeast"/>
        <w:ind w:firstLine="241" w:firstLineChars="100"/>
        <w:rPr>
          <w:rFonts w:ascii="仿宋" w:hAnsi="仿宋" w:eastAsia="仿宋" w:cs="仿宋_GB2312"/>
          <w:b w:val="0"/>
          <w:color w:val="000000"/>
          <w:sz w:val="24"/>
          <w:szCs w:val="24"/>
        </w:rPr>
      </w:pPr>
      <w:r>
        <w:rPr>
          <w:rFonts w:hint="eastAsia" w:ascii="仿宋" w:hAnsi="仿宋" w:eastAsia="仿宋" w:cs="仿宋_GB2312"/>
          <w:color w:val="000000"/>
          <w:sz w:val="24"/>
          <w:szCs w:val="24"/>
        </w:rPr>
        <w:t>二．总预算金额</w:t>
      </w:r>
      <w:r>
        <w:rPr>
          <w:rFonts w:hint="eastAsia" w:ascii="仿宋" w:hAnsi="仿宋" w:eastAsia="仿宋" w:cs="仿宋_GB2312"/>
          <w:b w:val="0"/>
          <w:color w:val="000000"/>
          <w:sz w:val="24"/>
          <w:szCs w:val="24"/>
        </w:rPr>
        <w:t xml:space="preserve">：22000.00元 </w:t>
      </w:r>
    </w:p>
    <w:p>
      <w:pPr>
        <w:pStyle w:val="3"/>
        <w:adjustRightInd w:val="0"/>
        <w:snapToGrid w:val="0"/>
        <w:spacing w:before="0" w:after="0" w:line="560" w:lineRule="atLeast"/>
        <w:ind w:firstLine="241" w:firstLineChars="100"/>
        <w:rPr>
          <w:rFonts w:ascii="仿宋" w:hAnsi="仿宋" w:eastAsia="仿宋" w:cs="仿宋_GB2312"/>
          <w:color w:val="000000"/>
          <w:sz w:val="24"/>
          <w:szCs w:val="24"/>
        </w:rPr>
      </w:pPr>
      <w:r>
        <w:rPr>
          <w:rFonts w:hint="eastAsia" w:ascii="仿宋" w:hAnsi="仿宋" w:eastAsia="仿宋" w:cs="仿宋_GB2312"/>
          <w:color w:val="000000"/>
          <w:sz w:val="24"/>
          <w:szCs w:val="24"/>
        </w:rPr>
        <w:t xml:space="preserve">三. </w:t>
      </w:r>
      <w:r>
        <w:rPr>
          <w:rFonts w:hint="eastAsia" w:ascii="仿宋" w:hAnsi="仿宋" w:eastAsia="仿宋" w:cs="仿宋_GB2312"/>
          <w:bCs w:val="0"/>
          <w:color w:val="000000"/>
          <w:sz w:val="24"/>
          <w:szCs w:val="24"/>
        </w:rPr>
        <w:t>采购清单</w:t>
      </w:r>
      <w:r>
        <w:rPr>
          <w:rFonts w:hint="eastAsia" w:ascii="仿宋" w:hAnsi="仿宋" w:eastAsia="仿宋" w:cs="仿宋_GB2312"/>
          <w:b w:val="0"/>
          <w:bCs w:val="0"/>
          <w:color w:val="000000"/>
          <w:sz w:val="24"/>
          <w:szCs w:val="24"/>
        </w:rPr>
        <w:t>：</w:t>
      </w:r>
    </w:p>
    <w:tbl>
      <w:tblPr>
        <w:tblStyle w:val="11"/>
        <w:tblW w:w="10450" w:type="dxa"/>
        <w:tblInd w:w="-53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5"/>
        <w:gridCol w:w="1759"/>
        <w:gridCol w:w="1276"/>
        <w:gridCol w:w="709"/>
        <w:gridCol w:w="850"/>
        <w:gridCol w:w="1194"/>
        <w:gridCol w:w="1212"/>
        <w:gridCol w:w="272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</w:rPr>
              <w:t>序号</w:t>
            </w:r>
          </w:p>
        </w:tc>
        <w:tc>
          <w:tcPr>
            <w:tcW w:w="1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服务名称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 xml:space="preserve"> 型号/规格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</w:rPr>
              <w:t>单位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Style w:val="18"/>
                <w:rFonts w:hint="default" w:ascii="仿宋" w:hAnsi="仿宋" w:eastAsia="仿宋"/>
                <w:sz w:val="24"/>
                <w:szCs w:val="24"/>
              </w:rPr>
              <w:t>数量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Style w:val="18"/>
                <w:rFonts w:hint="default" w:ascii="仿宋" w:hAnsi="仿宋" w:eastAsia="仿宋"/>
                <w:sz w:val="24"/>
                <w:szCs w:val="24"/>
              </w:rPr>
              <w:t>单价（元）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Style w:val="18"/>
                <w:rFonts w:hint="default" w:ascii="仿宋" w:hAnsi="仿宋" w:eastAsia="仿宋"/>
                <w:sz w:val="24"/>
                <w:szCs w:val="24"/>
              </w:rPr>
              <w:t>总价(元)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 xml:space="preserve"> 参数要求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</w:rPr>
              <w:t>1</w:t>
            </w:r>
          </w:p>
        </w:tc>
        <w:tc>
          <w:tcPr>
            <w:tcW w:w="1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sz w:val="24"/>
              </w:rPr>
              <w:t>干粉灭火器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5KG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kern w:val="0"/>
                <w:sz w:val="24"/>
              </w:rPr>
              <w:t>具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</w:rPr>
              <w:t>400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</w:rPr>
              <w:t>55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_GB2312"/>
                <w:color w:val="000000"/>
                <w:sz w:val="24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4"/>
              </w:rPr>
              <w:t>22000</w:t>
            </w:r>
          </w:p>
        </w:tc>
        <w:tc>
          <w:tcPr>
            <w:tcW w:w="2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widowControl/>
              <w:jc w:val="left"/>
              <w:textAlignment w:val="top"/>
              <w:rPr>
                <w:rFonts w:ascii="仿宋" w:hAnsi="仿宋" w:eastAsia="仿宋" w:cs="仿宋_GB2312"/>
                <w:color w:val="000000"/>
                <w:sz w:val="24"/>
              </w:rPr>
            </w:pPr>
            <w:bookmarkStart w:id="6" w:name="OLE_LINK2"/>
            <w:bookmarkStart w:id="7" w:name="OLE_LINK1"/>
            <w:r>
              <w:rPr>
                <w:rFonts w:hint="eastAsia" w:ascii="仿宋" w:hAnsi="仿宋" w:eastAsia="仿宋" w:cs="仿宋_GB2312"/>
                <w:color w:val="000000"/>
                <w:sz w:val="24"/>
              </w:rPr>
              <w:t>要求:ABC5kg干粉灭火器必须是2024年10月1日之后生产</w:t>
            </w:r>
            <w:bookmarkStart w:id="8" w:name="_GoBack"/>
            <w:bookmarkEnd w:id="8"/>
            <w:r>
              <w:rPr>
                <w:rFonts w:hint="eastAsia" w:ascii="仿宋" w:hAnsi="仿宋" w:eastAsia="仿宋" w:cs="仿宋_GB2312"/>
                <w:color w:val="000000"/>
                <w:sz w:val="24"/>
              </w:rPr>
              <w:t>合格产品且经过消防3C认证,一具一码需提供合格证书或检测报告。如收货后发现产品质量不合格或假冒伪劣产品，我单位拒收外，将向平台和市监部门进行举报。</w:t>
            </w:r>
            <w:bookmarkEnd w:id="6"/>
            <w:bookmarkEnd w:id="7"/>
          </w:p>
        </w:tc>
      </w:tr>
    </w:tbl>
    <w:p>
      <w:pPr>
        <w:adjustRightInd w:val="0"/>
        <w:snapToGrid w:val="0"/>
        <w:spacing w:line="560" w:lineRule="atLeast"/>
        <w:rPr>
          <w:rFonts w:ascii="仿宋" w:hAnsi="仿宋" w:eastAsia="仿宋" w:cs="仿宋_GB2312"/>
          <w:kern w:val="0"/>
          <w:sz w:val="24"/>
        </w:rPr>
      </w:pPr>
    </w:p>
    <w:p>
      <w:pPr>
        <w:adjustRightInd w:val="0"/>
        <w:snapToGrid w:val="0"/>
        <w:spacing w:line="560" w:lineRule="atLeast"/>
        <w:rPr>
          <w:rFonts w:ascii="仿宋" w:hAnsi="仿宋" w:eastAsia="仿宋" w:cs="仿宋_GB2312"/>
          <w:kern w:val="0"/>
          <w:sz w:val="24"/>
        </w:rPr>
      </w:pPr>
      <w:r>
        <w:rPr>
          <w:rFonts w:hint="eastAsia" w:ascii="仿宋" w:hAnsi="仿宋" w:eastAsia="仿宋" w:cs="仿宋_GB2312"/>
          <w:kern w:val="0"/>
          <w:sz w:val="24"/>
        </w:rPr>
        <w:t>备注1：报价时不得高于各单项价格，请进行分项报价后再汇总价格。</w:t>
      </w:r>
    </w:p>
    <w:p>
      <w:pPr>
        <w:spacing w:line="520" w:lineRule="exact"/>
        <w:ind w:firstLine="482" w:firstLineChars="200"/>
        <w:rPr>
          <w:rFonts w:ascii="仿宋" w:hAnsi="仿宋" w:eastAsia="仿宋" w:cs="仿宋"/>
          <w:b/>
          <w:bCs/>
          <w:sz w:val="24"/>
        </w:rPr>
      </w:pPr>
      <w:r>
        <w:rPr>
          <w:rFonts w:hint="eastAsia" w:ascii="仿宋" w:hAnsi="仿宋" w:eastAsia="仿宋" w:cs="仿宋"/>
          <w:b/>
          <w:bCs/>
          <w:sz w:val="24"/>
        </w:rPr>
        <w:t>四．供应商资格要求</w:t>
      </w:r>
    </w:p>
    <w:p>
      <w:pPr>
        <w:spacing w:line="520" w:lineRule="exact"/>
        <w:ind w:firstLine="480" w:firstLineChars="200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1、遵守国家法律行政法规，具备良好信誉和诚实商业道德。</w:t>
      </w:r>
    </w:p>
    <w:p>
      <w:pPr>
        <w:spacing w:line="520" w:lineRule="exact"/>
        <w:ind w:firstLine="480" w:firstLineChars="200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2、供应商特定资格材料：</w:t>
      </w:r>
    </w:p>
    <w:p>
      <w:pPr>
        <w:spacing w:line="520" w:lineRule="exact"/>
        <w:ind w:firstLine="480" w:firstLineChars="200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2.1、有效的营业执照副本复印件（含消防器材销售等资质）</w:t>
      </w:r>
    </w:p>
    <w:p>
      <w:pPr>
        <w:pStyle w:val="14"/>
        <w:numPr>
          <w:ilvl w:val="1"/>
          <w:numId w:val="1"/>
        </w:numPr>
        <w:spacing w:line="520" w:lineRule="exact"/>
        <w:ind w:firstLineChars="0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 xml:space="preserve">提供产品检测报告 </w:t>
      </w:r>
    </w:p>
    <w:p>
      <w:pPr>
        <w:pStyle w:val="14"/>
        <w:numPr>
          <w:ilvl w:val="1"/>
          <w:numId w:val="1"/>
        </w:numPr>
        <w:spacing w:line="520" w:lineRule="exact"/>
        <w:ind w:firstLineChars="0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 xml:space="preserve">提供产品合格证 </w:t>
      </w:r>
    </w:p>
    <w:p>
      <w:pPr>
        <w:spacing w:line="520" w:lineRule="exact"/>
        <w:ind w:firstLine="480" w:firstLineChars="200"/>
        <w:rPr>
          <w:sz w:val="24"/>
        </w:rPr>
      </w:pPr>
      <w:r>
        <w:rPr>
          <w:rFonts w:hint="eastAsia" w:ascii="仿宋" w:hAnsi="仿宋" w:eastAsia="仿宋" w:cs="仿宋"/>
          <w:sz w:val="24"/>
        </w:rPr>
        <w:t xml:space="preserve">2.4、提供3C认证 </w:t>
      </w:r>
    </w:p>
    <w:p>
      <w:pPr>
        <w:spacing w:line="560" w:lineRule="atLeast"/>
        <w:ind w:firstLine="120" w:firstLineChars="50"/>
        <w:rPr>
          <w:rFonts w:ascii="仿宋" w:hAnsi="仿宋" w:eastAsia="仿宋" w:cs="仿宋_GB2312"/>
          <w:b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b/>
          <w:color w:val="000000"/>
          <w:kern w:val="0"/>
          <w:sz w:val="24"/>
          <w:shd w:val="clear" w:color="auto" w:fill="FFFFFF"/>
        </w:rPr>
        <w:t>五、商务要求：</w:t>
      </w:r>
    </w:p>
    <w:p>
      <w:pPr>
        <w:spacing w:line="560" w:lineRule="atLeast"/>
        <w:ind w:firstLine="240" w:firstLineChars="100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（一）</w:t>
      </w:r>
      <w:r>
        <w:rPr>
          <w:rFonts w:hint="eastAsia" w:ascii="仿宋" w:hAnsi="仿宋" w:eastAsia="仿宋" w:cs="仿宋_GB2312"/>
          <w:b/>
          <w:color w:val="000000"/>
          <w:kern w:val="0"/>
          <w:sz w:val="24"/>
          <w:shd w:val="clear" w:color="auto" w:fill="FFFFFF"/>
        </w:rPr>
        <w:t>中标方需提前和科室联系，并提供样品经科室确认无误后送货</w:t>
      </w: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。</w:t>
      </w:r>
    </w:p>
    <w:p>
      <w:pPr>
        <w:pStyle w:val="10"/>
        <w:spacing w:line="560" w:lineRule="atLeast"/>
        <w:ind w:firstLine="24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（二）以上产品需中标方</w:t>
      </w:r>
      <w:r>
        <w:rPr>
          <w:rFonts w:hint="eastAsia" w:ascii="仿宋" w:hAnsi="仿宋" w:eastAsia="仿宋" w:cs="仿宋_GB2312"/>
          <w:color w:val="000000" w:themeColor="text1"/>
          <w:sz w:val="24"/>
        </w:rPr>
        <w:t>按采购人的实际需求分</w:t>
      </w:r>
      <w:r>
        <w:rPr>
          <w:rFonts w:hint="eastAsia" w:ascii="仿宋" w:hAnsi="仿宋" w:eastAsia="仿宋" w:cs="仿宋_GB2312"/>
          <w:sz w:val="24"/>
        </w:rPr>
        <w:t>批分次送达，第一次提供服务，要求在电子卖场中标后7个工作日内按采购方要求的服务数量完成供货。</w:t>
      </w:r>
    </w:p>
    <w:p>
      <w:pPr>
        <w:pStyle w:val="10"/>
        <w:spacing w:line="560" w:lineRule="atLeast"/>
        <w:ind w:firstLine="240"/>
        <w:rPr>
          <w:rFonts w:ascii="仿宋" w:hAnsi="仿宋" w:eastAsia="仿宋" w:cs="仿宋_GB2312"/>
          <w:kern w:val="2"/>
          <w:sz w:val="24"/>
        </w:rPr>
      </w:pPr>
      <w:r>
        <w:rPr>
          <w:rFonts w:hint="eastAsia" w:ascii="仿宋" w:hAnsi="仿宋" w:eastAsia="仿宋" w:cs="仿宋_GB2312"/>
          <w:sz w:val="24"/>
        </w:rPr>
        <w:t>（三）验收时，中标方严格按照竞价公告中规格、参数要求提供服务，否则，采购方有权拒绝验收。</w:t>
      </w:r>
    </w:p>
    <w:p>
      <w:pPr>
        <w:spacing w:line="560" w:lineRule="atLeast"/>
        <w:ind w:firstLine="240" w:firstLineChars="10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（四）中标供应商保证提供的服务质量符合国家、行业及企业质量标准，规格型号符合双方约定，否则采购方有权拒收。</w:t>
      </w:r>
    </w:p>
    <w:p>
      <w:pPr>
        <w:pStyle w:val="10"/>
        <w:spacing w:line="560" w:lineRule="atLeast"/>
        <w:ind w:firstLine="24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（五）中标供应商应按照国家有关规定提供“三包”等售后服务，对不符合合同约定的服务内容，采购人有权退换。若中标供应商在接到采购人通知后两个工作日内仍未予退换，采购人有权拒付不合格货款，并要求中标供应商赔偿损失。</w:t>
      </w:r>
    </w:p>
    <w:p>
      <w:pPr>
        <w:spacing w:line="560" w:lineRule="atLeast"/>
        <w:ind w:firstLine="240" w:firstLineChars="10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（六）中标供应商应在收到采购人的通知后7个工作日内，完成服务内容，中标供应商承担装卸及运输费用。若因中标供应商原因逾期交货的，每逾期一天，应按照逾期交货产品价款总额的1%支付违约金，若逾期超过10天的，采购人有权解除本协议及该次采购交易。</w:t>
      </w:r>
    </w:p>
    <w:p>
      <w:pPr>
        <w:spacing w:line="560" w:lineRule="atLeast"/>
        <w:ind w:firstLine="240" w:firstLineChars="10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（七）中标供应商的包装应当满足货物运输、防潮、防震、防锈以及防破损等要求，中标供应商承担包装等费用。</w:t>
      </w:r>
    </w:p>
    <w:p>
      <w:pPr>
        <w:spacing w:line="560" w:lineRule="atLeast"/>
        <w:ind w:firstLine="240" w:firstLineChars="10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（八）中标供应商送货人员应当通知收货人员、验收人员共同按照产品质量标准进行验收，经验收无误的，由双方人员签字确认。</w:t>
      </w:r>
    </w:p>
    <w:p>
      <w:pPr>
        <w:pStyle w:val="14"/>
        <w:spacing w:line="560" w:lineRule="atLeast"/>
        <w:ind w:firstLine="240" w:firstLineChars="10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（九）交付前发生的一切货物毁损等风险责任均由中标供应商承担。</w:t>
      </w:r>
    </w:p>
    <w:p>
      <w:pPr>
        <w:spacing w:line="560" w:lineRule="atLeast"/>
        <w:ind w:firstLine="240" w:firstLineChars="100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（十）其他：</w:t>
      </w:r>
    </w:p>
    <w:p>
      <w:pPr>
        <w:spacing w:line="560" w:lineRule="atLeast"/>
        <w:ind w:firstLine="480" w:firstLineChars="200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1、服务地点：长沙市星沙医院</w:t>
      </w:r>
    </w:p>
    <w:p>
      <w:pPr>
        <w:spacing w:line="560" w:lineRule="atLeast"/>
        <w:ind w:firstLine="480" w:firstLineChars="200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2、结算方法</w:t>
      </w:r>
    </w:p>
    <w:p>
      <w:pPr>
        <w:spacing w:line="560" w:lineRule="atLeast"/>
        <w:ind w:firstLine="480" w:firstLineChars="200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2.1付款人：长沙市星沙医院</w:t>
      </w:r>
    </w:p>
    <w:p>
      <w:pPr>
        <w:spacing w:line="560" w:lineRule="atLeast"/>
        <w:ind w:firstLine="480" w:firstLineChars="200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2.2付款方式：</w:t>
      </w:r>
    </w:p>
    <w:p>
      <w:pPr>
        <w:spacing w:line="560" w:lineRule="atLeast"/>
        <w:ind w:firstLine="480" w:firstLineChars="200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验收合格后，一次性无息支付。</w:t>
      </w:r>
    </w:p>
    <w:p>
      <w:pPr>
        <w:spacing w:line="560" w:lineRule="atLeast"/>
        <w:ind w:firstLine="480" w:firstLineChars="200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3.本项目采用包干方式，包括但不限于运输、辅材、人工、税费等所有费用。所产生费用均已含在各单价中，如一旦中标在项目实施中出现任何遗漏，均由中标人自行承担，采购人不再支付任何费用。</w:t>
      </w:r>
    </w:p>
    <w:p>
      <w:pPr>
        <w:spacing w:line="560" w:lineRule="atLeast"/>
        <w:ind w:firstLine="480" w:firstLineChars="200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"/>
          <w:sz w:val="24"/>
        </w:rPr>
        <w:t>4.本项目包含旧灭火器撤除及外运出去，新灭火器摆放至指定地点，费用及运输费用由供应商负责。</w:t>
      </w:r>
    </w:p>
    <w:p>
      <w:pPr>
        <w:spacing w:line="560" w:lineRule="atLeast"/>
        <w:ind w:firstLine="480" w:firstLineChars="200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  <w:lang w:val="zh-CN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5.</w:t>
      </w: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  <w:lang w:val="zh-CN"/>
        </w:rPr>
        <w:t>投标人在投标前，如需踏勘现场，有关费用自理，踏勘期间发生的意外自负。</w:t>
      </w:r>
    </w:p>
    <w:p>
      <w:pPr>
        <w:spacing w:line="560" w:lineRule="atLeast"/>
        <w:ind w:firstLine="482" w:firstLineChars="200"/>
        <w:rPr>
          <w:rFonts w:ascii="仿宋" w:hAnsi="仿宋" w:eastAsia="仿宋" w:cs="仿宋_GB2312"/>
          <w:b/>
          <w:bCs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b/>
          <w:bCs/>
          <w:color w:val="000000"/>
          <w:kern w:val="0"/>
          <w:sz w:val="24"/>
          <w:shd w:val="clear" w:color="auto" w:fill="FFFFFF"/>
        </w:rPr>
        <w:t>对于上述商务要求，供应商应在响应文件中逐一进行回应并做出承诺，否则按无效响应处理。</w:t>
      </w:r>
    </w:p>
    <w:p>
      <w:pPr>
        <w:spacing w:line="560" w:lineRule="atLeast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六.注意事项：</w:t>
      </w:r>
    </w:p>
    <w:p>
      <w:pPr>
        <w:spacing w:line="560" w:lineRule="atLeast"/>
        <w:ind w:firstLine="480" w:firstLineChars="200"/>
        <w:rPr>
          <w:rFonts w:ascii="仿宋" w:hAnsi="仿宋" w:eastAsia="仿宋" w:cs="仿宋_GB2312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1.如中标单位恶意竞价，</w:t>
      </w:r>
      <w:r>
        <w:rPr>
          <w:rFonts w:hint="eastAsia" w:ascii="仿宋" w:hAnsi="仿宋" w:eastAsia="仿宋" w:cs="仿宋_GB2312"/>
          <w:kern w:val="0"/>
          <w:sz w:val="24"/>
          <w:shd w:val="clear" w:color="auto" w:fill="FFFFFF"/>
        </w:rPr>
        <w:t>造成不能按竞价文件第四点“商务要求”提供服务的，影响采购方工作正常开展，采购方将在湖南省政府采购电子卖场按相关规定取消订单，同时报财政监管部门，并保留追究其法律责任的权利。</w:t>
      </w:r>
    </w:p>
    <w:p>
      <w:pPr>
        <w:spacing w:line="560" w:lineRule="atLeast"/>
        <w:ind w:firstLine="480" w:firstLineChars="200"/>
        <w:rPr>
          <w:rFonts w:ascii="仿宋" w:hAnsi="仿宋" w:eastAsia="仿宋" w:cs="仿宋_GB2312"/>
          <w:color w:val="000000"/>
          <w:kern w:val="0"/>
          <w:sz w:val="24"/>
          <w:shd w:val="clear" w:color="auto" w:fill="FFFFFF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2.投标供应商报价上传附件时需签字加盖供应商公章，未上传附件或附件未签字加盖供应商公章视为无效报价；报价时需上传报价单（含服务项目名称、型号/规格、单位、数量、单价、总价、参数等）和营业执照、响应商务要求承诺函扫描件。否则报价无效。</w:t>
      </w:r>
    </w:p>
    <w:p>
      <w:pPr>
        <w:spacing w:line="560" w:lineRule="atLeast"/>
        <w:ind w:firstLine="480" w:firstLineChars="200"/>
        <w:rPr>
          <w:rFonts w:ascii="仿宋" w:hAnsi="仿宋" w:eastAsia="仿宋"/>
          <w:b/>
          <w:bCs/>
          <w:sz w:val="24"/>
        </w:rPr>
      </w:pPr>
      <w:r>
        <w:rPr>
          <w:rFonts w:hint="eastAsia" w:ascii="仿宋" w:hAnsi="仿宋" w:eastAsia="仿宋" w:cs="仿宋_GB2312"/>
          <w:color w:val="000000"/>
          <w:kern w:val="0"/>
          <w:sz w:val="24"/>
          <w:shd w:val="clear" w:color="auto" w:fill="FFFFFF"/>
        </w:rPr>
        <w:t>3.不接受电话咨询，一切以竞价文件为准。</w:t>
      </w:r>
      <w:r>
        <w:rPr>
          <w:rFonts w:hint="eastAsia" w:ascii="仿宋" w:hAnsi="仿宋" w:eastAsia="仿宋" w:cs="仿宋_GB2312"/>
          <w:b/>
          <w:bCs/>
          <w:sz w:val="24"/>
        </w:rPr>
        <w:tab/>
      </w:r>
    </w:p>
    <w:p>
      <w:pPr>
        <w:tabs>
          <w:tab w:val="left" w:pos="291"/>
          <w:tab w:val="center" w:pos="4212"/>
        </w:tabs>
        <w:autoSpaceDE w:val="0"/>
        <w:autoSpaceDN w:val="0"/>
        <w:spacing w:line="500" w:lineRule="exact"/>
        <w:jc w:val="left"/>
        <w:rPr>
          <w:rFonts w:ascii="仿宋" w:hAnsi="仿宋" w:eastAsia="仿宋"/>
          <w:b/>
          <w:bCs/>
          <w:sz w:val="24"/>
        </w:rPr>
      </w:pPr>
    </w:p>
    <w:p>
      <w:pPr>
        <w:tabs>
          <w:tab w:val="left" w:pos="291"/>
          <w:tab w:val="center" w:pos="4212"/>
        </w:tabs>
        <w:autoSpaceDE w:val="0"/>
        <w:autoSpaceDN w:val="0"/>
        <w:spacing w:line="500" w:lineRule="exact"/>
        <w:jc w:val="left"/>
        <w:rPr>
          <w:rFonts w:ascii="仿宋" w:hAnsi="仿宋" w:eastAsia="仿宋"/>
          <w:b/>
          <w:bCs/>
          <w:sz w:val="24"/>
        </w:rPr>
      </w:pPr>
    </w:p>
    <w:p>
      <w:pPr>
        <w:tabs>
          <w:tab w:val="left" w:pos="291"/>
          <w:tab w:val="center" w:pos="4212"/>
        </w:tabs>
        <w:autoSpaceDE w:val="0"/>
        <w:autoSpaceDN w:val="0"/>
        <w:spacing w:line="500" w:lineRule="exact"/>
        <w:jc w:val="left"/>
        <w:rPr>
          <w:rFonts w:ascii="仿宋" w:hAnsi="仿宋" w:eastAsia="仿宋"/>
          <w:b/>
          <w:bCs/>
          <w:sz w:val="24"/>
        </w:rPr>
      </w:pPr>
    </w:p>
    <w:p>
      <w:pPr>
        <w:tabs>
          <w:tab w:val="left" w:pos="291"/>
          <w:tab w:val="center" w:pos="4212"/>
        </w:tabs>
        <w:autoSpaceDE w:val="0"/>
        <w:autoSpaceDN w:val="0"/>
        <w:spacing w:line="500" w:lineRule="exact"/>
        <w:jc w:val="left"/>
        <w:rPr>
          <w:b/>
          <w:bCs/>
          <w:sz w:val="30"/>
          <w:szCs w:val="30"/>
        </w:rPr>
      </w:pPr>
    </w:p>
    <w:p>
      <w:pPr>
        <w:tabs>
          <w:tab w:val="left" w:pos="291"/>
          <w:tab w:val="center" w:pos="4212"/>
        </w:tabs>
        <w:autoSpaceDE w:val="0"/>
        <w:autoSpaceDN w:val="0"/>
        <w:spacing w:line="500" w:lineRule="exact"/>
        <w:jc w:val="left"/>
        <w:rPr>
          <w:b/>
          <w:bCs/>
          <w:sz w:val="30"/>
          <w:szCs w:val="30"/>
        </w:rPr>
      </w:pPr>
    </w:p>
    <w:p>
      <w:pPr>
        <w:tabs>
          <w:tab w:val="left" w:pos="291"/>
          <w:tab w:val="center" w:pos="4212"/>
        </w:tabs>
        <w:autoSpaceDE w:val="0"/>
        <w:autoSpaceDN w:val="0"/>
        <w:spacing w:line="500" w:lineRule="exact"/>
        <w:jc w:val="left"/>
        <w:rPr>
          <w:b/>
          <w:bCs/>
          <w:sz w:val="30"/>
          <w:szCs w:val="30"/>
        </w:rPr>
      </w:pPr>
    </w:p>
    <w:p>
      <w:pPr>
        <w:tabs>
          <w:tab w:val="left" w:pos="291"/>
          <w:tab w:val="center" w:pos="4212"/>
        </w:tabs>
        <w:autoSpaceDE w:val="0"/>
        <w:autoSpaceDN w:val="0"/>
        <w:spacing w:line="500" w:lineRule="exact"/>
        <w:jc w:val="left"/>
        <w:rPr>
          <w:b/>
          <w:bCs/>
          <w:sz w:val="30"/>
          <w:szCs w:val="30"/>
        </w:rPr>
      </w:pPr>
    </w:p>
    <w:p/>
    <w:p/>
    <w:p/>
    <w:p>
      <w:pPr>
        <w:widowControl/>
        <w:shd w:val="clear" w:color="auto" w:fill="FFFFFF"/>
        <w:spacing w:line="560" w:lineRule="atLeast"/>
        <w:jc w:val="left"/>
        <w:rPr>
          <w:rFonts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</w:pPr>
    </w:p>
    <w:p>
      <w:pPr>
        <w:widowControl/>
        <w:shd w:val="clear" w:color="auto" w:fill="FFFFFF"/>
        <w:spacing w:line="560" w:lineRule="atLeast"/>
        <w:jc w:val="left"/>
        <w:rPr>
          <w:rFonts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</w:pPr>
    </w:p>
    <w:p>
      <w:pPr>
        <w:widowControl/>
        <w:shd w:val="clear" w:color="auto" w:fill="FFFFFF"/>
        <w:spacing w:line="560" w:lineRule="atLeast"/>
        <w:jc w:val="left"/>
        <w:rPr>
          <w:rFonts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</w:pPr>
    </w:p>
    <w:p>
      <w:pPr>
        <w:widowControl/>
        <w:shd w:val="clear" w:color="auto" w:fill="FFFFFF"/>
        <w:spacing w:line="560" w:lineRule="atLeast"/>
        <w:jc w:val="left"/>
        <w:rPr>
          <w:rFonts w:ascii="仿宋_GB2312" w:hAnsi="微软雅黑" w:eastAsia="仿宋_GB2312" w:cs="仿宋_GB2312"/>
          <w:color w:val="000000"/>
          <w:kern w:val="0"/>
          <w:sz w:val="32"/>
          <w:szCs w:val="32"/>
          <w:shd w:val="clear" w:color="auto" w:fill="FFFFFF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147B86"/>
    <w:multiLevelType w:val="multilevel"/>
    <w:tmpl w:val="44147B86"/>
    <w:lvl w:ilvl="0" w:tentative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 w:tentative="0">
      <w:start w:val="2"/>
      <w:numFmt w:val="decimal"/>
      <w:lvlText w:val="%1.%2、"/>
      <w:lvlJc w:val="left"/>
      <w:pPr>
        <w:ind w:left="1200" w:hanging="720"/>
      </w:pPr>
      <w:rPr>
        <w:rFonts w:hint="default"/>
      </w:rPr>
    </w:lvl>
    <w:lvl w:ilvl="2" w:tentative="0">
      <w:start w:val="1"/>
      <w:numFmt w:val="decimal"/>
      <w:lvlText w:val="%1.%2、%3."/>
      <w:lvlJc w:val="left"/>
      <w:pPr>
        <w:ind w:left="2040" w:hanging="1080"/>
      </w:pPr>
      <w:rPr>
        <w:rFonts w:hint="default"/>
      </w:rPr>
    </w:lvl>
    <w:lvl w:ilvl="3" w:tentative="0">
      <w:start w:val="1"/>
      <w:numFmt w:val="decimal"/>
      <w:lvlText w:val="%1.%2、%3.%4."/>
      <w:lvlJc w:val="left"/>
      <w:pPr>
        <w:ind w:left="2520" w:hanging="1080"/>
      </w:pPr>
      <w:rPr>
        <w:rFonts w:hint="default"/>
      </w:rPr>
    </w:lvl>
    <w:lvl w:ilvl="4" w:tentative="0">
      <w:start w:val="1"/>
      <w:numFmt w:val="decimal"/>
      <w:lvlText w:val="%1.%2、%3.%4.%5."/>
      <w:lvlJc w:val="left"/>
      <w:pPr>
        <w:ind w:left="3360" w:hanging="1440"/>
      </w:pPr>
      <w:rPr>
        <w:rFonts w:hint="default"/>
      </w:rPr>
    </w:lvl>
    <w:lvl w:ilvl="5" w:tentative="0">
      <w:start w:val="1"/>
      <w:numFmt w:val="decimal"/>
      <w:lvlText w:val="%1.%2、%3.%4.%5.%6."/>
      <w:lvlJc w:val="left"/>
      <w:pPr>
        <w:ind w:left="4200" w:hanging="1800"/>
      </w:pPr>
      <w:rPr>
        <w:rFonts w:hint="default"/>
      </w:rPr>
    </w:lvl>
    <w:lvl w:ilvl="6" w:tentative="0">
      <w:start w:val="1"/>
      <w:numFmt w:val="decimal"/>
      <w:lvlText w:val="%1.%2、%3.%4.%5.%6.%7."/>
      <w:lvlJc w:val="left"/>
      <w:pPr>
        <w:ind w:left="4680" w:hanging="1800"/>
      </w:pPr>
      <w:rPr>
        <w:rFonts w:hint="default"/>
      </w:rPr>
    </w:lvl>
    <w:lvl w:ilvl="7" w:tentative="0">
      <w:start w:val="1"/>
      <w:numFmt w:val="decimal"/>
      <w:lvlText w:val="%1.%2、%3.%4.%5.%6.%7.%8."/>
      <w:lvlJc w:val="left"/>
      <w:pPr>
        <w:ind w:left="5520" w:hanging="2160"/>
      </w:pPr>
      <w:rPr>
        <w:rFonts w:hint="default"/>
      </w:rPr>
    </w:lvl>
    <w:lvl w:ilvl="8" w:tentative="0">
      <w:start w:val="1"/>
      <w:numFmt w:val="decimal"/>
      <w:lvlText w:val="%1.%2、%3.%4.%5.%6.%7.%8.%9."/>
      <w:lvlJc w:val="left"/>
      <w:pPr>
        <w:ind w:left="6360" w:hanging="252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DhkY2I5MWU1YzgyYjk5NmI4YjgxYmVjMGY2ZmYyODMifQ=="/>
    <w:docVar w:name="KSO_WPS_MARK_KEY" w:val="19c3e230-c328-46dd-804b-1eb2421a8a9b"/>
  </w:docVars>
  <w:rsids>
    <w:rsidRoot w:val="00755CDB"/>
    <w:rsid w:val="001270F8"/>
    <w:rsid w:val="0015341F"/>
    <w:rsid w:val="00226D32"/>
    <w:rsid w:val="00321415"/>
    <w:rsid w:val="003E3F21"/>
    <w:rsid w:val="004451BA"/>
    <w:rsid w:val="004F2A5B"/>
    <w:rsid w:val="005910EC"/>
    <w:rsid w:val="00662F93"/>
    <w:rsid w:val="00755CDB"/>
    <w:rsid w:val="00786D53"/>
    <w:rsid w:val="007D1A19"/>
    <w:rsid w:val="00A17F6F"/>
    <w:rsid w:val="00B80E68"/>
    <w:rsid w:val="00C2782B"/>
    <w:rsid w:val="00C42379"/>
    <w:rsid w:val="00DA4543"/>
    <w:rsid w:val="00ED40F7"/>
    <w:rsid w:val="00F35EBD"/>
    <w:rsid w:val="00F83D24"/>
    <w:rsid w:val="01997894"/>
    <w:rsid w:val="01C40173"/>
    <w:rsid w:val="081F4875"/>
    <w:rsid w:val="08917E81"/>
    <w:rsid w:val="0A331631"/>
    <w:rsid w:val="0BA66DFC"/>
    <w:rsid w:val="0C6D74B0"/>
    <w:rsid w:val="0CF76E96"/>
    <w:rsid w:val="0D675973"/>
    <w:rsid w:val="0DA91EF6"/>
    <w:rsid w:val="0E221441"/>
    <w:rsid w:val="0F6F05BF"/>
    <w:rsid w:val="103F40B5"/>
    <w:rsid w:val="105876A1"/>
    <w:rsid w:val="11097FAF"/>
    <w:rsid w:val="13A50343"/>
    <w:rsid w:val="1490649B"/>
    <w:rsid w:val="16FA7BB2"/>
    <w:rsid w:val="17997C13"/>
    <w:rsid w:val="1A9E609F"/>
    <w:rsid w:val="1BFD6F6E"/>
    <w:rsid w:val="1F5671E5"/>
    <w:rsid w:val="1FC92CD7"/>
    <w:rsid w:val="20647043"/>
    <w:rsid w:val="256C3BE8"/>
    <w:rsid w:val="25BD6A7B"/>
    <w:rsid w:val="26046BF2"/>
    <w:rsid w:val="26294F12"/>
    <w:rsid w:val="266A2771"/>
    <w:rsid w:val="286203F7"/>
    <w:rsid w:val="28CA562D"/>
    <w:rsid w:val="29A4036F"/>
    <w:rsid w:val="2BFD5FFA"/>
    <w:rsid w:val="2C1B2B7A"/>
    <w:rsid w:val="2D7A720A"/>
    <w:rsid w:val="2E9606DA"/>
    <w:rsid w:val="2F777F97"/>
    <w:rsid w:val="306E2BD3"/>
    <w:rsid w:val="30761FD1"/>
    <w:rsid w:val="32A47DCA"/>
    <w:rsid w:val="35B55210"/>
    <w:rsid w:val="36AB0586"/>
    <w:rsid w:val="37977A42"/>
    <w:rsid w:val="3E2611D5"/>
    <w:rsid w:val="4073695E"/>
    <w:rsid w:val="41BA330F"/>
    <w:rsid w:val="43BD7A87"/>
    <w:rsid w:val="44AA4181"/>
    <w:rsid w:val="4575288F"/>
    <w:rsid w:val="479D123A"/>
    <w:rsid w:val="4B2E0015"/>
    <w:rsid w:val="4DFF4099"/>
    <w:rsid w:val="4E6C3A5B"/>
    <w:rsid w:val="4F000A01"/>
    <w:rsid w:val="50B21A46"/>
    <w:rsid w:val="534F2CA4"/>
    <w:rsid w:val="58E860CA"/>
    <w:rsid w:val="5A877EEF"/>
    <w:rsid w:val="5B8B41A4"/>
    <w:rsid w:val="5BD15021"/>
    <w:rsid w:val="629218F5"/>
    <w:rsid w:val="65BF0F72"/>
    <w:rsid w:val="66C024A3"/>
    <w:rsid w:val="68B811C3"/>
    <w:rsid w:val="68BD4299"/>
    <w:rsid w:val="6A1C47E6"/>
    <w:rsid w:val="6AD067DC"/>
    <w:rsid w:val="6F1E3DC2"/>
    <w:rsid w:val="6F594B6D"/>
    <w:rsid w:val="73B76B77"/>
    <w:rsid w:val="7F1C6BB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2">
    <w:name w:val="Default Paragraph Font"/>
    <w:semiHidden/>
    <w:unhideWhenUsed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next w:val="1"/>
    <w:qFormat/>
    <w:uiPriority w:val="99"/>
    <w:pPr>
      <w:spacing w:after="120"/>
    </w:pPr>
    <w:rPr>
      <w:kern w:val="0"/>
      <w:sz w:val="20"/>
    </w:rPr>
  </w:style>
  <w:style w:type="paragraph" w:styleId="6">
    <w:name w:val="footer"/>
    <w:basedOn w:val="1"/>
    <w:link w:val="20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2"/>
    <w:basedOn w:val="1"/>
    <w:qFormat/>
    <w:uiPriority w:val="0"/>
    <w:pPr>
      <w:spacing w:after="120" w:line="480" w:lineRule="auto"/>
    </w:pPr>
    <w:rPr>
      <w:rFonts w:ascii="Times New Roman" w:hAnsi="Times New Roman" w:eastAsia="宋体" w:cs="Times New Roman"/>
    </w:rPr>
  </w:style>
  <w:style w:type="paragraph" w:styleId="9">
    <w:name w:val="Normal (Web)"/>
    <w:basedOn w:val="1"/>
    <w:qFormat/>
    <w:uiPriority w:val="0"/>
    <w:rPr>
      <w:sz w:val="24"/>
    </w:rPr>
  </w:style>
  <w:style w:type="paragraph" w:styleId="10">
    <w:name w:val="Body Text First Indent"/>
    <w:basedOn w:val="5"/>
    <w:qFormat/>
    <w:uiPriority w:val="0"/>
    <w:pPr>
      <w:ind w:firstLine="420" w:firstLineChars="100"/>
    </w:pPr>
  </w:style>
  <w:style w:type="paragraph" w:customStyle="1" w:styleId="13">
    <w:name w:val="样式2"/>
    <w:basedOn w:val="4"/>
    <w:qFormat/>
    <w:uiPriority w:val="0"/>
    <w:rPr>
      <w:i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font11"/>
    <w:basedOn w:val="12"/>
    <w:qFormat/>
    <w:uiPriority w:val="0"/>
    <w:rPr>
      <w:rFonts w:hint="default" w:ascii="Arial" w:hAnsi="Arial" w:cs="Arial"/>
      <w:color w:val="404040"/>
      <w:sz w:val="21"/>
      <w:szCs w:val="21"/>
      <w:u w:val="none"/>
    </w:rPr>
  </w:style>
  <w:style w:type="character" w:customStyle="1" w:styleId="16">
    <w:name w:val="font21"/>
    <w:basedOn w:val="12"/>
    <w:qFormat/>
    <w:uiPriority w:val="0"/>
    <w:rPr>
      <w:rFonts w:hint="eastAsia" w:ascii="宋体" w:hAnsi="宋体" w:eastAsia="宋体" w:cs="宋体"/>
      <w:color w:val="404040"/>
      <w:sz w:val="21"/>
      <w:szCs w:val="21"/>
      <w:u w:val="none"/>
    </w:rPr>
  </w:style>
  <w:style w:type="character" w:customStyle="1" w:styleId="17">
    <w:name w:val="font31"/>
    <w:basedOn w:val="12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18">
    <w:name w:val="font71"/>
    <w:basedOn w:val="12"/>
    <w:qFormat/>
    <w:uiPriority w:val="0"/>
    <w:rPr>
      <w:rFonts w:hint="eastAsia" w:ascii="仿宋_GB2312" w:eastAsia="仿宋_GB2312" w:cs="仿宋_GB2312"/>
      <w:color w:val="000000"/>
      <w:sz w:val="18"/>
      <w:szCs w:val="18"/>
      <w:u w:val="none"/>
    </w:rPr>
  </w:style>
  <w:style w:type="character" w:customStyle="1" w:styleId="19">
    <w:name w:val="页眉 Char"/>
    <w:basedOn w:val="12"/>
    <w:link w:val="7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0">
    <w:name w:val="页脚 Char"/>
    <w:basedOn w:val="12"/>
    <w:link w:val="6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224</Words>
  <Characters>1280</Characters>
  <Lines>10</Lines>
  <Paragraphs>3</Paragraphs>
  <TotalTime>78</TotalTime>
  <ScaleCrop>false</ScaleCrop>
  <LinksUpToDate>false</LinksUpToDate>
  <CharactersWithSpaces>1501</CharactersWithSpaces>
  <Application>WPS Office_11.1.0.8919_F1E327BC-269C-435d-A152-05C5408002CA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2025-02-27T08:04:00Z</dcterms:created>
  <dc:creator>csxzyy</dc:creator>
  <cp:lastModifiedBy>Administrator</cp:lastModifiedBy>
  <cp:lastPrinted>2024-03-04T01:03:00Z</cp:lastPrinted>
  <dcterms:modified xsi:type="dcterms:W3CDTF">2025-04-02T01:56:55Z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2052-11.1.0.8919</vt:lpwstr>
  </property>
  <property fmtid="{D5CDD505-2E9C-101B-9397-08002B2CF9AE}" pid="3" name="ICV">
    <vt:lpwstr>D2F168F0B84E446DB610FCF82CF55692</vt:lpwstr>
  </property>
</Properties>
</file>