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928E">
      <w:pPr>
        <w:spacing w:after="240"/>
        <w:jc w:val="center"/>
        <w:rPr>
          <w:rFonts w:hint="eastAsia" w:ascii="仿宋" w:hAnsi="仿宋" w:eastAsia="仿宋"/>
          <w:b/>
          <w:sz w:val="30"/>
          <w:szCs w:val="30"/>
        </w:rPr>
      </w:pPr>
      <w:r>
        <w:rPr>
          <w:rFonts w:hint="eastAsia" w:ascii="仿宋" w:hAnsi="仿宋" w:eastAsia="仿宋"/>
          <w:b/>
          <w:sz w:val="30"/>
          <w:szCs w:val="30"/>
        </w:rPr>
        <w:t>浙江大学医学院附属妇产科医院</w:t>
      </w:r>
    </w:p>
    <w:p w14:paraId="06BBCB3D">
      <w:pPr>
        <w:spacing w:after="240"/>
        <w:jc w:val="center"/>
        <w:rPr>
          <w:rFonts w:hint="eastAsia" w:ascii="仿宋" w:hAnsi="仿宋" w:eastAsia="仿宋"/>
          <w:b/>
          <w:sz w:val="30"/>
          <w:szCs w:val="30"/>
        </w:rPr>
      </w:pPr>
      <w:r>
        <w:rPr>
          <w:rFonts w:hint="eastAsia" w:ascii="仿宋" w:hAnsi="仿宋" w:eastAsia="仿宋"/>
          <w:b/>
          <w:sz w:val="30"/>
          <w:szCs w:val="30"/>
        </w:rPr>
        <w:t>集群服务器项目采购要求</w:t>
      </w:r>
    </w:p>
    <w:p w14:paraId="6BA2CC77">
      <w:pPr>
        <w:spacing w:after="240"/>
        <w:jc w:val="center"/>
        <w:rPr>
          <w:rFonts w:hint="eastAsia" w:ascii="仿宋" w:hAnsi="仿宋" w:eastAsia="仿宋"/>
          <w:bCs/>
          <w:color w:val="FF0000"/>
          <w:szCs w:val="21"/>
        </w:rPr>
      </w:pPr>
      <w:r>
        <w:rPr>
          <w:rFonts w:hint="eastAsia" w:ascii="仿宋" w:hAnsi="仿宋" w:eastAsia="仿宋"/>
          <w:bCs/>
          <w:color w:val="FF0000"/>
          <w:szCs w:val="21"/>
        </w:rPr>
        <w:t>采购类目：</w:t>
      </w:r>
      <w:r>
        <w:rPr>
          <w:rFonts w:ascii="仿宋" w:hAnsi="仿宋" w:eastAsia="仿宋"/>
          <w:bCs/>
          <w:color w:val="FF0000"/>
          <w:szCs w:val="21"/>
        </w:rPr>
        <w:t>A02010104</w:t>
      </w:r>
      <w:r>
        <w:rPr>
          <w:rFonts w:hint="eastAsia" w:ascii="仿宋" w:hAnsi="仿宋" w:eastAsia="仿宋"/>
          <w:bCs/>
          <w:color w:val="FF0000"/>
          <w:szCs w:val="21"/>
        </w:rPr>
        <w:t xml:space="preserve"> 服务器</w:t>
      </w:r>
    </w:p>
    <w:p w14:paraId="1865DE17">
      <w:pPr>
        <w:numPr>
          <w:ilvl w:val="0"/>
          <w:numId w:val="1"/>
        </w:numPr>
        <w:spacing w:after="240"/>
        <w:rPr>
          <w:rFonts w:hint="eastAsia" w:ascii="仿宋" w:hAnsi="仿宋" w:eastAsia="仿宋"/>
          <w:b/>
          <w:sz w:val="30"/>
          <w:szCs w:val="30"/>
        </w:rPr>
      </w:pPr>
      <w:r>
        <w:rPr>
          <w:rFonts w:hint="eastAsia" w:ascii="仿宋" w:hAnsi="仿宋" w:eastAsia="仿宋"/>
          <w:b/>
          <w:sz w:val="30"/>
          <w:szCs w:val="30"/>
        </w:rPr>
        <w:t>项目需求</w:t>
      </w:r>
    </w:p>
    <w:p w14:paraId="74E942D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浙江大学医学遗传与发育研究院专注于医学遗传、生殖与发育基础研究、技术开发和临床转化等关键医学科研方向，于国际前沿创新性地探索配子/胚胎源性疾病的代间/跨代遗传/表观遗传机制，精心构建基于孕前-孕期-儿童的社区-家庭-母婴综合干预队列，并成功建立了涵盖家系收集-突变基因鉴定-遗传信息解读-胚胎植入前遗传学诊断-胎儿遗传学诊断-新生儿筛查-儿童随访的完备临床体系，深入开展生殖与发育相关基础研究、发育源性疾病（如代谢性疾病、心血管疾病、神经精神性疾病和免疫性疾病等）分子机制研究、遗传性出生缺陷的机制及临床转化以及儿童发育与个体健康等重大课题。</w:t>
      </w:r>
    </w:p>
    <w:p w14:paraId="6962C5E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本项目采购高性能计算集群相关硬件和配套软件，利用高性能计算集群强大的计算及存储能力支撑我院生信科研需求，为我院高水平科学研究、前沿科技探索提供良好的支撑和保障。</w:t>
      </w:r>
    </w:p>
    <w:p w14:paraId="568D37C6">
      <w:pPr>
        <w:widowControl/>
        <w:spacing w:line="360" w:lineRule="auto"/>
        <w:ind w:firstLine="480" w:firstLineChars="200"/>
        <w:jc w:val="left"/>
        <w:rPr>
          <w:rFonts w:hint="eastAsia" w:ascii="宋体" w:hAnsi="宋体" w:cs="宋体"/>
          <w:kern w:val="0"/>
          <w:sz w:val="24"/>
        </w:rPr>
      </w:pPr>
    </w:p>
    <w:p w14:paraId="7ECFDD82">
      <w:pPr>
        <w:numPr>
          <w:ilvl w:val="0"/>
          <w:numId w:val="1"/>
        </w:numPr>
        <w:spacing w:after="240"/>
        <w:rPr>
          <w:rFonts w:hint="eastAsia" w:ascii="仿宋" w:hAnsi="仿宋" w:eastAsia="仿宋"/>
          <w:b/>
          <w:sz w:val="30"/>
          <w:szCs w:val="30"/>
        </w:rPr>
      </w:pPr>
      <w:r>
        <w:rPr>
          <w:rFonts w:hint="eastAsia" w:ascii="仿宋" w:hAnsi="仿宋" w:eastAsia="仿宋"/>
          <w:b/>
          <w:sz w:val="30"/>
          <w:szCs w:val="30"/>
        </w:rPr>
        <w:t>采购内容</w:t>
      </w:r>
    </w:p>
    <w:tbl>
      <w:tblPr>
        <w:tblStyle w:val="1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047"/>
        <w:gridCol w:w="1011"/>
      </w:tblGrid>
      <w:tr w14:paraId="6131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FF78DBC">
            <w:pPr>
              <w:widowControl/>
              <w:spacing w:line="360" w:lineRule="auto"/>
              <w:jc w:val="center"/>
              <w:textAlignment w:val="center"/>
              <w:rPr>
                <w:sz w:val="24"/>
                <w:szCs w:val="22"/>
              </w:rPr>
            </w:pPr>
            <w:r>
              <w:rPr>
                <w:rFonts w:hint="eastAsia" w:ascii="Calibri" w:hAnsi="Calibri" w:cs="宋体"/>
                <w:sz w:val="24"/>
                <w:szCs w:val="22"/>
                <w:lang w:bidi="ar"/>
              </w:rPr>
              <w:t>名称</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F772B58">
            <w:pPr>
              <w:widowControl/>
              <w:spacing w:line="360" w:lineRule="auto"/>
              <w:jc w:val="center"/>
              <w:textAlignment w:val="center"/>
              <w:rPr>
                <w:sz w:val="24"/>
                <w:szCs w:val="22"/>
              </w:rPr>
            </w:pPr>
            <w:r>
              <w:rPr>
                <w:rFonts w:hint="eastAsia"/>
                <w:sz w:val="24"/>
                <w:szCs w:val="22"/>
              </w:rPr>
              <w:t>主要功能</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36E97FC">
            <w:pPr>
              <w:widowControl/>
              <w:spacing w:line="360" w:lineRule="auto"/>
              <w:jc w:val="center"/>
              <w:textAlignment w:val="center"/>
              <w:rPr>
                <w:sz w:val="24"/>
                <w:szCs w:val="22"/>
              </w:rPr>
            </w:pPr>
            <w:r>
              <w:rPr>
                <w:rFonts w:hint="eastAsia" w:ascii="Calibri" w:hAnsi="Calibri" w:cs="宋体"/>
                <w:sz w:val="24"/>
                <w:szCs w:val="22"/>
                <w:lang w:bidi="ar"/>
              </w:rPr>
              <w:t>数量</w:t>
            </w:r>
          </w:p>
        </w:tc>
      </w:tr>
      <w:tr w14:paraId="7091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1A6FEC90">
            <w:pPr>
              <w:widowControl/>
              <w:jc w:val="left"/>
              <w:rPr>
                <w:rFonts w:hint="eastAsia" w:ascii="仿宋" w:hAnsi="仿宋" w:eastAsia="仿宋" w:cs="宋体"/>
                <w:kern w:val="0"/>
                <w:szCs w:val="21"/>
              </w:rPr>
            </w:pPr>
            <w:r>
              <w:rPr>
                <w:rFonts w:hint="eastAsia" w:ascii="仿宋" w:hAnsi="仿宋" w:eastAsia="仿宋" w:cs="宋体"/>
                <w:kern w:val="0"/>
                <w:szCs w:val="21"/>
              </w:rPr>
              <w:t>管理登录服务器</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165DC008">
            <w:pPr>
              <w:widowControl/>
              <w:jc w:val="left"/>
              <w:rPr>
                <w:rFonts w:hint="eastAsia" w:ascii="仿宋" w:hAnsi="仿宋" w:eastAsia="仿宋" w:cs="宋体"/>
                <w:kern w:val="0"/>
                <w:szCs w:val="21"/>
              </w:rPr>
            </w:pPr>
            <w:r>
              <w:rPr>
                <w:rFonts w:hint="eastAsia" w:ascii="仿宋" w:hAnsi="仿宋" w:eastAsia="仿宋" w:cs="宋体"/>
                <w:kern w:val="0"/>
                <w:szCs w:val="21"/>
              </w:rPr>
              <w:t>主要用于部署集群监控管理软件、作业调度等集群系统服务以及作为用户提交作业的入口。</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5A382506">
            <w:pPr>
              <w:widowControl/>
              <w:jc w:val="left"/>
              <w:rPr>
                <w:rFonts w:hint="eastAsia" w:ascii="仿宋" w:hAnsi="仿宋" w:eastAsia="仿宋" w:cs="宋体"/>
                <w:kern w:val="0"/>
                <w:szCs w:val="21"/>
              </w:rPr>
            </w:pPr>
            <w:r>
              <w:rPr>
                <w:rFonts w:hint="eastAsia" w:ascii="仿宋" w:hAnsi="仿宋" w:eastAsia="仿宋" w:cs="宋体"/>
                <w:kern w:val="0"/>
                <w:szCs w:val="21"/>
              </w:rPr>
              <w:t>1台</w:t>
            </w:r>
          </w:p>
        </w:tc>
      </w:tr>
      <w:tr w14:paraId="1B80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477364D9">
            <w:pPr>
              <w:widowControl/>
              <w:jc w:val="left"/>
              <w:rPr>
                <w:rFonts w:hint="eastAsia" w:ascii="仿宋" w:hAnsi="仿宋" w:eastAsia="仿宋" w:cs="宋体"/>
                <w:kern w:val="0"/>
                <w:szCs w:val="21"/>
              </w:rPr>
            </w:pPr>
            <w:r>
              <w:rPr>
                <w:rFonts w:hint="eastAsia" w:ascii="仿宋" w:hAnsi="仿宋" w:eastAsia="仿宋" w:cs="宋体"/>
                <w:kern w:val="0"/>
                <w:szCs w:val="21"/>
              </w:rPr>
              <w:t>计算服务器</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57D2A2F7">
            <w:pPr>
              <w:widowControl/>
              <w:jc w:val="left"/>
              <w:rPr>
                <w:rFonts w:hint="eastAsia" w:ascii="仿宋" w:hAnsi="仿宋" w:eastAsia="仿宋" w:cs="宋体"/>
                <w:kern w:val="0"/>
                <w:szCs w:val="21"/>
              </w:rPr>
            </w:pPr>
            <w:r>
              <w:rPr>
                <w:rFonts w:hint="eastAsia" w:ascii="仿宋" w:hAnsi="仿宋" w:eastAsia="仿宋" w:cs="宋体"/>
                <w:kern w:val="0"/>
                <w:szCs w:val="21"/>
              </w:rPr>
              <w:t>平台核心环节之一，为系统提供了重要的CPU计算资源</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128F58A6">
            <w:pPr>
              <w:widowControl/>
              <w:jc w:val="left"/>
              <w:rPr>
                <w:rFonts w:hint="eastAsia" w:ascii="仿宋" w:hAnsi="仿宋" w:eastAsia="仿宋" w:cs="宋体"/>
                <w:kern w:val="0"/>
                <w:szCs w:val="21"/>
              </w:rPr>
            </w:pPr>
            <w:r>
              <w:rPr>
                <w:rFonts w:hint="eastAsia" w:ascii="仿宋" w:hAnsi="仿宋" w:eastAsia="仿宋" w:cs="宋体"/>
                <w:kern w:val="0"/>
                <w:szCs w:val="21"/>
              </w:rPr>
              <w:t>3台</w:t>
            </w:r>
          </w:p>
        </w:tc>
      </w:tr>
      <w:tr w14:paraId="45D3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3945B4B8">
            <w:pPr>
              <w:widowControl/>
              <w:jc w:val="left"/>
              <w:rPr>
                <w:rFonts w:hint="eastAsia" w:ascii="仿宋" w:hAnsi="仿宋" w:eastAsia="仿宋" w:cs="宋体"/>
                <w:kern w:val="0"/>
                <w:szCs w:val="21"/>
              </w:rPr>
            </w:pPr>
            <w:r>
              <w:rPr>
                <w:rFonts w:hint="eastAsia" w:ascii="仿宋" w:hAnsi="仿宋" w:eastAsia="仿宋" w:cs="宋体"/>
                <w:kern w:val="0"/>
                <w:szCs w:val="21"/>
              </w:rPr>
              <w:t>分布式存储系统</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635A8D35">
            <w:pPr>
              <w:widowControl/>
              <w:jc w:val="left"/>
              <w:rPr>
                <w:rFonts w:hint="eastAsia" w:ascii="仿宋" w:hAnsi="仿宋" w:eastAsia="仿宋" w:cs="宋体"/>
                <w:kern w:val="0"/>
                <w:szCs w:val="21"/>
              </w:rPr>
            </w:pPr>
            <w:r>
              <w:rPr>
                <w:rFonts w:hint="eastAsia" w:ascii="仿宋" w:hAnsi="仿宋" w:eastAsia="仿宋" w:cs="宋体"/>
                <w:kern w:val="0"/>
                <w:szCs w:val="21"/>
              </w:rPr>
              <w:t>为集群提供大容量及高带宽的存储资源。</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9B942FA">
            <w:pPr>
              <w:widowControl/>
              <w:jc w:val="left"/>
              <w:rPr>
                <w:rFonts w:hint="eastAsia" w:ascii="仿宋" w:hAnsi="仿宋" w:eastAsia="仿宋" w:cs="宋体"/>
                <w:kern w:val="0"/>
                <w:szCs w:val="21"/>
              </w:rPr>
            </w:pPr>
            <w:r>
              <w:rPr>
                <w:rFonts w:hint="eastAsia" w:ascii="仿宋" w:hAnsi="仿宋" w:eastAsia="仿宋" w:cs="宋体"/>
                <w:kern w:val="0"/>
                <w:szCs w:val="21"/>
              </w:rPr>
              <w:t>1套</w:t>
            </w:r>
          </w:p>
        </w:tc>
      </w:tr>
      <w:tr w14:paraId="36C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A61677F">
            <w:pPr>
              <w:widowControl/>
              <w:jc w:val="left"/>
              <w:rPr>
                <w:rFonts w:hint="eastAsia" w:ascii="仿宋" w:hAnsi="仿宋" w:eastAsia="仿宋" w:cs="宋体"/>
                <w:kern w:val="0"/>
                <w:szCs w:val="21"/>
              </w:rPr>
            </w:pPr>
            <w:r>
              <w:rPr>
                <w:rFonts w:hint="eastAsia" w:ascii="仿宋" w:hAnsi="仿宋" w:eastAsia="仿宋" w:cs="宋体"/>
                <w:kern w:val="0"/>
                <w:szCs w:val="21"/>
              </w:rPr>
              <w:t xml:space="preserve">集群监控管理及作业调度系统 </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26F82B86">
            <w:pPr>
              <w:widowControl/>
              <w:jc w:val="left"/>
              <w:rPr>
                <w:rFonts w:hint="eastAsia" w:ascii="仿宋" w:hAnsi="仿宋" w:eastAsia="仿宋" w:cs="宋体"/>
                <w:kern w:val="0"/>
                <w:szCs w:val="21"/>
              </w:rPr>
            </w:pPr>
            <w:r>
              <w:rPr>
                <w:rFonts w:hint="eastAsia" w:ascii="仿宋" w:hAnsi="仿宋" w:eastAsia="仿宋" w:cs="宋体"/>
                <w:kern w:val="0"/>
                <w:szCs w:val="21"/>
              </w:rPr>
              <w:t>用于管理和监控整体计算系统资源，并为作业进行资源调度。</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1CED3380">
            <w:pPr>
              <w:widowControl/>
              <w:jc w:val="left"/>
              <w:rPr>
                <w:rFonts w:hint="eastAsia" w:ascii="仿宋" w:hAnsi="仿宋" w:eastAsia="仿宋" w:cs="宋体"/>
                <w:kern w:val="0"/>
                <w:szCs w:val="21"/>
              </w:rPr>
            </w:pPr>
            <w:r>
              <w:rPr>
                <w:rFonts w:hint="eastAsia" w:ascii="仿宋" w:hAnsi="仿宋" w:eastAsia="仿宋" w:cs="宋体"/>
                <w:kern w:val="0"/>
                <w:szCs w:val="21"/>
              </w:rPr>
              <w:t>1套</w:t>
            </w:r>
          </w:p>
        </w:tc>
      </w:tr>
      <w:tr w14:paraId="261F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F418556">
            <w:pPr>
              <w:widowControl/>
              <w:jc w:val="left"/>
              <w:rPr>
                <w:rFonts w:hint="eastAsia" w:ascii="仿宋" w:hAnsi="仿宋" w:eastAsia="仿宋" w:cs="宋体"/>
                <w:kern w:val="0"/>
                <w:szCs w:val="21"/>
              </w:rPr>
            </w:pPr>
            <w:r>
              <w:rPr>
                <w:rFonts w:hint="eastAsia" w:ascii="仿宋" w:hAnsi="仿宋" w:eastAsia="仿宋" w:cs="宋体"/>
                <w:kern w:val="0"/>
                <w:szCs w:val="21"/>
              </w:rPr>
              <w:t>配套网络</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47364697">
            <w:pPr>
              <w:widowControl/>
              <w:jc w:val="left"/>
              <w:rPr>
                <w:rFonts w:hint="eastAsia" w:ascii="仿宋" w:hAnsi="仿宋" w:eastAsia="仿宋" w:cs="宋体"/>
                <w:kern w:val="0"/>
                <w:szCs w:val="21"/>
              </w:rPr>
            </w:pPr>
            <w:r>
              <w:rPr>
                <w:rFonts w:hint="eastAsia" w:ascii="仿宋" w:hAnsi="仿宋" w:eastAsia="仿宋" w:cs="宋体"/>
                <w:kern w:val="0"/>
                <w:szCs w:val="21"/>
              </w:rPr>
              <w:t>用于连接计算和存储，使其内部通信</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1BA2E02B">
            <w:pPr>
              <w:widowControl/>
              <w:jc w:val="left"/>
              <w:rPr>
                <w:rFonts w:hint="eastAsia" w:ascii="仿宋" w:hAnsi="仿宋" w:eastAsia="仿宋" w:cs="宋体"/>
                <w:kern w:val="0"/>
                <w:szCs w:val="21"/>
              </w:rPr>
            </w:pPr>
            <w:r>
              <w:rPr>
                <w:rFonts w:hint="eastAsia" w:ascii="仿宋" w:hAnsi="仿宋" w:eastAsia="仿宋" w:cs="宋体"/>
                <w:kern w:val="0"/>
                <w:szCs w:val="21"/>
              </w:rPr>
              <w:t>1套</w:t>
            </w:r>
          </w:p>
        </w:tc>
      </w:tr>
      <w:tr w14:paraId="231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5384C27F">
            <w:pPr>
              <w:widowControl/>
              <w:jc w:val="left"/>
              <w:rPr>
                <w:rFonts w:hint="eastAsia" w:ascii="仿宋" w:hAnsi="仿宋" w:eastAsia="仿宋" w:cs="宋体"/>
                <w:kern w:val="0"/>
                <w:szCs w:val="21"/>
              </w:rPr>
            </w:pPr>
            <w:r>
              <w:rPr>
                <w:rFonts w:hint="eastAsia" w:ascii="仿宋" w:hAnsi="仿宋" w:eastAsia="仿宋" w:cs="宋体"/>
                <w:kern w:val="0"/>
                <w:szCs w:val="21"/>
              </w:rPr>
              <w:t>一体式控制器</w:t>
            </w:r>
          </w:p>
        </w:tc>
        <w:tc>
          <w:tcPr>
            <w:tcW w:w="6047" w:type="dxa"/>
            <w:tcBorders>
              <w:top w:val="single" w:color="auto" w:sz="4" w:space="0"/>
              <w:left w:val="single" w:color="auto" w:sz="4" w:space="0"/>
              <w:bottom w:val="single" w:color="auto" w:sz="4" w:space="0"/>
              <w:right w:val="single" w:color="auto" w:sz="4" w:space="0"/>
            </w:tcBorders>
            <w:shd w:val="clear" w:color="auto" w:fill="auto"/>
            <w:vAlign w:val="center"/>
          </w:tcPr>
          <w:p w14:paraId="4684005C">
            <w:pPr>
              <w:widowControl/>
              <w:jc w:val="left"/>
              <w:rPr>
                <w:rFonts w:hint="eastAsia" w:ascii="仿宋" w:hAnsi="仿宋" w:eastAsia="仿宋" w:cs="宋体"/>
                <w:kern w:val="0"/>
                <w:szCs w:val="21"/>
              </w:rPr>
            </w:pPr>
            <w:r>
              <w:rPr>
                <w:rFonts w:hint="eastAsia" w:ascii="仿宋" w:hAnsi="仿宋" w:eastAsia="仿宋" w:cs="宋体"/>
                <w:kern w:val="0"/>
                <w:szCs w:val="21"/>
              </w:rPr>
              <w:t>用于控制和使用相关系统软件</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066D6AC9">
            <w:pPr>
              <w:widowControl/>
              <w:jc w:val="left"/>
              <w:rPr>
                <w:rFonts w:hint="eastAsia" w:ascii="仿宋" w:hAnsi="仿宋" w:eastAsia="仿宋" w:cs="宋体"/>
                <w:kern w:val="0"/>
                <w:szCs w:val="21"/>
              </w:rPr>
            </w:pPr>
            <w:r>
              <w:rPr>
                <w:rFonts w:hint="eastAsia" w:ascii="仿宋" w:hAnsi="仿宋" w:eastAsia="仿宋" w:cs="宋体"/>
                <w:kern w:val="0"/>
                <w:szCs w:val="21"/>
              </w:rPr>
              <w:t>1套</w:t>
            </w:r>
          </w:p>
        </w:tc>
      </w:tr>
    </w:tbl>
    <w:p w14:paraId="1C2BA4C5">
      <w:pPr>
        <w:rPr>
          <w:rFonts w:hint="eastAsia" w:ascii="仿宋" w:hAnsi="仿宋" w:eastAsia="仿宋" w:cs="宋体"/>
          <w:b/>
          <w:kern w:val="0"/>
          <w:szCs w:val="21"/>
        </w:rPr>
      </w:pPr>
      <w:r>
        <w:rPr>
          <w:rFonts w:hint="eastAsia" w:ascii="仿宋" w:hAnsi="仿宋" w:eastAsia="仿宋" w:cs="宋体"/>
          <w:b/>
          <w:kern w:val="0"/>
          <w:szCs w:val="21"/>
        </w:rPr>
        <w:t>备注：提供分项报价</w:t>
      </w:r>
    </w:p>
    <w:p w14:paraId="6C22ED9A">
      <w:pPr>
        <w:rPr>
          <w:rFonts w:hint="eastAsia" w:ascii="仿宋" w:hAnsi="仿宋" w:eastAsia="仿宋" w:cs="宋体"/>
          <w:b/>
          <w:kern w:val="0"/>
          <w:szCs w:val="21"/>
        </w:rPr>
      </w:pPr>
    </w:p>
    <w:p w14:paraId="5689BAA1">
      <w:pPr>
        <w:numPr>
          <w:ilvl w:val="0"/>
          <w:numId w:val="1"/>
        </w:numPr>
        <w:spacing w:after="240"/>
        <w:outlineLvl w:val="0"/>
        <w:rPr>
          <w:rFonts w:hint="eastAsia" w:ascii="仿宋" w:hAnsi="仿宋" w:eastAsia="仿宋"/>
          <w:b/>
          <w:sz w:val="30"/>
          <w:szCs w:val="30"/>
        </w:rPr>
      </w:pPr>
      <w:r>
        <w:rPr>
          <w:rFonts w:hint="eastAsia" w:ascii="仿宋" w:hAnsi="仿宋" w:eastAsia="仿宋"/>
          <w:b/>
          <w:sz w:val="30"/>
          <w:szCs w:val="30"/>
        </w:rPr>
        <w:t>具体技术要求</w:t>
      </w:r>
    </w:p>
    <w:p w14:paraId="4B648833">
      <w:pPr>
        <w:pStyle w:val="20"/>
        <w:ind w:left="420" w:firstLine="0" w:firstLineChars="0"/>
        <w:rPr>
          <w:rFonts w:hint="eastAsia" w:ascii="仿宋" w:hAnsi="仿宋" w:eastAsia="仿宋"/>
          <w:b/>
          <w:sz w:val="30"/>
          <w:szCs w:val="30"/>
        </w:rPr>
      </w:pPr>
      <w:r>
        <w:rPr>
          <w:rFonts w:hint="eastAsia"/>
          <w:b/>
        </w:rPr>
        <w:t>报价时应仔细阅读技术参数要求，逐项响应，所投标产品性能不得低于采购要求，其中打</w:t>
      </w:r>
      <w:r>
        <w:rPr>
          <w:rFonts w:hint="eastAsia" w:hAnsi="宋体"/>
          <w:color w:val="000000"/>
          <w:sz w:val="24"/>
        </w:rPr>
        <w:t>★</w:t>
      </w:r>
      <w:r>
        <w:rPr>
          <w:rFonts w:hint="eastAsia"/>
          <w:b/>
        </w:rPr>
        <w:t>内容为实质性要求，不允许负偏离，否则视为无效报价。▲内容为关键指标，预中标供应商中标后需根据采购人要求提供纸质相关材料；因采购人要求提供而中标人未及时提供以上资料或中标人虚假应标等导致采购人损失的，采购人有权废除中标资格，且由中标人承担全部责任及损失，并报采监部门按相关规定处罚。</w:t>
      </w:r>
    </w:p>
    <w:p w14:paraId="3012BD0F">
      <w:pPr>
        <w:pStyle w:val="20"/>
        <w:ind w:firstLine="0" w:firstLineChars="0"/>
        <w:jc w:val="left"/>
        <w:rPr>
          <w:rFonts w:hint="eastAsia" w:ascii="仿宋" w:hAnsi="仿宋" w:eastAsia="仿宋"/>
          <w:b/>
          <w:sz w:val="24"/>
        </w:rPr>
      </w:pPr>
    </w:p>
    <w:p w14:paraId="4B523621">
      <w:pPr>
        <w:pStyle w:val="20"/>
        <w:ind w:firstLine="0" w:firstLineChars="0"/>
        <w:jc w:val="left"/>
        <w:outlineLvl w:val="1"/>
        <w:rPr>
          <w:rFonts w:hint="eastAsia" w:ascii="仿宋" w:hAnsi="仿宋" w:eastAsia="仿宋"/>
          <w:b/>
          <w:sz w:val="24"/>
        </w:rPr>
      </w:pPr>
      <w:r>
        <w:rPr>
          <w:rFonts w:hint="eastAsia" w:ascii="仿宋" w:hAnsi="仿宋" w:eastAsia="仿宋"/>
          <w:b/>
          <w:sz w:val="24"/>
        </w:rPr>
        <w:t>（1）管理登录服务器（1台）</w:t>
      </w:r>
    </w:p>
    <w:tbl>
      <w:tblPr>
        <w:tblStyle w:val="10"/>
        <w:tblW w:w="4971" w:type="pct"/>
        <w:tblInd w:w="45" w:type="dxa"/>
        <w:tblLayout w:type="autofit"/>
        <w:tblCellMar>
          <w:top w:w="0" w:type="dxa"/>
          <w:left w:w="108" w:type="dxa"/>
          <w:bottom w:w="0" w:type="dxa"/>
          <w:right w:w="108" w:type="dxa"/>
        </w:tblCellMar>
      </w:tblPr>
      <w:tblGrid>
        <w:gridCol w:w="717"/>
        <w:gridCol w:w="1039"/>
        <w:gridCol w:w="1124"/>
        <w:gridCol w:w="5593"/>
      </w:tblGrid>
      <w:tr w14:paraId="2F0D2AC1">
        <w:tblPrEx>
          <w:tblCellMar>
            <w:top w:w="0" w:type="dxa"/>
            <w:left w:w="108" w:type="dxa"/>
            <w:bottom w:w="0" w:type="dxa"/>
            <w:right w:w="108" w:type="dxa"/>
          </w:tblCellMar>
        </w:tblPrEx>
        <w:trPr>
          <w:trHeight w:val="494"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709D">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284E">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重要性</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BE99">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技术指标</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C290">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招标参数</w:t>
            </w:r>
          </w:p>
        </w:tc>
      </w:tr>
      <w:tr w14:paraId="2405AB8A">
        <w:tblPrEx>
          <w:tblCellMar>
            <w:top w:w="0" w:type="dxa"/>
            <w:left w:w="108" w:type="dxa"/>
            <w:bottom w:w="0" w:type="dxa"/>
            <w:right w:w="108" w:type="dxa"/>
          </w:tblCellMar>
        </w:tblPrEx>
        <w:trPr>
          <w:trHeight w:val="4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67D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E0F0">
            <w:pPr>
              <w:jc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DA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机型</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BD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2U双路机架式服务器</w:t>
            </w:r>
          </w:p>
        </w:tc>
      </w:tr>
      <w:tr w14:paraId="6CE28F96">
        <w:tblPrEx>
          <w:tblCellMar>
            <w:top w:w="0" w:type="dxa"/>
            <w:left w:w="108" w:type="dxa"/>
            <w:bottom w:w="0" w:type="dxa"/>
            <w:right w:w="108" w:type="dxa"/>
          </w:tblCellMar>
        </w:tblPrEx>
        <w:trPr>
          <w:trHeight w:val="709"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F8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0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40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处理器</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D4E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配置≥2颗X86处理器，每颗CPU核心数≥16核，≥32线程，每颗CPU基频≥2.4GHz。</w:t>
            </w:r>
          </w:p>
        </w:tc>
      </w:tr>
      <w:tr w14:paraId="51FCC578">
        <w:tblPrEx>
          <w:tblCellMar>
            <w:top w:w="0" w:type="dxa"/>
            <w:left w:w="108" w:type="dxa"/>
            <w:bottom w:w="0" w:type="dxa"/>
            <w:right w:w="108" w:type="dxa"/>
          </w:tblCellMar>
        </w:tblPrEx>
        <w:trPr>
          <w:trHeight w:val="756"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2E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4CF0">
            <w:pPr>
              <w:jc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8D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内存</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47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配置≥128GB DDR4 3200MHz RDIMM内存，支持≥32个内存插槽，最大可支持4TB内存容量，支持内存ECC保护</w:t>
            </w:r>
          </w:p>
        </w:tc>
      </w:tr>
      <w:tr w14:paraId="1F8B5645">
        <w:tblPrEx>
          <w:tblCellMar>
            <w:top w:w="0" w:type="dxa"/>
            <w:left w:w="108" w:type="dxa"/>
            <w:bottom w:w="0" w:type="dxa"/>
            <w:right w:w="108" w:type="dxa"/>
          </w:tblCellMar>
        </w:tblPrEx>
        <w:trPr>
          <w:trHeight w:val="9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63F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E113">
            <w:pPr>
              <w:jc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E34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硬盘容量</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DA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配置2块≥480GB SSD。</w:t>
            </w:r>
          </w:p>
        </w:tc>
      </w:tr>
      <w:tr w14:paraId="07407322">
        <w:tblPrEx>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29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78C">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CA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硬盘扩展</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810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支持≥16个3.5英寸或≥32个2.5英寸热插拔硬盘槽，兼容NVMe SSD，支持主板板载≥2个M.2 SSD，兼容PCIe 和SATA规格，支持2个SATA M.2硬件RAID1，提供证明文件；</w:t>
            </w:r>
          </w:p>
        </w:tc>
      </w:tr>
      <w:tr w14:paraId="3392A78A">
        <w:tblPrEx>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DB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01B">
            <w:pPr>
              <w:jc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6E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硬盘控制器</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08D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配置≥8口SAS 硬盘控制器，支持RAID0/1。</w:t>
            </w:r>
          </w:p>
        </w:tc>
      </w:tr>
      <w:tr w14:paraId="5D5F93EE">
        <w:tblPrEx>
          <w:tblCellMar>
            <w:top w:w="0" w:type="dxa"/>
            <w:left w:w="108" w:type="dxa"/>
            <w:bottom w:w="0" w:type="dxa"/>
            <w:right w:w="108" w:type="dxa"/>
          </w:tblCellMar>
        </w:tblPrEx>
        <w:trPr>
          <w:trHeight w:val="7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1D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C99B">
            <w:pPr>
              <w:jc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D4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网卡</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62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配置≥2口千兆电口网卡；≥2口10GE光接口网卡（含光模块）；</w:t>
            </w:r>
          </w:p>
        </w:tc>
      </w:tr>
      <w:tr w14:paraId="5971D7EA">
        <w:tblPrEx>
          <w:tblCellMar>
            <w:top w:w="0" w:type="dxa"/>
            <w:left w:w="108" w:type="dxa"/>
            <w:bottom w:w="0" w:type="dxa"/>
            <w:right w:w="108" w:type="dxa"/>
          </w:tblCellMar>
        </w:tblPrEx>
        <w:trPr>
          <w:trHeight w:val="492"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C21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6697">
            <w:pPr>
              <w:widowControl/>
              <w:jc w:val="center"/>
              <w:textAlignment w:val="center"/>
              <w:rPr>
                <w:rFonts w:hint="eastAsia" w:ascii="仿宋" w:hAnsi="仿宋" w:eastAsia="仿宋" w:cs="仿宋"/>
                <w:color w:val="000000"/>
                <w:szCs w:val="21"/>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DEE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扩展插槽</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74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支持≥10个PCI-E 4.0插槽；</w:t>
            </w:r>
          </w:p>
        </w:tc>
      </w:tr>
      <w:tr w14:paraId="232F9C63">
        <w:tblPrEx>
          <w:tblCellMar>
            <w:top w:w="0" w:type="dxa"/>
            <w:left w:w="108" w:type="dxa"/>
            <w:bottom w:w="0" w:type="dxa"/>
            <w:right w:w="108" w:type="dxa"/>
          </w:tblCellMar>
        </w:tblPrEx>
        <w:trPr>
          <w:trHeight w:val="445"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26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1E07">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6F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BIOS中文界面</w:t>
            </w:r>
          </w:p>
        </w:tc>
        <w:tc>
          <w:tcPr>
            <w:tcW w:w="3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D3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支持BIOS中英文界面，并提供截图证明</w:t>
            </w:r>
          </w:p>
        </w:tc>
      </w:tr>
      <w:tr w14:paraId="0D348CCA">
        <w:tblPrEx>
          <w:tblCellMar>
            <w:top w:w="0" w:type="dxa"/>
            <w:left w:w="108" w:type="dxa"/>
            <w:bottom w:w="0" w:type="dxa"/>
            <w:right w:w="108" w:type="dxa"/>
          </w:tblCellMar>
        </w:tblPrEx>
        <w:trPr>
          <w:trHeight w:val="7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A4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FF75">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E4F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安全</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C07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支持TCM\TPM安全模块，用户可以设定想要阻止访问BMC的黑名单，或者设定允许访问BMC的白名单，提升安全性，并提供截图证明</w:t>
            </w:r>
          </w:p>
        </w:tc>
      </w:tr>
      <w:tr w14:paraId="104DE6B6">
        <w:tblPrEx>
          <w:tblCellMar>
            <w:top w:w="0" w:type="dxa"/>
            <w:left w:w="108" w:type="dxa"/>
            <w:bottom w:w="0" w:type="dxa"/>
            <w:right w:w="108" w:type="dxa"/>
          </w:tblCellMar>
        </w:tblPrEx>
        <w:trPr>
          <w:trHeight w:val="9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8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278A">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72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灵活维护</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30C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支持自研工具，结合BMC实现带外获取OS版本、OS下CPU内存使用率、网口状态、系统磁盘分区等信息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支持自研工具，批量更新BIOS和BMC固件，以及BIOS和BMC部分主流选项修改；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提供系统截图证明文件</w:t>
            </w:r>
          </w:p>
        </w:tc>
      </w:tr>
    </w:tbl>
    <w:p w14:paraId="03A315C1">
      <w:pPr>
        <w:pStyle w:val="20"/>
        <w:ind w:left="420" w:firstLine="0" w:firstLineChars="0"/>
        <w:rPr>
          <w:rFonts w:hint="eastAsia" w:ascii="仿宋" w:hAnsi="仿宋" w:eastAsia="仿宋"/>
          <w:b/>
          <w:sz w:val="30"/>
          <w:szCs w:val="30"/>
        </w:rPr>
      </w:pPr>
    </w:p>
    <w:p w14:paraId="7EDD9034">
      <w:pPr>
        <w:pStyle w:val="20"/>
        <w:ind w:firstLine="0" w:firstLineChars="0"/>
        <w:jc w:val="left"/>
        <w:outlineLvl w:val="1"/>
        <w:rPr>
          <w:rFonts w:hint="eastAsia" w:ascii="仿宋" w:hAnsi="仿宋" w:eastAsia="仿宋"/>
          <w:b/>
          <w:sz w:val="24"/>
        </w:rPr>
      </w:pPr>
      <w:r>
        <w:rPr>
          <w:rFonts w:hint="eastAsia" w:ascii="仿宋" w:hAnsi="仿宋" w:eastAsia="仿宋"/>
          <w:b/>
          <w:sz w:val="24"/>
        </w:rPr>
        <w:t>（2）计算服务器（3台）</w:t>
      </w:r>
    </w:p>
    <w:tbl>
      <w:tblPr>
        <w:tblStyle w:val="10"/>
        <w:tblW w:w="0" w:type="auto"/>
        <w:tblInd w:w="98" w:type="dxa"/>
        <w:tblLayout w:type="fixed"/>
        <w:tblCellMar>
          <w:top w:w="0" w:type="dxa"/>
          <w:left w:w="108" w:type="dxa"/>
          <w:bottom w:w="0" w:type="dxa"/>
          <w:right w:w="108" w:type="dxa"/>
        </w:tblCellMar>
      </w:tblPr>
      <w:tblGrid>
        <w:gridCol w:w="653"/>
        <w:gridCol w:w="1060"/>
        <w:gridCol w:w="1114"/>
        <w:gridCol w:w="5597"/>
      </w:tblGrid>
      <w:tr w14:paraId="3614B87D">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BC34">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FF4">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重要性</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2941">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技术指标</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0AE0">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招标参数</w:t>
            </w:r>
          </w:p>
        </w:tc>
      </w:tr>
      <w:tr w14:paraId="72CC765D">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E3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5E5C">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3C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机型</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D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2U双路机架式服务器</w:t>
            </w:r>
          </w:p>
        </w:tc>
      </w:tr>
      <w:tr w14:paraId="38563DF4">
        <w:tblPrEx>
          <w:tblCellMar>
            <w:top w:w="0" w:type="dxa"/>
            <w:left w:w="108" w:type="dxa"/>
            <w:bottom w:w="0" w:type="dxa"/>
            <w:right w:w="108" w:type="dxa"/>
          </w:tblCellMar>
        </w:tblPrEx>
        <w:trPr>
          <w:trHeight w:val="6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E4D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1B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38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处理器</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25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配置≥2颗X86处理器，每颗CPU核心数≥64核，≥128线程，每颗CPU基频≥2.45GHz。</w:t>
            </w:r>
          </w:p>
        </w:tc>
      </w:tr>
      <w:tr w14:paraId="4ECEB6FE">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D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723">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A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内存</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34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配置≥1024GB DDR5 4800MHz ECC RDIMM内存</w:t>
            </w:r>
          </w:p>
        </w:tc>
      </w:tr>
      <w:tr w14:paraId="243264D9">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3A9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8A72">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C1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硬盘容量</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5B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配置≥2块 480GB SSD。</w:t>
            </w:r>
          </w:p>
        </w:tc>
      </w:tr>
      <w:tr w14:paraId="0DB4B7A8">
        <w:tblPrEx>
          <w:tblCellMar>
            <w:top w:w="0" w:type="dxa"/>
            <w:left w:w="108" w:type="dxa"/>
            <w:bottom w:w="0" w:type="dxa"/>
            <w:right w:w="108" w:type="dxa"/>
          </w:tblCellMar>
        </w:tblPrEx>
        <w:trPr>
          <w:trHeight w:val="6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B8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9DC1">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A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硬盘扩展</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8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支持≥16个3.5英寸或≥32个2.5英寸热插拔硬盘槽，支持≥28个热插拔NVMe SSD，提供证明文件</w:t>
            </w:r>
          </w:p>
        </w:tc>
      </w:tr>
      <w:tr w14:paraId="45FE990F">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ED0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9430">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9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SSD</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F5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支持主板板载≥2个SATA/PCIe M.2接口，提供证明文件</w:t>
            </w:r>
          </w:p>
        </w:tc>
      </w:tr>
      <w:tr w14:paraId="60A5D1CF">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93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8E63">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F6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EMMC</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F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支持一颗≥16G EMMC芯片，可用于存储日志及OS安装，提供证明文件</w:t>
            </w:r>
          </w:p>
        </w:tc>
      </w:tr>
      <w:tr w14:paraId="4446958E">
        <w:tblPrEx>
          <w:tblCellMar>
            <w:top w:w="0" w:type="dxa"/>
            <w:left w:w="108" w:type="dxa"/>
            <w:bottom w:w="0" w:type="dxa"/>
            <w:right w:w="108" w:type="dxa"/>
          </w:tblCellMar>
        </w:tblPrEx>
        <w:trPr>
          <w:trHeight w:val="6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6E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22E2">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0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网络</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6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配置≥2口千兆电口网卡；≥2口10GE光接口网卡（含光模块）；</w:t>
            </w:r>
          </w:p>
        </w:tc>
      </w:tr>
      <w:tr w14:paraId="63ECC534">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220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109">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57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硬盘控制器</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516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配置≥8口SAS 硬盘控制器，支持RAID0/1。</w:t>
            </w:r>
          </w:p>
        </w:tc>
      </w:tr>
      <w:tr w14:paraId="55C92C0E">
        <w:tblPrEx>
          <w:tblCellMar>
            <w:top w:w="0" w:type="dxa"/>
            <w:left w:w="108" w:type="dxa"/>
            <w:bottom w:w="0" w:type="dxa"/>
            <w:right w:w="108" w:type="dxa"/>
          </w:tblCellMar>
        </w:tblPrEx>
        <w:trPr>
          <w:trHeight w:val="6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2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5BBA">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D9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扩展插槽</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29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支持≥12个PCIe 5.0插槽，支持≥1个内置硬盘控制器专用插槽，提供证明文件</w:t>
            </w:r>
          </w:p>
        </w:tc>
      </w:tr>
      <w:tr w14:paraId="00E41EA8">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77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4D9">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7D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USB扩展</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9B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支持≥5个USB3.0扩展接口，提供证明文件</w:t>
            </w:r>
          </w:p>
        </w:tc>
      </w:tr>
      <w:tr w14:paraId="41A6711C">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03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D94D">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F5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电源</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F0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配置热插拔铂金1+1冗余电源，单个电源功率可支持/800W/1300W/2000W/2200W</w:t>
            </w:r>
          </w:p>
        </w:tc>
      </w:tr>
      <w:tr w14:paraId="1868809C">
        <w:tblPrEx>
          <w:tblCellMar>
            <w:top w:w="0" w:type="dxa"/>
            <w:left w:w="108" w:type="dxa"/>
            <w:bottom w:w="0" w:type="dxa"/>
            <w:right w:w="108" w:type="dxa"/>
          </w:tblCellMar>
        </w:tblPrEx>
        <w:trPr>
          <w:trHeight w:val="3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BE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B565">
            <w:pPr>
              <w:jc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CC2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风扇</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BA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支持6个风扇，支持每个风扇单独调速，支持N+2冗余风扇</w:t>
            </w:r>
          </w:p>
        </w:tc>
      </w:tr>
      <w:tr w14:paraId="222D020A">
        <w:tblPrEx>
          <w:tblCellMar>
            <w:top w:w="0" w:type="dxa"/>
            <w:left w:w="108" w:type="dxa"/>
            <w:bottom w:w="0" w:type="dxa"/>
            <w:right w:w="108" w:type="dxa"/>
          </w:tblCellMar>
        </w:tblPrEx>
        <w:trPr>
          <w:trHeight w:val="198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12E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3323">
            <w:pPr>
              <w:widowControl/>
              <w:jc w:val="center"/>
              <w:textAlignment w:val="center"/>
              <w:rPr>
                <w:rFonts w:hint="eastAsia" w:ascii="仿宋" w:hAnsi="仿宋" w:eastAsia="仿宋" w:cs="仿宋"/>
                <w:color w:val="000000"/>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E4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管理</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D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 集成系统管理芯片，提供iKVM和KVM Over IP高级管理功能，本地固件更新、错误日志，提供系统状况的可视显示；配置独立的远程管理控制端口，支持远程监控图形界面、支持H5虚拟键盘、支持VNC功能, 可实现与操作系统无关的远程对服务器的完全控制，包括远程的开机、关机、重启、虚拟设备挂载等操作；可实现监控服务器内部主要部件的状态，包括CPU、内存、硬盘、风扇、电源；支持带外获取所有板卡的SN号；支持RAID卡配置带外导入导出。</w:t>
            </w:r>
          </w:p>
        </w:tc>
      </w:tr>
      <w:tr w14:paraId="665664E9">
        <w:tblPrEx>
          <w:tblCellMar>
            <w:top w:w="0" w:type="dxa"/>
            <w:left w:w="108" w:type="dxa"/>
            <w:bottom w:w="0" w:type="dxa"/>
            <w:right w:w="108" w:type="dxa"/>
          </w:tblCellMar>
        </w:tblPrEx>
        <w:trPr>
          <w:trHeight w:val="132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25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6A48">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260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运维维护</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4B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支持自研工具，结合BMC实现带外获取OS版本、OS下CPU内存使用率、网口状态、系统磁盘分区等信息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支持自研工具，批量更新BIOS和BMC固件，以及BIOS和BMC部分主流选项修改；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提供系统截图证明文件</w:t>
            </w:r>
          </w:p>
        </w:tc>
      </w:tr>
      <w:tr w14:paraId="6C1464C5">
        <w:tblPrEx>
          <w:tblCellMar>
            <w:top w:w="0" w:type="dxa"/>
            <w:left w:w="108" w:type="dxa"/>
            <w:bottom w:w="0" w:type="dxa"/>
            <w:right w:w="108" w:type="dxa"/>
          </w:tblCellMar>
        </w:tblPrEx>
        <w:trPr>
          <w:trHeight w:val="330" w:hRule="atLeast"/>
        </w:trPr>
        <w:tc>
          <w:tcPr>
            <w:tcW w:w="653" w:type="dxa"/>
            <w:vMerge w:val="restart"/>
            <w:tcBorders>
              <w:top w:val="single" w:color="000000" w:sz="4" w:space="0"/>
              <w:left w:val="single" w:color="000000" w:sz="4" w:space="0"/>
              <w:right w:val="single" w:color="000000" w:sz="4" w:space="0"/>
            </w:tcBorders>
            <w:shd w:val="clear" w:color="auto" w:fill="auto"/>
            <w:noWrap/>
            <w:vAlign w:val="center"/>
          </w:tcPr>
          <w:p w14:paraId="088DF7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1060" w:type="dxa"/>
            <w:vMerge w:val="restart"/>
            <w:tcBorders>
              <w:top w:val="single" w:color="000000" w:sz="4" w:space="0"/>
              <w:left w:val="single" w:color="000000" w:sz="4" w:space="0"/>
              <w:right w:val="single" w:color="000000" w:sz="4" w:space="0"/>
            </w:tcBorders>
            <w:shd w:val="clear" w:color="auto" w:fill="auto"/>
            <w:noWrap/>
            <w:vAlign w:val="center"/>
          </w:tcPr>
          <w:p w14:paraId="7E71248E">
            <w:pPr>
              <w:widowControl/>
              <w:jc w:val="center"/>
              <w:textAlignment w:val="center"/>
              <w:rPr>
                <w:rFonts w:hint="eastAsia" w:ascii="仿宋" w:hAnsi="仿宋" w:eastAsia="仿宋" w:cs="仿宋"/>
                <w:color w:val="000000"/>
                <w:szCs w:val="21"/>
              </w:rPr>
            </w:pPr>
            <w:r>
              <w:rPr>
                <w:rFonts w:hint="eastAsia" w:ascii="宋体" w:hAnsi="宋体" w:cs="Arial"/>
                <w:sz w:val="24"/>
              </w:rPr>
              <w:t>▲</w:t>
            </w:r>
            <w:r>
              <w:rPr>
                <w:rFonts w:hint="eastAsia" w:ascii="仿宋" w:hAnsi="仿宋" w:eastAsia="仿宋" w:cs="仿宋"/>
                <w:color w:val="000000"/>
                <w:kern w:val="0"/>
                <w:szCs w:val="21"/>
                <w:lang w:bidi="ar"/>
              </w:rPr>
              <w:t xml:space="preserve">  </w:t>
            </w:r>
          </w:p>
        </w:tc>
        <w:tc>
          <w:tcPr>
            <w:tcW w:w="1114" w:type="dxa"/>
            <w:vMerge w:val="restart"/>
            <w:tcBorders>
              <w:top w:val="single" w:color="000000" w:sz="4" w:space="0"/>
              <w:left w:val="single" w:color="000000" w:sz="4" w:space="0"/>
              <w:right w:val="single" w:color="000000" w:sz="4" w:space="0"/>
            </w:tcBorders>
            <w:shd w:val="clear" w:color="auto" w:fill="auto"/>
            <w:vAlign w:val="center"/>
          </w:tcPr>
          <w:p w14:paraId="507222F6">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产品资质</w:t>
            </w:r>
          </w:p>
          <w:p w14:paraId="04AB9BB7">
            <w:pPr>
              <w:widowControl/>
              <w:jc w:val="center"/>
              <w:textAlignment w:val="center"/>
              <w:rPr>
                <w:rFonts w:hint="eastAsia" w:ascii="仿宋" w:hAnsi="仿宋" w:eastAsia="仿宋" w:cs="仿宋"/>
                <w:color w:val="000000"/>
                <w:szCs w:val="21"/>
              </w:rPr>
            </w:pP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0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以下产品资质，每提供一个加1分。</w:t>
            </w:r>
          </w:p>
          <w:p w14:paraId="3115B4CC">
            <w:pPr>
              <w:widowControl/>
              <w:numPr>
                <w:ilvl w:val="0"/>
                <w:numId w:val="2"/>
              </w:numPr>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所投标产品型号提供产品碳足迹核查申明证书</w:t>
            </w:r>
          </w:p>
        </w:tc>
      </w:tr>
      <w:tr w14:paraId="64436AD7">
        <w:tblPrEx>
          <w:tblCellMar>
            <w:top w:w="0" w:type="dxa"/>
            <w:left w:w="108" w:type="dxa"/>
            <w:bottom w:w="0" w:type="dxa"/>
            <w:right w:w="108" w:type="dxa"/>
          </w:tblCellMar>
        </w:tblPrEx>
        <w:trPr>
          <w:trHeight w:val="660" w:hRule="atLeast"/>
        </w:trPr>
        <w:tc>
          <w:tcPr>
            <w:tcW w:w="653" w:type="dxa"/>
            <w:vMerge w:val="continue"/>
            <w:tcBorders>
              <w:left w:val="single" w:color="000000" w:sz="4" w:space="0"/>
              <w:right w:val="single" w:color="000000" w:sz="4" w:space="0"/>
            </w:tcBorders>
            <w:shd w:val="clear" w:color="auto" w:fill="auto"/>
            <w:noWrap/>
            <w:vAlign w:val="center"/>
          </w:tcPr>
          <w:p w14:paraId="01A4829D">
            <w:pPr>
              <w:widowControl/>
              <w:jc w:val="center"/>
              <w:textAlignment w:val="center"/>
              <w:rPr>
                <w:rFonts w:hint="eastAsia" w:ascii="仿宋" w:hAnsi="仿宋" w:eastAsia="仿宋" w:cs="仿宋"/>
                <w:color w:val="000000"/>
                <w:szCs w:val="21"/>
              </w:rPr>
            </w:pPr>
          </w:p>
        </w:tc>
        <w:tc>
          <w:tcPr>
            <w:tcW w:w="1060" w:type="dxa"/>
            <w:vMerge w:val="continue"/>
            <w:tcBorders>
              <w:left w:val="single" w:color="000000" w:sz="4" w:space="0"/>
              <w:right w:val="single" w:color="000000" w:sz="4" w:space="0"/>
            </w:tcBorders>
            <w:shd w:val="clear" w:color="auto" w:fill="auto"/>
            <w:noWrap/>
            <w:vAlign w:val="center"/>
          </w:tcPr>
          <w:p w14:paraId="39857AA2">
            <w:pPr>
              <w:widowControl/>
              <w:jc w:val="center"/>
              <w:textAlignment w:val="center"/>
              <w:rPr>
                <w:rFonts w:hint="eastAsia" w:ascii="仿宋" w:hAnsi="仿宋" w:eastAsia="仿宋" w:cs="仿宋"/>
                <w:color w:val="000000"/>
                <w:szCs w:val="21"/>
              </w:rPr>
            </w:pPr>
          </w:p>
        </w:tc>
        <w:tc>
          <w:tcPr>
            <w:tcW w:w="1114" w:type="dxa"/>
            <w:vMerge w:val="continue"/>
            <w:tcBorders>
              <w:left w:val="single" w:color="000000" w:sz="4" w:space="0"/>
              <w:right w:val="single" w:color="000000" w:sz="4" w:space="0"/>
            </w:tcBorders>
            <w:shd w:val="clear" w:color="auto" w:fill="auto"/>
            <w:vAlign w:val="center"/>
          </w:tcPr>
          <w:p w14:paraId="35891DE2">
            <w:pPr>
              <w:widowControl/>
              <w:jc w:val="center"/>
              <w:textAlignment w:val="center"/>
              <w:rPr>
                <w:rFonts w:hint="eastAsia" w:ascii="仿宋" w:hAnsi="仿宋" w:eastAsia="仿宋" w:cs="仿宋"/>
                <w:color w:val="000000"/>
                <w:szCs w:val="21"/>
              </w:rPr>
            </w:pP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8D3">
            <w:pPr>
              <w:widowControl/>
              <w:numPr>
                <w:ilvl w:val="0"/>
                <w:numId w:val="2"/>
              </w:numPr>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所投产品具备平均故障间隔时间MTBF&gt;=20W小时产品检验证书并提供证明材料，需明确体现所投产品型号并加盖CMA和CNAS公章</w:t>
            </w:r>
          </w:p>
        </w:tc>
      </w:tr>
      <w:tr w14:paraId="047BA0D1">
        <w:tblPrEx>
          <w:tblCellMar>
            <w:top w:w="0" w:type="dxa"/>
            <w:left w:w="108" w:type="dxa"/>
            <w:bottom w:w="0" w:type="dxa"/>
            <w:right w:w="108" w:type="dxa"/>
          </w:tblCellMar>
        </w:tblPrEx>
        <w:trPr>
          <w:trHeight w:val="660" w:hRule="atLeast"/>
        </w:trPr>
        <w:tc>
          <w:tcPr>
            <w:tcW w:w="653" w:type="dxa"/>
            <w:vMerge w:val="continue"/>
            <w:tcBorders>
              <w:left w:val="single" w:color="000000" w:sz="4" w:space="0"/>
              <w:right w:val="single" w:color="000000" w:sz="4" w:space="0"/>
            </w:tcBorders>
            <w:shd w:val="clear" w:color="auto" w:fill="auto"/>
            <w:noWrap/>
            <w:vAlign w:val="center"/>
          </w:tcPr>
          <w:p w14:paraId="1C53BBF6">
            <w:pPr>
              <w:widowControl/>
              <w:jc w:val="center"/>
              <w:textAlignment w:val="center"/>
              <w:rPr>
                <w:rFonts w:hint="eastAsia" w:ascii="仿宋" w:hAnsi="仿宋" w:eastAsia="仿宋" w:cs="仿宋"/>
                <w:color w:val="000000"/>
                <w:szCs w:val="21"/>
              </w:rPr>
            </w:pPr>
          </w:p>
        </w:tc>
        <w:tc>
          <w:tcPr>
            <w:tcW w:w="1060" w:type="dxa"/>
            <w:vMerge w:val="continue"/>
            <w:tcBorders>
              <w:left w:val="single" w:color="000000" w:sz="4" w:space="0"/>
              <w:right w:val="single" w:color="000000" w:sz="4" w:space="0"/>
            </w:tcBorders>
            <w:shd w:val="clear" w:color="auto" w:fill="auto"/>
            <w:noWrap/>
            <w:vAlign w:val="center"/>
          </w:tcPr>
          <w:p w14:paraId="053D0600">
            <w:pPr>
              <w:widowControl/>
              <w:jc w:val="center"/>
              <w:textAlignment w:val="center"/>
              <w:rPr>
                <w:rFonts w:hint="eastAsia" w:ascii="仿宋" w:hAnsi="仿宋" w:eastAsia="仿宋" w:cs="仿宋"/>
                <w:color w:val="000000"/>
                <w:szCs w:val="21"/>
              </w:rPr>
            </w:pPr>
          </w:p>
        </w:tc>
        <w:tc>
          <w:tcPr>
            <w:tcW w:w="1114" w:type="dxa"/>
            <w:vMerge w:val="continue"/>
            <w:tcBorders>
              <w:left w:val="single" w:color="000000" w:sz="4" w:space="0"/>
              <w:right w:val="single" w:color="000000" w:sz="4" w:space="0"/>
            </w:tcBorders>
            <w:shd w:val="clear" w:color="auto" w:fill="auto"/>
            <w:vAlign w:val="center"/>
          </w:tcPr>
          <w:p w14:paraId="5E78FBEE">
            <w:pPr>
              <w:widowControl/>
              <w:jc w:val="center"/>
              <w:textAlignment w:val="center"/>
              <w:rPr>
                <w:rFonts w:hint="eastAsia" w:ascii="仿宋" w:hAnsi="仿宋" w:eastAsia="仿宋" w:cs="仿宋"/>
                <w:color w:val="000000"/>
                <w:szCs w:val="21"/>
              </w:rPr>
            </w:pP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C3E9">
            <w:pPr>
              <w:widowControl/>
              <w:numPr>
                <w:ilvl w:val="0"/>
                <w:numId w:val="2"/>
              </w:numPr>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所投产品型号电磁抗干扰能力满足GB/T 17626.2-2018《电磁兼容 试验和测量技术 静电放电抗扰度试验》，提供测试报告并加盖CMA和CNAS公章</w:t>
            </w:r>
          </w:p>
        </w:tc>
      </w:tr>
      <w:tr w14:paraId="6B13E3E9">
        <w:tblPrEx>
          <w:tblCellMar>
            <w:top w:w="0" w:type="dxa"/>
            <w:left w:w="108" w:type="dxa"/>
            <w:bottom w:w="0" w:type="dxa"/>
            <w:right w:w="108" w:type="dxa"/>
          </w:tblCellMar>
        </w:tblPrEx>
        <w:trPr>
          <w:trHeight w:val="660" w:hRule="atLeast"/>
        </w:trPr>
        <w:tc>
          <w:tcPr>
            <w:tcW w:w="653" w:type="dxa"/>
            <w:vMerge w:val="continue"/>
            <w:tcBorders>
              <w:left w:val="single" w:color="000000" w:sz="4" w:space="0"/>
              <w:right w:val="single" w:color="000000" w:sz="4" w:space="0"/>
            </w:tcBorders>
            <w:shd w:val="clear" w:color="auto" w:fill="auto"/>
            <w:noWrap/>
            <w:vAlign w:val="center"/>
          </w:tcPr>
          <w:p w14:paraId="4C3E928D">
            <w:pPr>
              <w:widowControl/>
              <w:jc w:val="center"/>
              <w:textAlignment w:val="center"/>
              <w:rPr>
                <w:rFonts w:hint="eastAsia" w:ascii="仿宋" w:hAnsi="仿宋" w:eastAsia="仿宋" w:cs="仿宋"/>
                <w:color w:val="000000"/>
                <w:szCs w:val="21"/>
              </w:rPr>
            </w:pPr>
          </w:p>
        </w:tc>
        <w:tc>
          <w:tcPr>
            <w:tcW w:w="1060" w:type="dxa"/>
            <w:vMerge w:val="continue"/>
            <w:tcBorders>
              <w:left w:val="single" w:color="000000" w:sz="4" w:space="0"/>
              <w:right w:val="single" w:color="000000" w:sz="4" w:space="0"/>
            </w:tcBorders>
            <w:shd w:val="clear" w:color="auto" w:fill="auto"/>
            <w:noWrap/>
            <w:vAlign w:val="center"/>
          </w:tcPr>
          <w:p w14:paraId="4BF5B661">
            <w:pPr>
              <w:widowControl/>
              <w:jc w:val="center"/>
              <w:textAlignment w:val="center"/>
              <w:rPr>
                <w:rFonts w:hint="eastAsia" w:ascii="仿宋" w:hAnsi="仿宋" w:eastAsia="仿宋" w:cs="仿宋"/>
                <w:color w:val="000000"/>
                <w:szCs w:val="21"/>
              </w:rPr>
            </w:pPr>
          </w:p>
        </w:tc>
        <w:tc>
          <w:tcPr>
            <w:tcW w:w="1114" w:type="dxa"/>
            <w:vMerge w:val="continue"/>
            <w:tcBorders>
              <w:left w:val="single" w:color="000000" w:sz="4" w:space="0"/>
              <w:right w:val="single" w:color="000000" w:sz="4" w:space="0"/>
            </w:tcBorders>
            <w:shd w:val="clear" w:color="auto" w:fill="auto"/>
            <w:vAlign w:val="center"/>
          </w:tcPr>
          <w:p w14:paraId="3DCFC8B8">
            <w:pPr>
              <w:widowControl/>
              <w:jc w:val="center"/>
              <w:textAlignment w:val="center"/>
              <w:rPr>
                <w:rFonts w:hint="eastAsia" w:ascii="仿宋" w:hAnsi="仿宋" w:eastAsia="仿宋" w:cs="仿宋"/>
                <w:color w:val="000000"/>
                <w:szCs w:val="21"/>
              </w:rPr>
            </w:pP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36D">
            <w:pPr>
              <w:widowControl/>
              <w:numPr>
                <w:ilvl w:val="0"/>
                <w:numId w:val="2"/>
              </w:numPr>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所投产品型号外观、结构、噪声、能耗满足GB/T9813.3-2017标准，提供测试报告并加盖CMA和CNAS公章</w:t>
            </w:r>
          </w:p>
        </w:tc>
      </w:tr>
      <w:tr w14:paraId="3E5BF66D">
        <w:tblPrEx>
          <w:tblCellMar>
            <w:top w:w="0" w:type="dxa"/>
            <w:left w:w="108" w:type="dxa"/>
            <w:bottom w:w="0" w:type="dxa"/>
            <w:right w:w="108" w:type="dxa"/>
          </w:tblCellMar>
        </w:tblPrEx>
        <w:trPr>
          <w:trHeight w:val="660" w:hRule="atLeast"/>
        </w:trPr>
        <w:tc>
          <w:tcPr>
            <w:tcW w:w="653" w:type="dxa"/>
            <w:vMerge w:val="continue"/>
            <w:tcBorders>
              <w:left w:val="single" w:color="000000" w:sz="4" w:space="0"/>
              <w:bottom w:val="single" w:color="000000" w:sz="4" w:space="0"/>
              <w:right w:val="single" w:color="000000" w:sz="4" w:space="0"/>
            </w:tcBorders>
            <w:shd w:val="clear" w:color="auto" w:fill="auto"/>
            <w:noWrap/>
            <w:vAlign w:val="center"/>
          </w:tcPr>
          <w:p w14:paraId="107CC550">
            <w:pPr>
              <w:widowControl/>
              <w:jc w:val="center"/>
              <w:textAlignment w:val="center"/>
              <w:rPr>
                <w:rFonts w:hint="eastAsia" w:ascii="仿宋" w:hAnsi="仿宋" w:eastAsia="仿宋" w:cs="仿宋"/>
                <w:color w:val="000000"/>
                <w:szCs w:val="21"/>
              </w:rPr>
            </w:pPr>
          </w:p>
        </w:tc>
        <w:tc>
          <w:tcPr>
            <w:tcW w:w="1060" w:type="dxa"/>
            <w:vMerge w:val="continue"/>
            <w:tcBorders>
              <w:left w:val="single" w:color="000000" w:sz="4" w:space="0"/>
              <w:bottom w:val="single" w:color="000000" w:sz="4" w:space="0"/>
              <w:right w:val="single" w:color="000000" w:sz="4" w:space="0"/>
            </w:tcBorders>
            <w:shd w:val="clear" w:color="auto" w:fill="auto"/>
            <w:noWrap/>
            <w:vAlign w:val="center"/>
          </w:tcPr>
          <w:p w14:paraId="1274269B">
            <w:pPr>
              <w:widowControl/>
              <w:jc w:val="center"/>
              <w:textAlignment w:val="center"/>
              <w:rPr>
                <w:rFonts w:hint="eastAsia" w:ascii="仿宋" w:hAnsi="仿宋" w:eastAsia="仿宋" w:cs="仿宋"/>
                <w:color w:val="000000"/>
                <w:szCs w:val="21"/>
              </w:rPr>
            </w:pPr>
          </w:p>
        </w:tc>
        <w:tc>
          <w:tcPr>
            <w:tcW w:w="1114" w:type="dxa"/>
            <w:vMerge w:val="continue"/>
            <w:tcBorders>
              <w:left w:val="single" w:color="000000" w:sz="4" w:space="0"/>
              <w:bottom w:val="single" w:color="000000" w:sz="4" w:space="0"/>
              <w:right w:val="single" w:color="000000" w:sz="4" w:space="0"/>
            </w:tcBorders>
            <w:shd w:val="clear" w:color="auto" w:fill="auto"/>
            <w:vAlign w:val="center"/>
          </w:tcPr>
          <w:p w14:paraId="784B34C4">
            <w:pPr>
              <w:widowControl/>
              <w:jc w:val="center"/>
              <w:textAlignment w:val="center"/>
              <w:rPr>
                <w:rFonts w:hint="eastAsia" w:ascii="仿宋" w:hAnsi="仿宋" w:eastAsia="仿宋" w:cs="仿宋"/>
                <w:color w:val="000000"/>
                <w:szCs w:val="21"/>
              </w:rPr>
            </w:pP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5B73">
            <w:pPr>
              <w:widowControl/>
              <w:numPr>
                <w:ilvl w:val="0"/>
                <w:numId w:val="2"/>
              </w:numPr>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所投产品型号可靠性满足GB/T2423标准，提供高低温、盐雾、高低气压、震动、冲击测试报告并加盖CMA和CNAS公章</w:t>
            </w:r>
          </w:p>
        </w:tc>
      </w:tr>
    </w:tbl>
    <w:p w14:paraId="6B618B10">
      <w:pPr>
        <w:pStyle w:val="20"/>
        <w:ind w:firstLine="0" w:firstLineChars="0"/>
        <w:jc w:val="left"/>
        <w:rPr>
          <w:rFonts w:hint="eastAsia" w:ascii="仿宋" w:hAnsi="仿宋" w:eastAsia="仿宋"/>
          <w:b/>
          <w:sz w:val="24"/>
        </w:rPr>
      </w:pPr>
    </w:p>
    <w:p w14:paraId="117BB60C">
      <w:pPr>
        <w:pStyle w:val="20"/>
        <w:ind w:firstLine="0" w:firstLineChars="0"/>
        <w:jc w:val="left"/>
        <w:outlineLvl w:val="1"/>
        <w:rPr>
          <w:rFonts w:hint="eastAsia" w:ascii="仿宋" w:hAnsi="仿宋" w:eastAsia="仿宋"/>
          <w:b/>
          <w:sz w:val="24"/>
        </w:rPr>
      </w:pPr>
      <w:r>
        <w:rPr>
          <w:rFonts w:hint="eastAsia" w:ascii="仿宋" w:hAnsi="仿宋" w:eastAsia="仿宋"/>
          <w:b/>
          <w:sz w:val="24"/>
        </w:rPr>
        <w:t>（3）分布式存储系统（1套）</w:t>
      </w:r>
    </w:p>
    <w:tbl>
      <w:tblPr>
        <w:tblStyle w:val="10"/>
        <w:tblW w:w="8445" w:type="dxa"/>
        <w:tblInd w:w="93" w:type="dxa"/>
        <w:tblLayout w:type="fixed"/>
        <w:tblCellMar>
          <w:top w:w="0" w:type="dxa"/>
          <w:left w:w="108" w:type="dxa"/>
          <w:bottom w:w="0" w:type="dxa"/>
          <w:right w:w="108" w:type="dxa"/>
        </w:tblCellMar>
      </w:tblPr>
      <w:tblGrid>
        <w:gridCol w:w="638"/>
        <w:gridCol w:w="1094"/>
        <w:gridCol w:w="1086"/>
        <w:gridCol w:w="5627"/>
      </w:tblGrid>
      <w:tr w14:paraId="553017DD">
        <w:tblPrEx>
          <w:tblCellMar>
            <w:top w:w="0" w:type="dxa"/>
            <w:left w:w="108" w:type="dxa"/>
            <w:bottom w:w="0" w:type="dxa"/>
            <w:right w:w="108" w:type="dxa"/>
          </w:tblCellMar>
        </w:tblPrEx>
        <w:trPr>
          <w:trHeight w:val="2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BD6">
            <w:pPr>
              <w:jc w:val="center"/>
              <w:rPr>
                <w:rFonts w:hint="eastAsia" w:ascii="仿宋" w:hAnsi="仿宋" w:eastAsia="仿宋" w:cs="仿宋"/>
                <w:b/>
                <w:bCs/>
                <w:szCs w:val="21"/>
              </w:rPr>
            </w:pPr>
            <w:r>
              <w:rPr>
                <w:rFonts w:hint="eastAsia" w:ascii="仿宋" w:hAnsi="仿宋" w:eastAsia="仿宋" w:cs="仿宋"/>
                <w:b/>
                <w:bCs/>
                <w:szCs w:val="21"/>
              </w:rPr>
              <w:t>序号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5FE">
            <w:pPr>
              <w:jc w:val="center"/>
              <w:rPr>
                <w:rFonts w:hint="eastAsia" w:ascii="仿宋" w:hAnsi="仿宋" w:eastAsia="仿宋" w:cs="仿宋"/>
                <w:b/>
                <w:bCs/>
                <w:szCs w:val="21"/>
              </w:rPr>
            </w:pPr>
            <w:r>
              <w:rPr>
                <w:rFonts w:hint="eastAsia" w:ascii="仿宋" w:hAnsi="仿宋" w:eastAsia="仿宋" w:cs="仿宋"/>
                <w:b/>
                <w:bCs/>
                <w:szCs w:val="21"/>
              </w:rPr>
              <w:t>重要性</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CFB">
            <w:pPr>
              <w:jc w:val="center"/>
              <w:rPr>
                <w:rFonts w:hint="eastAsia" w:ascii="仿宋" w:hAnsi="仿宋" w:eastAsia="仿宋" w:cs="仿宋"/>
                <w:b/>
                <w:bCs/>
                <w:szCs w:val="21"/>
              </w:rPr>
            </w:pPr>
            <w:r>
              <w:rPr>
                <w:rFonts w:hint="eastAsia" w:ascii="仿宋" w:hAnsi="仿宋" w:eastAsia="仿宋" w:cs="仿宋"/>
                <w:b/>
                <w:bCs/>
                <w:szCs w:val="21"/>
              </w:rPr>
              <w:t>技术指标</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3CBC">
            <w:pPr>
              <w:jc w:val="center"/>
              <w:rPr>
                <w:rFonts w:hint="eastAsia" w:ascii="仿宋" w:hAnsi="仿宋" w:eastAsia="仿宋" w:cs="仿宋"/>
                <w:b/>
                <w:bCs/>
                <w:szCs w:val="21"/>
              </w:rPr>
            </w:pPr>
            <w:r>
              <w:rPr>
                <w:rFonts w:hint="eastAsia" w:ascii="仿宋" w:hAnsi="仿宋" w:eastAsia="仿宋" w:cs="仿宋"/>
                <w:b/>
                <w:bCs/>
                <w:szCs w:val="21"/>
              </w:rPr>
              <w:t>招标参数</w:t>
            </w:r>
          </w:p>
        </w:tc>
      </w:tr>
      <w:tr w14:paraId="5B2603A8">
        <w:tblPrEx>
          <w:tblCellMar>
            <w:top w:w="0" w:type="dxa"/>
            <w:left w:w="108" w:type="dxa"/>
            <w:bottom w:w="0" w:type="dxa"/>
            <w:right w:w="108" w:type="dxa"/>
          </w:tblCellMar>
        </w:tblPrEx>
        <w:trPr>
          <w:trHeight w:val="33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A5E7">
            <w:pPr>
              <w:rPr>
                <w:rFonts w:hint="eastAsia" w:ascii="仿宋" w:hAnsi="仿宋" w:eastAsia="仿宋" w:cs="仿宋"/>
                <w:szCs w:val="21"/>
              </w:rPr>
            </w:pPr>
            <w:r>
              <w:rPr>
                <w:rFonts w:hint="eastAsia" w:ascii="仿宋" w:hAnsi="仿宋" w:eastAsia="仿宋" w:cs="仿宋"/>
                <w:szCs w:val="21"/>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70FC">
            <w:pPr>
              <w:rPr>
                <w:rFonts w:hint="eastAsia" w:ascii="仿宋" w:hAnsi="仿宋" w:eastAsia="仿宋" w:cs="仿宋"/>
                <w:szCs w:val="21"/>
              </w:rPr>
            </w:pPr>
            <w:r>
              <w:rPr>
                <w:rFonts w:hint="eastAsia" w:ascii="仿宋" w:hAnsi="仿宋" w:eastAsia="仿宋" w:cs="仿宋"/>
                <w:szCs w:val="21"/>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D33">
            <w:pPr>
              <w:rPr>
                <w:rFonts w:hint="eastAsia" w:ascii="仿宋" w:hAnsi="仿宋" w:eastAsia="仿宋" w:cs="仿宋"/>
                <w:szCs w:val="21"/>
              </w:rPr>
            </w:pPr>
            <w:r>
              <w:rPr>
                <w:rFonts w:hint="eastAsia" w:ascii="仿宋" w:hAnsi="仿宋" w:eastAsia="仿宋" w:cs="仿宋"/>
                <w:szCs w:val="21"/>
              </w:rPr>
              <w:t>产品架构</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252">
            <w:pPr>
              <w:rPr>
                <w:rFonts w:hint="eastAsia" w:ascii="仿宋" w:hAnsi="仿宋" w:eastAsia="仿宋" w:cs="仿宋"/>
                <w:szCs w:val="21"/>
              </w:rPr>
            </w:pPr>
            <w:r>
              <w:rPr>
                <w:rFonts w:hint="eastAsia" w:ascii="仿宋" w:hAnsi="仿宋" w:eastAsia="仿宋" w:cs="仿宋"/>
                <w:szCs w:val="21"/>
              </w:rPr>
              <w:t>兼容扩展性要求：大容量分布式存储,采用软硬件一体机产品,不接受纯软件+第三方服务器投标。</w:t>
            </w:r>
          </w:p>
          <w:p w14:paraId="173AE891">
            <w:pPr>
              <w:rPr>
                <w:rFonts w:hint="eastAsia" w:ascii="仿宋" w:hAnsi="仿宋" w:eastAsia="仿宋" w:cs="仿宋"/>
                <w:szCs w:val="21"/>
              </w:rPr>
            </w:pPr>
            <w:r>
              <w:rPr>
                <w:rFonts w:hint="eastAsia" w:ascii="仿宋" w:hAnsi="仿宋" w:eastAsia="仿宋" w:cs="仿宋"/>
                <w:szCs w:val="21"/>
              </w:rPr>
              <w:t>产品自研能力：厂商具备存储产品软硬件平台设计开发能力,非基于OEM产品或开源存储软件开发的存储系统。</w:t>
            </w:r>
          </w:p>
        </w:tc>
      </w:tr>
      <w:tr w14:paraId="438C9B41">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78F">
            <w:pPr>
              <w:rPr>
                <w:rFonts w:hint="eastAsia" w:ascii="仿宋" w:hAnsi="仿宋" w:eastAsia="仿宋" w:cs="仿宋"/>
                <w:szCs w:val="21"/>
              </w:rPr>
            </w:pPr>
            <w:r>
              <w:rPr>
                <w:rFonts w:hint="eastAsia" w:ascii="仿宋" w:hAnsi="仿宋" w:eastAsia="仿宋" w:cs="仿宋"/>
                <w:szCs w:val="21"/>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221">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7FA">
            <w:pPr>
              <w:rPr>
                <w:rFonts w:hint="eastAsia" w:ascii="仿宋" w:hAnsi="仿宋" w:eastAsia="仿宋" w:cs="仿宋"/>
                <w:szCs w:val="21"/>
              </w:rPr>
            </w:pPr>
            <w:r>
              <w:rPr>
                <w:rFonts w:hint="eastAsia" w:ascii="仿宋" w:hAnsi="仿宋" w:eastAsia="仿宋" w:cs="仿宋"/>
                <w:szCs w:val="21"/>
              </w:rPr>
              <w:t>系统架构</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4083">
            <w:pPr>
              <w:rPr>
                <w:rFonts w:hint="eastAsia" w:ascii="仿宋" w:hAnsi="仿宋" w:eastAsia="仿宋" w:cs="仿宋"/>
                <w:szCs w:val="21"/>
              </w:rPr>
            </w:pPr>
            <w:r>
              <w:rPr>
                <w:rFonts w:hint="eastAsia" w:ascii="仿宋" w:hAnsi="仿宋" w:eastAsia="仿宋" w:cs="仿宋"/>
                <w:szCs w:val="21"/>
              </w:rPr>
              <w:t>存储节点采用分布式集群存储架构，支持全对称和非对称式架构。</w:t>
            </w:r>
            <w:r>
              <w:rPr>
                <w:rFonts w:hint="eastAsia" w:ascii="仿宋" w:hAnsi="仿宋" w:eastAsia="仿宋" w:cs="仿宋"/>
                <w:color w:val="000000" w:themeColor="text1"/>
                <w:szCs w:val="21"/>
                <w14:textFill>
                  <w14:solidFill>
                    <w14:schemeClr w14:val="tx1"/>
                  </w14:solidFill>
                </w14:textFill>
              </w:rPr>
              <w:t>需提供所投产品的CNAS认证测试报告。</w:t>
            </w:r>
          </w:p>
        </w:tc>
      </w:tr>
      <w:tr w14:paraId="1CAACD5C">
        <w:tblPrEx>
          <w:tblCellMar>
            <w:top w:w="0" w:type="dxa"/>
            <w:left w:w="108" w:type="dxa"/>
            <w:bottom w:w="0" w:type="dxa"/>
            <w:right w:w="108" w:type="dxa"/>
          </w:tblCellMar>
        </w:tblPrEx>
        <w:trPr>
          <w:trHeight w:val="54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3D1">
            <w:pPr>
              <w:rPr>
                <w:rFonts w:hint="eastAsia" w:ascii="仿宋" w:hAnsi="仿宋" w:eastAsia="仿宋" w:cs="仿宋"/>
                <w:szCs w:val="21"/>
              </w:rPr>
            </w:pPr>
            <w:r>
              <w:rPr>
                <w:rFonts w:hint="eastAsia" w:ascii="仿宋" w:hAnsi="仿宋" w:eastAsia="仿宋" w:cs="仿宋"/>
                <w:szCs w:val="21"/>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5C5">
            <w:pPr>
              <w:rPr>
                <w:rFonts w:hint="eastAsia" w:ascii="仿宋" w:hAnsi="仿宋" w:eastAsia="仿宋" w:cs="仿宋"/>
                <w:szCs w:val="21"/>
              </w:rPr>
            </w:pPr>
            <w:r>
              <w:rPr>
                <w:rFonts w:hint="eastAsia" w:ascii="仿宋" w:hAnsi="仿宋" w:eastAsia="仿宋" w:cs="仿宋"/>
                <w:szCs w:val="21"/>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7020">
            <w:pPr>
              <w:rPr>
                <w:rFonts w:hint="eastAsia" w:ascii="仿宋" w:hAnsi="仿宋" w:eastAsia="仿宋" w:cs="仿宋"/>
                <w:szCs w:val="21"/>
              </w:rPr>
            </w:pPr>
            <w:r>
              <w:rPr>
                <w:rFonts w:hint="eastAsia" w:ascii="仿宋" w:hAnsi="仿宋" w:eastAsia="仿宋" w:cs="仿宋"/>
                <w:szCs w:val="21"/>
              </w:rPr>
              <w:t>容量</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CED0">
            <w:pPr>
              <w:rPr>
                <w:rFonts w:hint="eastAsia" w:ascii="仿宋" w:hAnsi="仿宋" w:eastAsia="仿宋" w:cs="仿宋"/>
                <w:szCs w:val="21"/>
              </w:rPr>
            </w:pPr>
            <w:r>
              <w:rPr>
                <w:rFonts w:hint="eastAsia" w:ascii="仿宋" w:hAnsi="仿宋" w:eastAsia="仿宋" w:cs="仿宋"/>
                <w:szCs w:val="21"/>
              </w:rPr>
              <w:t>配置裸总容量≥1P；</w:t>
            </w:r>
          </w:p>
        </w:tc>
      </w:tr>
      <w:tr w14:paraId="0B4EAA04">
        <w:tblPrEx>
          <w:tblCellMar>
            <w:top w:w="0" w:type="dxa"/>
            <w:left w:w="108" w:type="dxa"/>
            <w:bottom w:w="0" w:type="dxa"/>
            <w:right w:w="108" w:type="dxa"/>
          </w:tblCellMar>
        </w:tblPrEx>
        <w:trPr>
          <w:trHeight w:val="20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649">
            <w:pPr>
              <w:rPr>
                <w:rFonts w:hint="eastAsia" w:ascii="仿宋" w:hAnsi="仿宋" w:eastAsia="仿宋" w:cs="仿宋"/>
                <w:szCs w:val="21"/>
              </w:rPr>
            </w:pPr>
            <w:r>
              <w:rPr>
                <w:rFonts w:hint="eastAsia" w:ascii="仿宋" w:hAnsi="仿宋" w:eastAsia="仿宋" w:cs="仿宋"/>
                <w:szCs w:val="21"/>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5E81">
            <w:pPr>
              <w:rPr>
                <w:rFonts w:hint="eastAsia" w:ascii="仿宋" w:hAnsi="仿宋" w:eastAsia="仿宋" w:cs="仿宋"/>
                <w:szCs w:val="21"/>
              </w:rPr>
            </w:pPr>
            <w:r>
              <w:rPr>
                <w:rFonts w:hint="eastAsia" w:ascii="仿宋" w:hAnsi="仿宋" w:eastAsia="仿宋" w:cs="仿宋"/>
                <w:szCs w:val="21"/>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D70">
            <w:pPr>
              <w:rPr>
                <w:rFonts w:hint="eastAsia" w:ascii="仿宋" w:hAnsi="仿宋" w:eastAsia="仿宋" w:cs="仿宋"/>
                <w:szCs w:val="21"/>
              </w:rPr>
            </w:pPr>
            <w:r>
              <w:rPr>
                <w:rFonts w:hint="eastAsia" w:ascii="仿宋" w:hAnsi="仿宋" w:eastAsia="仿宋" w:cs="仿宋"/>
                <w:szCs w:val="21"/>
              </w:rPr>
              <w:t>节点配置</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7CB">
            <w:pPr>
              <w:rPr>
                <w:rFonts w:hint="eastAsia" w:ascii="仿宋" w:hAnsi="仿宋" w:eastAsia="仿宋" w:cs="仿宋"/>
                <w:szCs w:val="21"/>
              </w:rPr>
            </w:pPr>
            <w:r>
              <w:rPr>
                <w:rFonts w:hint="eastAsia" w:ascii="仿宋" w:hAnsi="仿宋" w:eastAsia="仿宋" w:cs="仿宋"/>
                <w:szCs w:val="21"/>
              </w:rPr>
              <w:t>配置3个节点，每节点配置要求如下：</w:t>
            </w:r>
          </w:p>
          <w:p w14:paraId="1AFAB0BC">
            <w:pPr>
              <w:rPr>
                <w:rFonts w:hint="eastAsia" w:ascii="仿宋" w:hAnsi="仿宋" w:eastAsia="仿宋" w:cs="仿宋"/>
                <w:szCs w:val="21"/>
              </w:rPr>
            </w:pPr>
            <w:r>
              <w:rPr>
                <w:rFonts w:hint="eastAsia" w:ascii="仿宋" w:hAnsi="仿宋" w:eastAsia="仿宋" w:cs="仿宋"/>
                <w:szCs w:val="21"/>
              </w:rPr>
              <w:t>配置≥1颗X86处理器，核心数≥16核；</w:t>
            </w:r>
          </w:p>
          <w:p w14:paraId="372EBB19">
            <w:pPr>
              <w:rPr>
                <w:rFonts w:hint="eastAsia" w:ascii="仿宋" w:hAnsi="仿宋" w:eastAsia="仿宋" w:cs="仿宋"/>
                <w:szCs w:val="21"/>
              </w:rPr>
            </w:pPr>
            <w:r>
              <w:rPr>
                <w:rFonts w:hint="eastAsia" w:ascii="仿宋" w:hAnsi="仿宋" w:eastAsia="仿宋" w:cs="仿宋"/>
                <w:szCs w:val="21"/>
              </w:rPr>
              <w:t>高速缓存≥128GB；</w:t>
            </w:r>
          </w:p>
          <w:p w14:paraId="4EB899FA">
            <w:pPr>
              <w:rPr>
                <w:rFonts w:hint="eastAsia" w:ascii="仿宋" w:hAnsi="仿宋" w:eastAsia="仿宋" w:cs="仿宋"/>
                <w:szCs w:val="21"/>
              </w:rPr>
            </w:pPr>
            <w:r>
              <w:rPr>
                <w:rFonts w:hint="eastAsia" w:ascii="仿宋" w:hAnsi="仿宋" w:eastAsia="仿宋" w:cs="仿宋"/>
                <w:szCs w:val="21"/>
              </w:rPr>
              <w:t>网络接口≥2千兆电口+4万兆光口；</w:t>
            </w:r>
          </w:p>
          <w:p w14:paraId="324B9279">
            <w:pPr>
              <w:rPr>
                <w:rFonts w:hint="eastAsia" w:ascii="仿宋" w:hAnsi="仿宋" w:eastAsia="仿宋" w:cs="仿宋"/>
                <w:szCs w:val="21"/>
              </w:rPr>
            </w:pPr>
            <w:r>
              <w:rPr>
                <w:rFonts w:hint="eastAsia" w:ascii="仿宋" w:hAnsi="仿宋" w:eastAsia="仿宋" w:cs="仿宋"/>
                <w:szCs w:val="21"/>
              </w:rPr>
              <w:t>配置≥22块16TB SATA HDD ,≥2块3.84TB  SSD，≥2块480GB SSD；</w:t>
            </w:r>
          </w:p>
          <w:p w14:paraId="6F84F202">
            <w:pPr>
              <w:rPr>
                <w:rFonts w:hint="eastAsia" w:ascii="仿宋" w:hAnsi="仿宋" w:eastAsia="仿宋" w:cs="仿宋"/>
                <w:szCs w:val="21"/>
              </w:rPr>
            </w:pPr>
            <w:r>
              <w:rPr>
                <w:rFonts w:hint="eastAsia" w:ascii="仿宋" w:hAnsi="仿宋" w:eastAsia="仿宋" w:cs="仿宋"/>
                <w:szCs w:val="21"/>
              </w:rPr>
              <w:t>配置冗余电源。</w:t>
            </w:r>
          </w:p>
        </w:tc>
      </w:tr>
      <w:tr w14:paraId="4090CA31">
        <w:tblPrEx>
          <w:tblCellMar>
            <w:top w:w="0" w:type="dxa"/>
            <w:left w:w="108" w:type="dxa"/>
            <w:bottom w:w="0" w:type="dxa"/>
            <w:right w:w="108" w:type="dxa"/>
          </w:tblCellMar>
        </w:tblPrEx>
        <w:trPr>
          <w:trHeight w:val="75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323C">
            <w:pPr>
              <w:rPr>
                <w:rFonts w:hint="eastAsia" w:ascii="仿宋" w:hAnsi="仿宋" w:eastAsia="仿宋" w:cs="仿宋"/>
                <w:szCs w:val="21"/>
              </w:rPr>
            </w:pPr>
            <w:r>
              <w:rPr>
                <w:rFonts w:hint="eastAsia" w:ascii="仿宋" w:hAnsi="仿宋" w:eastAsia="仿宋" w:cs="仿宋"/>
                <w:szCs w:val="21"/>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3800">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13A1">
            <w:pPr>
              <w:rPr>
                <w:rFonts w:hint="eastAsia" w:ascii="仿宋" w:hAnsi="仿宋" w:eastAsia="仿宋" w:cs="仿宋"/>
                <w:szCs w:val="21"/>
              </w:rPr>
            </w:pPr>
            <w:r>
              <w:rPr>
                <w:rFonts w:hint="eastAsia" w:ascii="仿宋" w:hAnsi="仿宋" w:eastAsia="仿宋" w:cs="仿宋"/>
                <w:szCs w:val="21"/>
              </w:rPr>
              <w:t>快照</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A820">
            <w:pPr>
              <w:rPr>
                <w:rFonts w:hint="eastAsia" w:ascii="仿宋" w:hAnsi="仿宋" w:eastAsia="仿宋" w:cs="仿宋"/>
                <w:szCs w:val="21"/>
              </w:rPr>
            </w:pPr>
            <w:r>
              <w:rPr>
                <w:rFonts w:hint="eastAsia" w:ascii="仿宋" w:hAnsi="仿宋" w:eastAsia="仿宋" w:cs="仿宋"/>
                <w:szCs w:val="21"/>
              </w:rPr>
              <w:t>支持文件/目录级快照，存储系统支持快照≥20000；存储系统的Web界面可实现快照的回滚；提供Web界面功能截图</w:t>
            </w:r>
          </w:p>
        </w:tc>
      </w:tr>
      <w:tr w14:paraId="50F9CFA2">
        <w:tblPrEx>
          <w:tblCellMar>
            <w:top w:w="0" w:type="dxa"/>
            <w:left w:w="108" w:type="dxa"/>
            <w:bottom w:w="0" w:type="dxa"/>
            <w:right w:w="108" w:type="dxa"/>
          </w:tblCellMar>
        </w:tblPrEx>
        <w:trPr>
          <w:trHeight w:val="54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D58">
            <w:pPr>
              <w:rPr>
                <w:rFonts w:hint="eastAsia" w:ascii="仿宋" w:hAnsi="仿宋" w:eastAsia="仿宋" w:cs="仿宋"/>
                <w:szCs w:val="21"/>
              </w:rPr>
            </w:pPr>
            <w:r>
              <w:rPr>
                <w:rFonts w:hint="eastAsia" w:ascii="仿宋" w:hAnsi="仿宋" w:eastAsia="仿宋" w:cs="仿宋"/>
                <w:szCs w:val="21"/>
              </w:rPr>
              <w:t>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77B">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6321">
            <w:pPr>
              <w:rPr>
                <w:rFonts w:hint="eastAsia" w:ascii="仿宋" w:hAnsi="仿宋" w:eastAsia="仿宋" w:cs="仿宋"/>
                <w:szCs w:val="21"/>
              </w:rPr>
            </w:pPr>
            <w:r>
              <w:rPr>
                <w:rFonts w:hint="eastAsia" w:ascii="仿宋" w:hAnsi="仿宋" w:eastAsia="仿宋" w:cs="仿宋"/>
                <w:szCs w:val="21"/>
              </w:rPr>
              <w:t>SSD缓存加速</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F341">
            <w:pPr>
              <w:rPr>
                <w:rFonts w:hint="eastAsia" w:ascii="仿宋" w:hAnsi="仿宋" w:eastAsia="仿宋" w:cs="仿宋"/>
                <w:szCs w:val="21"/>
              </w:rPr>
            </w:pPr>
            <w:r>
              <w:rPr>
                <w:rFonts w:hint="eastAsia" w:ascii="仿宋" w:hAnsi="仿宋" w:eastAsia="仿宋" w:cs="仿宋"/>
                <w:szCs w:val="21"/>
              </w:rPr>
              <w:t>支持SSD作为二级缓存，支持读写缓存加速功能，需提供Web界面功能截图。</w:t>
            </w:r>
          </w:p>
        </w:tc>
      </w:tr>
      <w:tr w14:paraId="4391C697">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9307">
            <w:pPr>
              <w:rPr>
                <w:rFonts w:hint="eastAsia" w:ascii="仿宋" w:hAnsi="仿宋" w:eastAsia="仿宋" w:cs="仿宋"/>
                <w:szCs w:val="21"/>
              </w:rPr>
            </w:pPr>
            <w:r>
              <w:rPr>
                <w:rFonts w:hint="eastAsia" w:ascii="仿宋" w:hAnsi="仿宋" w:eastAsia="仿宋" w:cs="仿宋"/>
                <w:szCs w:val="21"/>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2D3">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FFA6">
            <w:pPr>
              <w:rPr>
                <w:rFonts w:hint="eastAsia" w:ascii="仿宋" w:hAnsi="仿宋" w:eastAsia="仿宋" w:cs="仿宋"/>
                <w:szCs w:val="21"/>
              </w:rPr>
            </w:pPr>
            <w:r>
              <w:rPr>
                <w:rFonts w:hint="eastAsia" w:ascii="仿宋" w:hAnsi="仿宋" w:eastAsia="仿宋" w:cs="仿宋"/>
                <w:szCs w:val="21"/>
              </w:rPr>
              <w:t>存储协议</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6A64">
            <w:pPr>
              <w:rPr>
                <w:rFonts w:hint="eastAsia" w:ascii="仿宋" w:hAnsi="仿宋" w:eastAsia="仿宋" w:cs="仿宋"/>
                <w:szCs w:val="21"/>
              </w:rPr>
            </w:pPr>
            <w:r>
              <w:rPr>
                <w:rFonts w:hint="eastAsia" w:ascii="仿宋" w:hAnsi="仿宋" w:eastAsia="仿宋" w:cs="仿宋"/>
                <w:szCs w:val="21"/>
              </w:rPr>
              <w:t>支持文件、对象、块、HDFS存储协议，同一个节点支持文件、块、对象功能。需提供Web界面功能截图</w:t>
            </w:r>
          </w:p>
        </w:tc>
      </w:tr>
      <w:tr w14:paraId="0C1F8317">
        <w:tblPrEx>
          <w:tblCellMar>
            <w:top w:w="0" w:type="dxa"/>
            <w:left w:w="108" w:type="dxa"/>
            <w:bottom w:w="0" w:type="dxa"/>
            <w:right w:w="108" w:type="dxa"/>
          </w:tblCellMar>
        </w:tblPrEx>
        <w:trPr>
          <w:trHeight w:val="162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9D85">
            <w:pPr>
              <w:rPr>
                <w:rFonts w:hint="eastAsia" w:ascii="仿宋" w:hAnsi="仿宋" w:eastAsia="仿宋" w:cs="仿宋"/>
                <w:szCs w:val="21"/>
              </w:rPr>
            </w:pPr>
            <w:r>
              <w:rPr>
                <w:rFonts w:hint="eastAsia" w:ascii="仿宋" w:hAnsi="仿宋" w:eastAsia="仿宋" w:cs="仿宋"/>
                <w:szCs w:val="21"/>
              </w:rPr>
              <w:t>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E333">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64D7">
            <w:pPr>
              <w:rPr>
                <w:rFonts w:hint="eastAsia" w:ascii="仿宋" w:hAnsi="仿宋" w:eastAsia="仿宋" w:cs="仿宋"/>
                <w:szCs w:val="21"/>
              </w:rPr>
            </w:pPr>
            <w:r>
              <w:rPr>
                <w:rFonts w:hint="eastAsia" w:ascii="仿宋" w:hAnsi="仿宋" w:eastAsia="仿宋" w:cs="仿宋"/>
                <w:szCs w:val="21"/>
              </w:rPr>
              <w:t>目录QoS</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3134">
            <w:pPr>
              <w:rPr>
                <w:rFonts w:hint="eastAsia" w:ascii="仿宋" w:hAnsi="仿宋" w:eastAsia="仿宋" w:cs="仿宋"/>
                <w:szCs w:val="21"/>
              </w:rPr>
            </w:pPr>
            <w:r>
              <w:rPr>
                <w:rFonts w:hint="eastAsia" w:ascii="仿宋" w:hAnsi="仿宋" w:eastAsia="仿宋" w:cs="仿宋"/>
                <w:szCs w:val="21"/>
              </w:rPr>
              <w:t>支持基于目录QoS功能，针对目录设置IOPS和带宽上限，保证关键业务的性能资源，设置QoS策略后，带宽和IOPS性能上下浮动不超过设置阈值的10%。</w:t>
            </w:r>
            <w:r>
              <w:rPr>
                <w:rFonts w:hint="eastAsia" w:ascii="仿宋" w:hAnsi="仿宋" w:eastAsia="仿宋" w:cs="仿宋"/>
                <w:color w:val="000000" w:themeColor="text1"/>
                <w:szCs w:val="21"/>
                <w14:textFill>
                  <w14:solidFill>
                    <w14:schemeClr w14:val="tx1"/>
                  </w14:solidFill>
                </w14:textFill>
              </w:rPr>
              <w:t>需提供所投产品的CNAS认证测试报告。</w:t>
            </w:r>
          </w:p>
        </w:tc>
      </w:tr>
      <w:tr w14:paraId="0B198D46">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4E3">
            <w:pPr>
              <w:rPr>
                <w:rFonts w:hint="eastAsia" w:ascii="仿宋" w:hAnsi="仿宋" w:eastAsia="仿宋" w:cs="仿宋"/>
                <w:szCs w:val="21"/>
              </w:rPr>
            </w:pPr>
            <w:r>
              <w:rPr>
                <w:rFonts w:hint="eastAsia" w:ascii="仿宋" w:hAnsi="仿宋" w:eastAsia="仿宋" w:cs="仿宋"/>
                <w:szCs w:val="21"/>
              </w:rPr>
              <w:t>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0BA">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7C9">
            <w:pPr>
              <w:rPr>
                <w:rFonts w:hint="eastAsia" w:ascii="仿宋" w:hAnsi="仿宋" w:eastAsia="仿宋" w:cs="仿宋"/>
                <w:szCs w:val="21"/>
              </w:rPr>
            </w:pPr>
            <w:r>
              <w:rPr>
                <w:rFonts w:hint="eastAsia" w:ascii="仿宋" w:hAnsi="仿宋" w:eastAsia="仿宋" w:cs="仿宋"/>
                <w:szCs w:val="21"/>
              </w:rPr>
              <w:t>POSIX客户端</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658">
            <w:pPr>
              <w:rPr>
                <w:rFonts w:hint="eastAsia" w:ascii="仿宋" w:hAnsi="仿宋" w:eastAsia="仿宋" w:cs="仿宋"/>
                <w:szCs w:val="21"/>
              </w:rPr>
            </w:pPr>
            <w:r>
              <w:rPr>
                <w:rFonts w:hint="eastAsia" w:ascii="仿宋" w:hAnsi="仿宋" w:eastAsia="仿宋" w:cs="仿宋"/>
                <w:szCs w:val="21"/>
              </w:rPr>
              <w:t>配置POSIX客户端，存储Web界面支持对POSIX客户端进行授权、指定挂载目录、自动挂载、权限等设置。</w:t>
            </w:r>
          </w:p>
        </w:tc>
      </w:tr>
      <w:tr w14:paraId="44E79847">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6AC6">
            <w:pPr>
              <w:rPr>
                <w:rFonts w:hint="eastAsia" w:ascii="仿宋" w:hAnsi="仿宋" w:eastAsia="仿宋" w:cs="仿宋"/>
                <w:szCs w:val="21"/>
              </w:rPr>
            </w:pPr>
            <w:r>
              <w:rPr>
                <w:rFonts w:hint="eastAsia" w:ascii="仿宋" w:hAnsi="仿宋" w:eastAsia="仿宋" w:cs="仿宋"/>
                <w:szCs w:val="21"/>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CC7E">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2374">
            <w:pPr>
              <w:rPr>
                <w:rFonts w:hint="eastAsia" w:ascii="仿宋" w:hAnsi="仿宋" w:eastAsia="仿宋" w:cs="仿宋"/>
                <w:szCs w:val="21"/>
              </w:rPr>
            </w:pPr>
            <w:r>
              <w:rPr>
                <w:rFonts w:hint="eastAsia" w:ascii="仿宋" w:hAnsi="仿宋" w:eastAsia="仿宋" w:cs="仿宋"/>
                <w:szCs w:val="21"/>
              </w:rPr>
              <w:t>多文件系统</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33F2">
            <w:pPr>
              <w:rPr>
                <w:rFonts w:hint="eastAsia" w:ascii="仿宋" w:hAnsi="仿宋" w:eastAsia="仿宋" w:cs="仿宋"/>
                <w:szCs w:val="21"/>
              </w:rPr>
            </w:pPr>
            <w:r>
              <w:rPr>
                <w:rFonts w:hint="eastAsia" w:ascii="仿宋" w:hAnsi="仿宋" w:eastAsia="仿宋" w:cs="仿宋"/>
                <w:szCs w:val="21"/>
              </w:rPr>
              <w:t>同一存储池支持创建多个文件系统，用于不同用户之间的数据隔离。需提供存储Web界面功能截图</w:t>
            </w:r>
          </w:p>
        </w:tc>
      </w:tr>
      <w:tr w14:paraId="0DF6D57F">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B0E">
            <w:pPr>
              <w:rPr>
                <w:rFonts w:hint="eastAsia" w:ascii="仿宋" w:hAnsi="仿宋" w:eastAsia="仿宋" w:cs="仿宋"/>
                <w:szCs w:val="21"/>
              </w:rPr>
            </w:pPr>
            <w:r>
              <w:rPr>
                <w:rFonts w:hint="eastAsia" w:ascii="仿宋" w:hAnsi="仿宋" w:eastAsia="仿宋" w:cs="仿宋"/>
                <w:szCs w:val="21"/>
              </w:rPr>
              <w:t>11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3C5">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F068">
            <w:pPr>
              <w:rPr>
                <w:rFonts w:hint="eastAsia" w:ascii="仿宋" w:hAnsi="仿宋" w:eastAsia="仿宋" w:cs="仿宋"/>
                <w:szCs w:val="21"/>
              </w:rPr>
            </w:pPr>
            <w:r>
              <w:rPr>
                <w:rFonts w:hint="eastAsia" w:ascii="仿宋" w:hAnsi="仿宋" w:eastAsia="仿宋" w:cs="仿宋"/>
                <w:szCs w:val="21"/>
              </w:rPr>
              <w:t>资源管理器</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25C">
            <w:pPr>
              <w:rPr>
                <w:rFonts w:hint="eastAsia" w:ascii="仿宋" w:hAnsi="仿宋" w:eastAsia="仿宋" w:cs="仿宋"/>
                <w:szCs w:val="21"/>
              </w:rPr>
            </w:pPr>
            <w:r>
              <w:rPr>
                <w:rFonts w:hint="eastAsia" w:ascii="仿宋" w:hAnsi="仿宋" w:eastAsia="仿宋" w:cs="仿宋"/>
                <w:szCs w:val="21"/>
              </w:rPr>
              <w:t>客户端不需要挂载文件系统，即可在服务端存储系统管理平台进行目录的管理，包括目录的创建、修改、删除。</w:t>
            </w:r>
          </w:p>
        </w:tc>
      </w:tr>
      <w:tr w14:paraId="14A30444">
        <w:tblPrEx>
          <w:tblCellMar>
            <w:top w:w="0" w:type="dxa"/>
            <w:left w:w="108" w:type="dxa"/>
            <w:bottom w:w="0" w:type="dxa"/>
            <w:right w:w="108" w:type="dxa"/>
          </w:tblCellMar>
        </w:tblPrEx>
        <w:trPr>
          <w:trHeight w:val="108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AC1">
            <w:pPr>
              <w:rPr>
                <w:rFonts w:hint="eastAsia" w:ascii="仿宋" w:hAnsi="仿宋" w:eastAsia="仿宋" w:cs="仿宋"/>
                <w:szCs w:val="21"/>
              </w:rPr>
            </w:pPr>
            <w:r>
              <w:rPr>
                <w:rFonts w:hint="eastAsia" w:ascii="仿宋" w:hAnsi="仿宋" w:eastAsia="仿宋" w:cs="仿宋"/>
                <w:szCs w:val="21"/>
              </w:rPr>
              <w:t>12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6EFF">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E730">
            <w:pPr>
              <w:rPr>
                <w:rFonts w:hint="eastAsia" w:ascii="仿宋" w:hAnsi="仿宋" w:eastAsia="仿宋" w:cs="仿宋"/>
                <w:szCs w:val="21"/>
              </w:rPr>
            </w:pPr>
            <w:r>
              <w:rPr>
                <w:rFonts w:hint="eastAsia" w:ascii="仿宋" w:hAnsi="仿宋" w:eastAsia="仿宋" w:cs="仿宋"/>
                <w:szCs w:val="21"/>
              </w:rPr>
              <w:t>多集群挂载</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9FBA">
            <w:pPr>
              <w:rPr>
                <w:rFonts w:hint="eastAsia" w:ascii="仿宋" w:hAnsi="仿宋" w:eastAsia="仿宋" w:cs="仿宋"/>
                <w:szCs w:val="21"/>
              </w:rPr>
            </w:pPr>
            <w:r>
              <w:rPr>
                <w:rFonts w:hint="eastAsia" w:ascii="仿宋" w:hAnsi="仿宋" w:eastAsia="仿宋" w:cs="仿宋"/>
                <w:szCs w:val="21"/>
              </w:rPr>
              <w:t>同一个计算节点支持通过POSIX协议挂载多套存储集群。</w:t>
            </w:r>
          </w:p>
        </w:tc>
      </w:tr>
      <w:tr w14:paraId="6928D2EF">
        <w:tblPrEx>
          <w:tblCellMar>
            <w:top w:w="0" w:type="dxa"/>
            <w:left w:w="108" w:type="dxa"/>
            <w:bottom w:w="0" w:type="dxa"/>
            <w:right w:w="108" w:type="dxa"/>
          </w:tblCellMar>
        </w:tblPrEx>
        <w:trPr>
          <w:trHeight w:val="108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AFC">
            <w:pPr>
              <w:rPr>
                <w:rFonts w:hint="eastAsia" w:ascii="仿宋" w:hAnsi="仿宋" w:eastAsia="仿宋" w:cs="仿宋"/>
                <w:szCs w:val="21"/>
              </w:rPr>
            </w:pPr>
            <w:r>
              <w:rPr>
                <w:rFonts w:hint="eastAsia" w:ascii="仿宋" w:hAnsi="仿宋" w:eastAsia="仿宋" w:cs="仿宋"/>
                <w:szCs w:val="21"/>
              </w:rPr>
              <w:t>13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921C">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9F99">
            <w:pPr>
              <w:rPr>
                <w:rFonts w:hint="eastAsia" w:ascii="仿宋" w:hAnsi="仿宋" w:eastAsia="仿宋" w:cs="仿宋"/>
                <w:szCs w:val="21"/>
              </w:rPr>
            </w:pPr>
            <w:r>
              <w:rPr>
                <w:rFonts w:hint="eastAsia" w:ascii="仿宋" w:hAnsi="仿宋" w:eastAsia="仿宋" w:cs="仿宋"/>
                <w:szCs w:val="21"/>
              </w:rPr>
              <w:t>子目录挂载</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072C">
            <w:pPr>
              <w:rPr>
                <w:rFonts w:hint="eastAsia" w:ascii="仿宋" w:hAnsi="仿宋" w:eastAsia="仿宋" w:cs="仿宋"/>
                <w:szCs w:val="21"/>
              </w:rPr>
            </w:pPr>
            <w:r>
              <w:rPr>
                <w:rFonts w:hint="eastAsia" w:ascii="仿宋" w:hAnsi="仿宋" w:eastAsia="仿宋" w:cs="仿宋"/>
                <w:szCs w:val="21"/>
              </w:rPr>
              <w:t>客户端支持通过POSIX协议挂载文件系统子目录，并对不同的客户端设置不同的子目录挂载和访问权限，方便对用户实现细颗粒度的数据安全管理。</w:t>
            </w:r>
          </w:p>
        </w:tc>
      </w:tr>
      <w:tr w14:paraId="52670741">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6B7">
            <w:pPr>
              <w:rPr>
                <w:rFonts w:hint="eastAsia" w:ascii="仿宋" w:hAnsi="仿宋" w:eastAsia="仿宋" w:cs="仿宋"/>
                <w:szCs w:val="21"/>
              </w:rPr>
            </w:pPr>
            <w:r>
              <w:rPr>
                <w:rFonts w:hint="eastAsia" w:ascii="仿宋" w:hAnsi="仿宋" w:eastAsia="仿宋" w:cs="仿宋"/>
                <w:szCs w:val="21"/>
              </w:rPr>
              <w:t>14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133B">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6B39">
            <w:pPr>
              <w:rPr>
                <w:rFonts w:hint="eastAsia" w:ascii="仿宋" w:hAnsi="仿宋" w:eastAsia="仿宋" w:cs="仿宋"/>
                <w:szCs w:val="21"/>
              </w:rPr>
            </w:pPr>
            <w:r>
              <w:rPr>
                <w:rFonts w:hint="eastAsia" w:ascii="仿宋" w:hAnsi="仿宋" w:eastAsia="仿宋" w:cs="仿宋"/>
                <w:szCs w:val="21"/>
              </w:rPr>
              <w:t>安全管理</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5E4">
            <w:pPr>
              <w:rPr>
                <w:rFonts w:hint="eastAsia" w:ascii="仿宋" w:hAnsi="仿宋" w:eastAsia="仿宋" w:cs="仿宋"/>
                <w:szCs w:val="21"/>
              </w:rPr>
            </w:pPr>
            <w:r>
              <w:rPr>
                <w:rFonts w:hint="eastAsia" w:ascii="仿宋" w:hAnsi="仿宋" w:eastAsia="仿宋" w:cs="仿宋"/>
                <w:szCs w:val="21"/>
              </w:rPr>
              <w:t>为保障数据安全，要求客户端和存储服务端双向关闭SSH无密码访问。</w:t>
            </w:r>
          </w:p>
        </w:tc>
      </w:tr>
      <w:tr w14:paraId="2434B61B">
        <w:tblPrEx>
          <w:tblCellMar>
            <w:top w:w="0" w:type="dxa"/>
            <w:left w:w="108" w:type="dxa"/>
            <w:bottom w:w="0" w:type="dxa"/>
            <w:right w:w="108" w:type="dxa"/>
          </w:tblCellMar>
        </w:tblPrEx>
        <w:trPr>
          <w:trHeight w:val="54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C6A">
            <w:pPr>
              <w:rPr>
                <w:rFonts w:hint="eastAsia" w:ascii="仿宋" w:hAnsi="仿宋" w:eastAsia="仿宋" w:cs="仿宋"/>
                <w:szCs w:val="21"/>
              </w:rPr>
            </w:pPr>
            <w:r>
              <w:rPr>
                <w:rFonts w:hint="eastAsia" w:ascii="仿宋" w:hAnsi="仿宋" w:eastAsia="仿宋" w:cs="仿宋"/>
                <w:szCs w:val="21"/>
              </w:rPr>
              <w:t>15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286">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6C8">
            <w:pPr>
              <w:rPr>
                <w:rFonts w:hint="eastAsia" w:ascii="仿宋" w:hAnsi="仿宋" w:eastAsia="仿宋" w:cs="仿宋"/>
                <w:szCs w:val="21"/>
              </w:rPr>
            </w:pPr>
            <w:r>
              <w:rPr>
                <w:rFonts w:hint="eastAsia" w:ascii="仿宋" w:hAnsi="仿宋" w:eastAsia="仿宋" w:cs="仿宋"/>
                <w:szCs w:val="21"/>
              </w:rPr>
              <w:t>数据迁移</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43F">
            <w:pPr>
              <w:rPr>
                <w:rFonts w:hint="eastAsia" w:ascii="仿宋" w:hAnsi="仿宋" w:eastAsia="仿宋" w:cs="仿宋"/>
                <w:szCs w:val="21"/>
              </w:rPr>
            </w:pPr>
            <w:r>
              <w:rPr>
                <w:rFonts w:hint="eastAsia" w:ascii="仿宋" w:hAnsi="仿宋" w:eastAsia="仿宋" w:cs="仿宋"/>
                <w:szCs w:val="21"/>
              </w:rPr>
              <w:t>支持数据迁移功能，非第三方OEM软件产品或功能，迁移过程可视化。</w:t>
            </w:r>
          </w:p>
        </w:tc>
      </w:tr>
      <w:tr w14:paraId="0D435C89">
        <w:tblPrEx>
          <w:tblCellMar>
            <w:top w:w="0" w:type="dxa"/>
            <w:left w:w="108" w:type="dxa"/>
            <w:bottom w:w="0" w:type="dxa"/>
            <w:right w:w="108" w:type="dxa"/>
          </w:tblCellMar>
        </w:tblPrEx>
        <w:trPr>
          <w:trHeight w:val="108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EB4">
            <w:pPr>
              <w:rPr>
                <w:rFonts w:hint="eastAsia" w:ascii="仿宋" w:hAnsi="仿宋" w:eastAsia="仿宋" w:cs="仿宋"/>
                <w:szCs w:val="21"/>
              </w:rPr>
            </w:pPr>
            <w:r>
              <w:rPr>
                <w:rFonts w:hint="eastAsia" w:ascii="仿宋" w:hAnsi="仿宋" w:eastAsia="仿宋" w:cs="仿宋"/>
                <w:szCs w:val="21"/>
              </w:rPr>
              <w:t>16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4DD">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686B">
            <w:pPr>
              <w:rPr>
                <w:rFonts w:hint="eastAsia" w:ascii="仿宋" w:hAnsi="仿宋" w:eastAsia="仿宋" w:cs="仿宋"/>
                <w:szCs w:val="21"/>
              </w:rPr>
            </w:pPr>
            <w:r>
              <w:rPr>
                <w:rFonts w:hint="eastAsia" w:ascii="仿宋" w:hAnsi="仿宋" w:eastAsia="仿宋" w:cs="仿宋"/>
                <w:szCs w:val="21"/>
              </w:rPr>
              <w:t>数据重建</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91B">
            <w:pPr>
              <w:rPr>
                <w:rFonts w:hint="eastAsia" w:ascii="仿宋" w:hAnsi="仿宋" w:eastAsia="仿宋" w:cs="仿宋"/>
                <w:szCs w:val="21"/>
              </w:rPr>
            </w:pPr>
            <w:r>
              <w:rPr>
                <w:rFonts w:hint="eastAsia" w:ascii="仿宋" w:hAnsi="仿宋" w:eastAsia="仿宋" w:cs="仿宋"/>
                <w:szCs w:val="21"/>
              </w:rPr>
              <w:t>分布式存储磁盘或节点故障后，可自动触发数据重建修复，数据重建1TB容量时间≤10分钟。</w:t>
            </w:r>
            <w:r>
              <w:rPr>
                <w:rFonts w:hint="eastAsia" w:ascii="仿宋" w:hAnsi="仿宋" w:eastAsia="仿宋" w:cs="仿宋"/>
                <w:color w:val="000000" w:themeColor="text1"/>
                <w:szCs w:val="21"/>
                <w14:textFill>
                  <w14:solidFill>
                    <w14:schemeClr w14:val="tx1"/>
                  </w14:solidFill>
                </w14:textFill>
              </w:rPr>
              <w:t>需提供所投产品的CNAS认证测试报告。</w:t>
            </w:r>
          </w:p>
        </w:tc>
      </w:tr>
      <w:tr w14:paraId="306B7845">
        <w:tblPrEx>
          <w:tblCellMar>
            <w:top w:w="0" w:type="dxa"/>
            <w:left w:w="108" w:type="dxa"/>
            <w:bottom w:w="0" w:type="dxa"/>
            <w:right w:w="108" w:type="dxa"/>
          </w:tblCellMar>
        </w:tblPrEx>
        <w:trPr>
          <w:trHeight w:val="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C5A">
            <w:pPr>
              <w:rPr>
                <w:rFonts w:hint="eastAsia" w:ascii="仿宋" w:hAnsi="仿宋" w:eastAsia="仿宋" w:cs="仿宋"/>
                <w:szCs w:val="21"/>
              </w:rPr>
            </w:pPr>
            <w:r>
              <w:rPr>
                <w:rFonts w:hint="eastAsia" w:ascii="仿宋" w:hAnsi="仿宋" w:eastAsia="仿宋" w:cs="仿宋"/>
                <w:szCs w:val="21"/>
              </w:rPr>
              <w:t>17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492">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A5A1">
            <w:pPr>
              <w:rPr>
                <w:rFonts w:hint="eastAsia" w:ascii="仿宋" w:hAnsi="仿宋" w:eastAsia="仿宋" w:cs="仿宋"/>
                <w:szCs w:val="21"/>
              </w:rPr>
            </w:pPr>
            <w:r>
              <w:rPr>
                <w:rFonts w:hint="eastAsia" w:ascii="仿宋" w:hAnsi="仿宋" w:eastAsia="仿宋" w:cs="仿宋"/>
                <w:szCs w:val="21"/>
              </w:rPr>
              <w:t>多集群管理</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FF0C">
            <w:pPr>
              <w:rPr>
                <w:rFonts w:hint="eastAsia" w:ascii="仿宋" w:hAnsi="仿宋" w:eastAsia="仿宋" w:cs="仿宋"/>
                <w:szCs w:val="21"/>
              </w:rPr>
            </w:pPr>
            <w:r>
              <w:rPr>
                <w:rFonts w:hint="eastAsia" w:ascii="仿宋" w:hAnsi="仿宋" w:eastAsia="仿宋" w:cs="仿宋"/>
                <w:szCs w:val="21"/>
              </w:rPr>
              <w:t>提供GUI管理界面，支持运维可视化，无需第三方软件或插件，即可支持同一Web界面管理多套存储集群。</w:t>
            </w:r>
          </w:p>
        </w:tc>
      </w:tr>
      <w:tr w14:paraId="75FE299F">
        <w:tblPrEx>
          <w:tblCellMar>
            <w:top w:w="0" w:type="dxa"/>
            <w:left w:w="108" w:type="dxa"/>
            <w:bottom w:w="0" w:type="dxa"/>
            <w:right w:w="108" w:type="dxa"/>
          </w:tblCellMar>
        </w:tblPrEx>
        <w:trPr>
          <w:trHeight w:val="216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BE1">
            <w:pPr>
              <w:rPr>
                <w:rFonts w:hint="eastAsia" w:ascii="仿宋" w:hAnsi="仿宋" w:eastAsia="仿宋" w:cs="仿宋"/>
                <w:szCs w:val="21"/>
              </w:rPr>
            </w:pPr>
            <w:r>
              <w:rPr>
                <w:rFonts w:hint="eastAsia" w:ascii="仿宋" w:hAnsi="仿宋" w:eastAsia="仿宋" w:cs="仿宋"/>
                <w:szCs w:val="21"/>
              </w:rPr>
              <w:t>18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FAF">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0A3D">
            <w:pPr>
              <w:rPr>
                <w:rFonts w:hint="eastAsia" w:ascii="仿宋" w:hAnsi="仿宋" w:eastAsia="仿宋" w:cs="仿宋"/>
                <w:szCs w:val="21"/>
              </w:rPr>
            </w:pPr>
            <w:r>
              <w:rPr>
                <w:rFonts w:hint="eastAsia" w:ascii="仿宋" w:hAnsi="仿宋" w:eastAsia="仿宋" w:cs="仿宋"/>
                <w:szCs w:val="21"/>
              </w:rPr>
              <w:t>IO智能分析</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BF68">
            <w:pPr>
              <w:rPr>
                <w:rFonts w:hint="eastAsia" w:ascii="仿宋" w:hAnsi="仿宋" w:eastAsia="仿宋" w:cs="仿宋"/>
                <w:szCs w:val="21"/>
              </w:rPr>
            </w:pPr>
            <w:r>
              <w:rPr>
                <w:rFonts w:hint="eastAsia" w:ascii="仿宋" w:hAnsi="仿宋" w:eastAsia="仿宋" w:cs="仿宋"/>
                <w:szCs w:val="21"/>
              </w:rPr>
              <w:t>提供存储IO智能分析系统软件，对用户承载的业务进行IO模型分析，支持IO读写分布统计、IO块大小统计、随机程度统计、客户端带宽及IOPS、独立缓存节点特性等分析等，并支持以饼图、柱状图、折线图、列表等方式在Web进行正确展示。</w:t>
            </w:r>
            <w:r>
              <w:rPr>
                <w:rFonts w:hint="eastAsia" w:ascii="仿宋" w:hAnsi="仿宋" w:eastAsia="仿宋" w:cs="仿宋"/>
                <w:color w:val="000000" w:themeColor="text1"/>
                <w:szCs w:val="21"/>
                <w14:textFill>
                  <w14:solidFill>
                    <w14:schemeClr w14:val="tx1"/>
                  </w14:solidFill>
                </w14:textFill>
              </w:rPr>
              <w:t>需提供所投产品的CNAS认证测试报告。</w:t>
            </w:r>
          </w:p>
        </w:tc>
      </w:tr>
      <w:tr w14:paraId="280E7B30">
        <w:tblPrEx>
          <w:tblCellMar>
            <w:top w:w="0" w:type="dxa"/>
            <w:left w:w="108" w:type="dxa"/>
            <w:bottom w:w="0" w:type="dxa"/>
            <w:right w:w="108" w:type="dxa"/>
          </w:tblCellMar>
        </w:tblPrEx>
        <w:trPr>
          <w:trHeight w:val="135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C95D">
            <w:pPr>
              <w:rPr>
                <w:rFonts w:hint="eastAsia" w:ascii="仿宋" w:hAnsi="仿宋" w:eastAsia="仿宋" w:cs="仿宋"/>
                <w:szCs w:val="21"/>
              </w:rPr>
            </w:pPr>
            <w:r>
              <w:rPr>
                <w:rFonts w:hint="eastAsia" w:ascii="仿宋" w:hAnsi="仿宋" w:eastAsia="仿宋" w:cs="仿宋"/>
                <w:szCs w:val="21"/>
              </w:rPr>
              <w:t>19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BA3">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3B48">
            <w:pPr>
              <w:rPr>
                <w:rFonts w:hint="eastAsia" w:ascii="仿宋" w:hAnsi="仿宋" w:eastAsia="仿宋" w:cs="仿宋"/>
                <w:szCs w:val="21"/>
              </w:rPr>
            </w:pPr>
            <w:r>
              <w:rPr>
                <w:rFonts w:hint="eastAsia" w:ascii="仿宋" w:hAnsi="仿宋" w:eastAsia="仿宋" w:cs="仿宋"/>
                <w:szCs w:val="21"/>
              </w:rPr>
              <w:t>监控管理</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DE1">
            <w:pPr>
              <w:rPr>
                <w:rFonts w:hint="eastAsia" w:ascii="仿宋" w:hAnsi="仿宋" w:eastAsia="仿宋" w:cs="仿宋"/>
                <w:szCs w:val="21"/>
              </w:rPr>
            </w:pPr>
            <w:r>
              <w:rPr>
                <w:rFonts w:hint="eastAsia" w:ascii="仿宋" w:hAnsi="仿宋" w:eastAsia="仿宋" w:cs="仿宋"/>
                <w:szCs w:val="21"/>
              </w:rPr>
              <w:t>提供对存储整机、所有类型磁盘、网络接口、电源模块等部件的视图级监控，故障位置需与实际保持一致，支持在Web界面对数据硬盘进行点灯定位功能。</w:t>
            </w:r>
          </w:p>
        </w:tc>
      </w:tr>
      <w:tr w14:paraId="7234F3A6">
        <w:tblPrEx>
          <w:tblCellMar>
            <w:top w:w="0" w:type="dxa"/>
            <w:left w:w="108" w:type="dxa"/>
            <w:bottom w:w="0" w:type="dxa"/>
            <w:right w:w="108" w:type="dxa"/>
          </w:tblCellMar>
        </w:tblPrEx>
        <w:trPr>
          <w:trHeight w:val="162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322">
            <w:pPr>
              <w:rPr>
                <w:rFonts w:hint="eastAsia" w:ascii="仿宋" w:hAnsi="仿宋" w:eastAsia="仿宋" w:cs="仿宋"/>
                <w:szCs w:val="21"/>
              </w:rPr>
            </w:pPr>
            <w:r>
              <w:rPr>
                <w:rFonts w:hint="eastAsia" w:ascii="仿宋" w:hAnsi="仿宋" w:eastAsia="仿宋" w:cs="仿宋"/>
                <w:szCs w:val="21"/>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26E">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8B51">
            <w:pPr>
              <w:rPr>
                <w:rFonts w:hint="eastAsia" w:ascii="仿宋" w:hAnsi="仿宋" w:eastAsia="仿宋" w:cs="仿宋"/>
                <w:szCs w:val="21"/>
              </w:rPr>
            </w:pPr>
            <w:r>
              <w:rPr>
                <w:rFonts w:hint="eastAsia" w:ascii="仿宋" w:hAnsi="仿宋" w:eastAsia="仿宋" w:cs="仿宋"/>
                <w:szCs w:val="21"/>
              </w:rPr>
              <w:t>客户端性能统计</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58CC">
            <w:pPr>
              <w:rPr>
                <w:rFonts w:hint="eastAsia" w:ascii="仿宋" w:hAnsi="仿宋" w:eastAsia="仿宋" w:cs="仿宋"/>
                <w:szCs w:val="21"/>
              </w:rPr>
            </w:pPr>
            <w:r>
              <w:rPr>
                <w:rFonts w:hint="eastAsia" w:ascii="仿宋" w:hAnsi="仿宋" w:eastAsia="仿宋" w:cs="仿宋"/>
                <w:szCs w:val="21"/>
              </w:rPr>
              <w:t>存储系统Web管理界面支持对POSIX、NFS、CIFS、FTP客户端的读写带宽、读写IOPS、读写延迟进行实时统计监控，支持对协议类型进行分类统计，支持根据IP地址进行搜索。需提供存储Web界面功能截图。</w:t>
            </w:r>
          </w:p>
        </w:tc>
      </w:tr>
      <w:tr w14:paraId="09ADF6DB">
        <w:tblPrEx>
          <w:tblCellMar>
            <w:top w:w="0" w:type="dxa"/>
            <w:left w:w="108" w:type="dxa"/>
            <w:bottom w:w="0" w:type="dxa"/>
            <w:right w:w="108" w:type="dxa"/>
          </w:tblCellMar>
        </w:tblPrEx>
        <w:trPr>
          <w:trHeight w:val="135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D00">
            <w:pPr>
              <w:rPr>
                <w:rFonts w:hint="eastAsia" w:ascii="仿宋" w:hAnsi="仿宋" w:eastAsia="仿宋" w:cs="仿宋"/>
                <w:szCs w:val="21"/>
              </w:rPr>
            </w:pPr>
            <w:r>
              <w:rPr>
                <w:rFonts w:hint="eastAsia" w:ascii="仿宋" w:hAnsi="仿宋" w:eastAsia="仿宋" w:cs="仿宋"/>
                <w:szCs w:val="21"/>
              </w:rPr>
              <w:t>21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EDC">
            <w:pPr>
              <w:rPr>
                <w:rFonts w:hint="eastAsia" w:ascii="仿宋" w:hAnsi="仿宋" w:eastAsia="仿宋" w:cs="仿宋"/>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2A4A">
            <w:pPr>
              <w:rPr>
                <w:rFonts w:hint="eastAsia" w:ascii="仿宋" w:hAnsi="仿宋" w:eastAsia="仿宋" w:cs="仿宋"/>
                <w:szCs w:val="21"/>
              </w:rPr>
            </w:pPr>
            <w:r>
              <w:rPr>
                <w:rFonts w:hint="eastAsia" w:ascii="仿宋" w:hAnsi="仿宋" w:eastAsia="仿宋" w:cs="仿宋"/>
                <w:szCs w:val="21"/>
              </w:rPr>
              <w:t>报表管理</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688">
            <w:pPr>
              <w:rPr>
                <w:rFonts w:hint="eastAsia" w:ascii="仿宋" w:hAnsi="仿宋" w:eastAsia="仿宋" w:cs="仿宋"/>
                <w:szCs w:val="21"/>
              </w:rPr>
            </w:pPr>
            <w:r>
              <w:rPr>
                <w:rFonts w:hint="eastAsia" w:ascii="仿宋" w:hAnsi="仿宋" w:eastAsia="仿宋" w:cs="仿宋"/>
                <w:szCs w:val="21"/>
              </w:rPr>
              <w:t>支持设置单指标时序图、多指标对比图等图表类型，支持对节点及存储集群设置带宽、IOPS、容量等报表指标类型的自定义报表输出，支持导出CSV和PDF等常用格式报表。</w:t>
            </w:r>
          </w:p>
        </w:tc>
      </w:tr>
      <w:tr w14:paraId="49576BFC">
        <w:tblPrEx>
          <w:tblCellMar>
            <w:top w:w="0" w:type="dxa"/>
            <w:left w:w="108" w:type="dxa"/>
            <w:bottom w:w="0" w:type="dxa"/>
            <w:right w:w="108" w:type="dxa"/>
          </w:tblCellMar>
        </w:tblPrEx>
        <w:trPr>
          <w:trHeight w:val="136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E653">
            <w:pPr>
              <w:rPr>
                <w:rFonts w:hint="eastAsia" w:ascii="仿宋" w:hAnsi="仿宋" w:eastAsia="仿宋" w:cs="仿宋"/>
                <w:szCs w:val="21"/>
              </w:rPr>
            </w:pPr>
            <w:r>
              <w:rPr>
                <w:rFonts w:hint="eastAsia" w:ascii="仿宋" w:hAnsi="仿宋" w:eastAsia="仿宋" w:cs="仿宋"/>
                <w:szCs w:val="21"/>
              </w:rPr>
              <w:t>22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69F4">
            <w:pPr>
              <w:rPr>
                <w:rFonts w:hint="eastAsia" w:ascii="仿宋" w:hAnsi="仿宋" w:eastAsia="仿宋" w:cs="仿宋"/>
                <w:szCs w:val="21"/>
              </w:rPr>
            </w:pPr>
            <w:r>
              <w:rPr>
                <w:rFonts w:hint="eastAsia" w:ascii="宋体" w:hAnsi="宋体" w:cs="Arial"/>
                <w:sz w:val="24"/>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F1F3">
            <w:pPr>
              <w:rPr>
                <w:rFonts w:hint="eastAsia" w:ascii="仿宋" w:hAnsi="仿宋" w:eastAsia="仿宋" w:cs="仿宋"/>
                <w:szCs w:val="21"/>
              </w:rPr>
            </w:pPr>
            <w:r>
              <w:rPr>
                <w:rFonts w:hint="eastAsia" w:ascii="仿宋" w:hAnsi="仿宋" w:eastAsia="仿宋" w:cs="仿宋"/>
                <w:szCs w:val="21"/>
              </w:rPr>
              <w:t>整集群掉电保护</w:t>
            </w: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130">
            <w:pPr>
              <w:rPr>
                <w:rFonts w:hint="eastAsia" w:ascii="仿宋" w:hAnsi="仿宋" w:eastAsia="仿宋" w:cs="仿宋"/>
                <w:szCs w:val="21"/>
              </w:rPr>
            </w:pPr>
            <w:r>
              <w:rPr>
                <w:rFonts w:hint="eastAsia" w:ascii="仿宋" w:hAnsi="仿宋" w:eastAsia="仿宋" w:cs="仿宋"/>
                <w:szCs w:val="21"/>
              </w:rPr>
              <w:t>存储提供针对目录区分数据写入存储节点的返回机制，开启此功能的目录及子目录下的数据写入磁盘返回，未开启的目录数据写入内存返回。</w:t>
            </w:r>
            <w:r>
              <w:rPr>
                <w:rFonts w:hint="eastAsia" w:ascii="仿宋" w:hAnsi="仿宋" w:eastAsia="仿宋" w:cs="仿宋"/>
                <w:color w:val="000000" w:themeColor="text1"/>
                <w:szCs w:val="21"/>
                <w14:textFill>
                  <w14:solidFill>
                    <w14:schemeClr w14:val="tx1"/>
                  </w14:solidFill>
                </w14:textFill>
              </w:rPr>
              <w:t>需提供所投产品的CNAS认证测试报告。</w:t>
            </w:r>
          </w:p>
        </w:tc>
      </w:tr>
    </w:tbl>
    <w:p w14:paraId="66D9207E">
      <w:pPr>
        <w:pStyle w:val="20"/>
        <w:ind w:left="420" w:firstLine="0" w:firstLineChars="0"/>
        <w:rPr>
          <w:rFonts w:hint="eastAsia" w:ascii="仿宋" w:hAnsi="仿宋" w:eastAsia="仿宋"/>
          <w:b/>
          <w:sz w:val="30"/>
          <w:szCs w:val="30"/>
        </w:rPr>
      </w:pPr>
    </w:p>
    <w:p w14:paraId="744329D0">
      <w:pPr>
        <w:pStyle w:val="20"/>
        <w:numPr>
          <w:ilvl w:val="0"/>
          <w:numId w:val="3"/>
        </w:numPr>
        <w:ind w:firstLine="0" w:firstLineChars="0"/>
        <w:jc w:val="left"/>
        <w:outlineLvl w:val="1"/>
        <w:rPr>
          <w:rFonts w:hint="eastAsia" w:ascii="仿宋" w:hAnsi="仿宋" w:eastAsia="仿宋"/>
          <w:b/>
          <w:sz w:val="24"/>
        </w:rPr>
      </w:pPr>
      <w:r>
        <w:rPr>
          <w:rFonts w:hint="eastAsia" w:ascii="仿宋" w:hAnsi="仿宋" w:eastAsia="仿宋"/>
          <w:b/>
          <w:sz w:val="24"/>
        </w:rPr>
        <w:t>集群监控管理及作业调度系统（1套）</w:t>
      </w:r>
    </w:p>
    <w:tbl>
      <w:tblPr>
        <w:tblStyle w:val="10"/>
        <w:tblW w:w="845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047"/>
        <w:gridCol w:w="1064"/>
        <w:gridCol w:w="5663"/>
      </w:tblGrid>
      <w:tr w14:paraId="6E14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679" w:type="dxa"/>
            <w:shd w:val="clear" w:color="auto" w:fill="auto"/>
            <w:vAlign w:val="center"/>
          </w:tcPr>
          <w:p w14:paraId="3FCA0F9A">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1047" w:type="dxa"/>
            <w:shd w:val="clear" w:color="auto" w:fill="auto"/>
            <w:vAlign w:val="center"/>
          </w:tcPr>
          <w:p w14:paraId="7A4206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重要性</w:t>
            </w:r>
          </w:p>
        </w:tc>
        <w:tc>
          <w:tcPr>
            <w:tcW w:w="1064" w:type="dxa"/>
            <w:shd w:val="clear" w:color="auto" w:fill="auto"/>
            <w:vAlign w:val="center"/>
          </w:tcPr>
          <w:p w14:paraId="4492C2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指标项</w:t>
            </w:r>
          </w:p>
        </w:tc>
        <w:tc>
          <w:tcPr>
            <w:tcW w:w="5663" w:type="dxa"/>
            <w:shd w:val="clear" w:color="auto" w:fill="auto"/>
            <w:vAlign w:val="center"/>
          </w:tcPr>
          <w:p w14:paraId="0989BA9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指标要求</w:t>
            </w:r>
          </w:p>
        </w:tc>
      </w:tr>
      <w:tr w14:paraId="0FDB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9" w:type="dxa"/>
            <w:shd w:val="clear" w:color="auto" w:fill="auto"/>
            <w:vAlign w:val="center"/>
          </w:tcPr>
          <w:p w14:paraId="7DAEB85F">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0B97C664">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4DB79C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总体要求</w:t>
            </w:r>
          </w:p>
        </w:tc>
        <w:tc>
          <w:tcPr>
            <w:tcW w:w="5663" w:type="dxa"/>
            <w:shd w:val="clear" w:color="auto" w:fill="auto"/>
            <w:vAlign w:val="center"/>
          </w:tcPr>
          <w:p w14:paraId="328AC2B9">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为保证系统兼容性，要求集群管理调度平台与计算节点同一品牌，且为成熟商业版软件，提供软件著作权。</w:t>
            </w:r>
          </w:p>
        </w:tc>
      </w:tr>
      <w:tr w14:paraId="2657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9" w:type="dxa"/>
            <w:shd w:val="clear" w:color="auto" w:fill="auto"/>
            <w:vAlign w:val="center"/>
          </w:tcPr>
          <w:p w14:paraId="21C75128">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684FE6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064" w:type="dxa"/>
            <w:shd w:val="clear" w:color="auto" w:fill="auto"/>
            <w:vAlign w:val="center"/>
          </w:tcPr>
          <w:p w14:paraId="6EA3CC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许可</w:t>
            </w:r>
          </w:p>
        </w:tc>
        <w:tc>
          <w:tcPr>
            <w:tcW w:w="5663" w:type="dxa"/>
            <w:shd w:val="clear" w:color="auto" w:fill="auto"/>
            <w:vAlign w:val="center"/>
          </w:tcPr>
          <w:p w14:paraId="265EF188">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配置满足此次项目所需所有许可</w:t>
            </w:r>
          </w:p>
        </w:tc>
      </w:tr>
      <w:tr w14:paraId="51D7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9" w:type="dxa"/>
            <w:shd w:val="clear" w:color="auto" w:fill="auto"/>
            <w:vAlign w:val="center"/>
          </w:tcPr>
          <w:p w14:paraId="3FAF15CA">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3BD732E2">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205033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统一门户</w:t>
            </w:r>
          </w:p>
        </w:tc>
        <w:tc>
          <w:tcPr>
            <w:tcW w:w="5663" w:type="dxa"/>
            <w:shd w:val="clear" w:color="auto" w:fill="auto"/>
            <w:vAlign w:val="center"/>
          </w:tcPr>
          <w:p w14:paraId="65DCC6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统一门户，提供计算服务运营能力，包括资源服务申请、资源审批、配额管理、数据管理、权限管理、分级管理、计费功能及集群自动化运维、运营状况统计等功能。可以实现科学计算、工程计算、人工智能等业务形态融合与门户统一，支持接入多计算中心。</w:t>
            </w:r>
          </w:p>
        </w:tc>
      </w:tr>
      <w:tr w14:paraId="1CAC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12A7CE14">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CB6EBA3">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2CA011F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应用兼容性</w:t>
            </w:r>
          </w:p>
        </w:tc>
        <w:tc>
          <w:tcPr>
            <w:tcW w:w="5663" w:type="dxa"/>
            <w:shd w:val="clear" w:color="auto" w:fill="auto"/>
            <w:vAlign w:val="center"/>
          </w:tcPr>
          <w:p w14:paraId="425737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兼容CUDA、HIP、OpenCL编程模型，兼容CUDA、ROCm运行环境，并支持相应程序和应用软件，提供产品功能截图（需加盖原厂商公章）。</w:t>
            </w:r>
          </w:p>
        </w:tc>
      </w:tr>
      <w:tr w14:paraId="32DB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3D5749A1">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6B887AF7">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594BB8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多集群调度</w:t>
            </w:r>
          </w:p>
        </w:tc>
        <w:tc>
          <w:tcPr>
            <w:tcW w:w="5663" w:type="dxa"/>
            <w:shd w:val="clear" w:color="auto" w:fill="auto"/>
            <w:vAlign w:val="center"/>
          </w:tcPr>
          <w:p w14:paraId="687371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调度系统支持面向多中心的联合调度，支持对异构模式多进程和异构多线程运行模式的启动；支持包括预留和抢占等在内的资源保证策略，提供高并发提交和高吞吐量调度（10000作业/秒以上）的支持。</w:t>
            </w:r>
          </w:p>
        </w:tc>
      </w:tr>
      <w:tr w14:paraId="30C2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29A92C69">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94DE1FB">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0D41F55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团队/课题组管理</w:t>
            </w:r>
          </w:p>
        </w:tc>
        <w:tc>
          <w:tcPr>
            <w:tcW w:w="5663" w:type="dxa"/>
            <w:shd w:val="clear" w:color="auto" w:fill="auto"/>
            <w:vAlign w:val="center"/>
          </w:tcPr>
          <w:p w14:paraId="2DF167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课题组管理，系统管理员可以创建课题组，课题组管理员可以创建、管理组内用户，对组内用户进行添加、删除，以及资源分配工作，课题组管理员还能查看所属组内是否用户账单信息等。提供原厂商证明材料（需加盖原厂商公章）。</w:t>
            </w:r>
          </w:p>
        </w:tc>
      </w:tr>
      <w:tr w14:paraId="212F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9" w:type="dxa"/>
            <w:shd w:val="clear" w:color="auto" w:fill="auto"/>
            <w:vAlign w:val="center"/>
          </w:tcPr>
          <w:p w14:paraId="38E27E54">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0CCB6E96">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43E05AF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计费管理</w:t>
            </w:r>
          </w:p>
        </w:tc>
        <w:tc>
          <w:tcPr>
            <w:tcW w:w="5663" w:type="dxa"/>
            <w:shd w:val="clear" w:color="auto" w:fill="auto"/>
            <w:vAlign w:val="center"/>
          </w:tcPr>
          <w:p w14:paraId="08E4A9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针对用户/团队（课题组）的充值计费功能，可以针对用户和用户组的计费、收支明细账单管理，实现对费用（机时）的精细化管理和控制。包括预计费功能、灵活的用户配额制度、直观的资源配额查询、详细的充值明细记录、灵活多样的自定义费率等功能。支持按照资源总量、资源规格、资源类型进行计费。</w:t>
            </w:r>
          </w:p>
        </w:tc>
      </w:tr>
      <w:tr w14:paraId="58D5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9" w:type="dxa"/>
            <w:shd w:val="clear" w:color="auto" w:fill="auto"/>
            <w:vAlign w:val="center"/>
          </w:tcPr>
          <w:p w14:paraId="032C77C3">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6D4EEB5F">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2092D1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账单统计</w:t>
            </w:r>
          </w:p>
        </w:tc>
        <w:tc>
          <w:tcPr>
            <w:tcW w:w="5663" w:type="dxa"/>
            <w:shd w:val="clear" w:color="auto" w:fill="auto"/>
            <w:vAlign w:val="center"/>
          </w:tcPr>
          <w:p w14:paraId="45310B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异构资源计量计费模型，支持灵活设置相关参数，支持按照月度、年度等时间段定期输出计量计费账单；可从不同维度查看消费账单；同时根据不同资源类型CPU、GPU、存储空间的计费，支持查看共享资源费用、独占资源费用以及异常扣费等消费明细，支持查看用户/团队收支明细；支持导出账单信息。</w:t>
            </w:r>
          </w:p>
        </w:tc>
      </w:tr>
      <w:tr w14:paraId="4CF7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6B892EA0">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3E9E6B49">
            <w:pPr>
              <w:jc w:val="center"/>
              <w:rPr>
                <w:rFonts w:hint="eastAsia" w:ascii="仿宋" w:hAnsi="仿宋" w:eastAsia="仿宋" w:cs="仿宋"/>
                <w:color w:val="000000"/>
                <w:szCs w:val="21"/>
              </w:rPr>
            </w:pPr>
          </w:p>
        </w:tc>
        <w:tc>
          <w:tcPr>
            <w:tcW w:w="1064" w:type="dxa"/>
            <w:shd w:val="clear" w:color="auto" w:fill="auto"/>
            <w:vAlign w:val="center"/>
          </w:tcPr>
          <w:p w14:paraId="2AFD2F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通知中心</w:t>
            </w:r>
          </w:p>
        </w:tc>
        <w:tc>
          <w:tcPr>
            <w:tcW w:w="5663" w:type="dxa"/>
            <w:shd w:val="clear" w:color="auto" w:fill="auto"/>
            <w:vAlign w:val="center"/>
          </w:tcPr>
          <w:p w14:paraId="3E425F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支持普通用户和管理员接受系统通知，通过邮件或消息方式通知，接受欠费、资源到期、作业开始运行、作业完成、作业异常等进行业务通知。</w:t>
            </w:r>
          </w:p>
        </w:tc>
      </w:tr>
      <w:tr w14:paraId="5274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9" w:type="dxa"/>
            <w:shd w:val="clear" w:color="auto" w:fill="auto"/>
            <w:vAlign w:val="center"/>
          </w:tcPr>
          <w:p w14:paraId="32FB7407">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34D75313">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03C95F3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数据分析</w:t>
            </w:r>
          </w:p>
        </w:tc>
        <w:tc>
          <w:tcPr>
            <w:tcW w:w="5663" w:type="dxa"/>
            <w:shd w:val="clear" w:color="auto" w:fill="auto"/>
            <w:vAlign w:val="center"/>
          </w:tcPr>
          <w:p w14:paraId="60DD017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支持用户数据分析、资源数据分析、报表等。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资源数据：可查看多个接入的集群中不同集群的CPU总机时统计、加速卡机时统计、集群作业统计、应用作业统计等信息，支持设置所需查看时间段，支持导出。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报表：支持从用户、队列、节点、应用、作业规模等不同维度查看统计信息；支持从用户、队列、集群等不同维度查看分析报表；支持查看异常作业统计，以及占比情况，支持查看异常作业原因分析；支持设置不用时间段，支持设置不用时间段，支持查看多个接入的集群中不同集群统计情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提供原厂商证明材料（需加盖原厂商公章）。</w:t>
            </w:r>
          </w:p>
        </w:tc>
      </w:tr>
      <w:tr w14:paraId="55EC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9" w:type="dxa"/>
            <w:shd w:val="clear" w:color="auto" w:fill="auto"/>
            <w:vAlign w:val="center"/>
          </w:tcPr>
          <w:p w14:paraId="57B06B43">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640C4357">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71C7C7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数据集管理</w:t>
            </w:r>
          </w:p>
        </w:tc>
        <w:tc>
          <w:tcPr>
            <w:tcW w:w="5663" w:type="dxa"/>
            <w:shd w:val="clear" w:color="auto" w:fill="auto"/>
            <w:vAlign w:val="center"/>
          </w:tcPr>
          <w:p w14:paraId="0772DA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支持按照应用场景和格式管理用户数据集，支持对数据集添加数据标注信息，并可按照版本进行管理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支持将个人数据集共享至平台，可选择同步共享的标注版本，配置共享范围和共享模式。</w:t>
            </w:r>
          </w:p>
        </w:tc>
      </w:tr>
      <w:tr w14:paraId="7F5E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9" w:type="dxa"/>
            <w:shd w:val="clear" w:color="auto" w:fill="auto"/>
            <w:vAlign w:val="center"/>
          </w:tcPr>
          <w:p w14:paraId="53FFB1E4">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419940B8">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22D19C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多调度兼容</w:t>
            </w:r>
          </w:p>
        </w:tc>
        <w:tc>
          <w:tcPr>
            <w:tcW w:w="5663" w:type="dxa"/>
            <w:shd w:val="clear" w:color="auto" w:fill="auto"/>
            <w:vAlign w:val="center"/>
          </w:tcPr>
          <w:p w14:paraId="682E58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支持Slurm等高性能计算调度器作为调度引擎，适配不同的业务场景</w:t>
            </w:r>
          </w:p>
        </w:tc>
      </w:tr>
      <w:tr w14:paraId="3A2D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48C029A2">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E018613">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7FB32C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多加速器兼容</w:t>
            </w:r>
          </w:p>
        </w:tc>
        <w:tc>
          <w:tcPr>
            <w:tcW w:w="5663" w:type="dxa"/>
            <w:shd w:val="clear" w:color="auto" w:fill="auto"/>
            <w:vAlign w:val="center"/>
          </w:tcPr>
          <w:p w14:paraId="0B09F20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支持在同一调度器中，同时管理、调度和监控业界主流NVDIA GPU和MLU等国产加速器，提供原厂商证明材料（需加盖原厂商公章）</w:t>
            </w:r>
          </w:p>
        </w:tc>
      </w:tr>
      <w:tr w14:paraId="64EB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12AAF3AF">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589971C1">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7A78EB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应用集成</w:t>
            </w:r>
          </w:p>
        </w:tc>
        <w:tc>
          <w:tcPr>
            <w:tcW w:w="5663" w:type="dxa"/>
            <w:shd w:val="clear" w:color="auto" w:fill="auto"/>
            <w:vAlign w:val="center"/>
          </w:tcPr>
          <w:p w14:paraId="69DB73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提供所有常见高性能应用（如Ansys、Abaqus、Gaussian、Vasp、等）的作业的交互式提交页面，整合文件管理、VNC等功能，有效降低工程应用人员使用算力中心的门槛。提供原厂商证明材料（需加盖原厂商公章）</w:t>
            </w:r>
          </w:p>
        </w:tc>
      </w:tr>
      <w:tr w14:paraId="3F49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52122307">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05B88961">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6CCCB7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作业提交</w:t>
            </w:r>
          </w:p>
        </w:tc>
        <w:tc>
          <w:tcPr>
            <w:tcW w:w="5663" w:type="dxa"/>
            <w:shd w:val="clear" w:color="auto" w:fill="auto"/>
            <w:vAlign w:val="center"/>
          </w:tcPr>
          <w:p w14:paraId="22F173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支持远程命令行提交、模板提交、图形提交多种作业提交方式。</w:t>
            </w:r>
          </w:p>
        </w:tc>
      </w:tr>
      <w:tr w14:paraId="77BB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51CC917F">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059E8104">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5E42B0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三维可视化设计</w:t>
            </w:r>
          </w:p>
        </w:tc>
        <w:tc>
          <w:tcPr>
            <w:tcW w:w="5663" w:type="dxa"/>
            <w:shd w:val="clear" w:color="auto" w:fill="auto"/>
            <w:vAlign w:val="center"/>
          </w:tcPr>
          <w:p w14:paraId="6385CB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支持针对Windows、Linux操作系统集成不同的三维可视化解决方案，如：集成DCV方案，提供原厂商证明材料（需加盖原厂商公章）</w:t>
            </w:r>
          </w:p>
        </w:tc>
      </w:tr>
      <w:tr w14:paraId="3EC5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260700C5">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5AC9B803">
            <w:pPr>
              <w:jc w:val="center"/>
              <w:rPr>
                <w:rFonts w:hint="eastAsia" w:ascii="仿宋" w:hAnsi="仿宋" w:eastAsia="仿宋" w:cs="仿宋"/>
                <w:color w:val="000000"/>
                <w:szCs w:val="21"/>
              </w:rPr>
            </w:pPr>
          </w:p>
        </w:tc>
        <w:tc>
          <w:tcPr>
            <w:tcW w:w="1064" w:type="dxa"/>
            <w:shd w:val="clear" w:color="auto" w:fill="auto"/>
            <w:vAlign w:val="center"/>
          </w:tcPr>
          <w:p w14:paraId="3D318B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资源调度</w:t>
            </w:r>
          </w:p>
        </w:tc>
        <w:tc>
          <w:tcPr>
            <w:tcW w:w="5663" w:type="dxa"/>
            <w:shd w:val="clear" w:color="auto" w:fill="auto"/>
            <w:vAlign w:val="center"/>
          </w:tcPr>
          <w:p w14:paraId="306341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集群调度策略支持先来先服务、作业优先级、作业回填调度、作业抢占、节点独占、负载均衡调度(节点间/节点内)、节点分区、异构调度、服务质量Qos等调度策略</w:t>
            </w:r>
          </w:p>
        </w:tc>
      </w:tr>
      <w:tr w14:paraId="4FC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59427326">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2F779608">
            <w:pPr>
              <w:jc w:val="center"/>
              <w:rPr>
                <w:rFonts w:hint="eastAsia" w:ascii="仿宋" w:hAnsi="仿宋" w:eastAsia="仿宋" w:cs="仿宋"/>
                <w:color w:val="000000"/>
                <w:szCs w:val="21"/>
              </w:rPr>
            </w:pPr>
          </w:p>
        </w:tc>
        <w:tc>
          <w:tcPr>
            <w:tcW w:w="1064" w:type="dxa"/>
            <w:shd w:val="clear" w:color="auto" w:fill="auto"/>
            <w:vAlign w:val="center"/>
          </w:tcPr>
          <w:p w14:paraId="428C736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拓扑调度</w:t>
            </w:r>
          </w:p>
        </w:tc>
        <w:tc>
          <w:tcPr>
            <w:tcW w:w="5663" w:type="dxa"/>
            <w:shd w:val="clear" w:color="auto" w:fill="auto"/>
            <w:vAlign w:val="center"/>
          </w:tcPr>
          <w:p w14:paraId="796E1B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支持基于集群网络拓扑结构的调度算法：支持将作业调度到一个或几个交换机对应的计算节点；支持按照刀箱、机柜（机架）调度作业。</w:t>
            </w:r>
          </w:p>
        </w:tc>
      </w:tr>
      <w:tr w14:paraId="75AD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79" w:type="dxa"/>
            <w:shd w:val="clear" w:color="auto" w:fill="auto"/>
            <w:vAlign w:val="center"/>
          </w:tcPr>
          <w:p w14:paraId="0D0EF627">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1250981D">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56EF48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物理视图</w:t>
            </w:r>
          </w:p>
        </w:tc>
        <w:tc>
          <w:tcPr>
            <w:tcW w:w="5663" w:type="dxa"/>
            <w:shd w:val="clear" w:color="auto" w:fill="auto"/>
            <w:vAlign w:val="center"/>
          </w:tcPr>
          <w:p w14:paraId="1E453B4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提供直观的物理视图，按照机房-机柜-服务器的维度，真实还原设备的真实物理位置分布和位置关系。</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分层显示各个位置下的各类资产数量、告警数量。支持快速查看各类资产的告警信息。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提供服务器、交换机等资产的详细状态监控视图，分类展示该节点的静态信息和运行状态；静态配置信息包括CPU型号、内存大小、管理IP、操作系统版本等；动态信息包括磁盘分区状态、网卡状态、进程状态、IPMI传感器状态、GPU状态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支持刀片机箱和刀片服务器的监控，提供刀箱前视图和后视图3D展现，自动关联告警。</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以上功能提供原厂商证明材料（需加盖原厂商公章）。</w:t>
            </w:r>
          </w:p>
        </w:tc>
      </w:tr>
      <w:tr w14:paraId="4F6A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079ACBEE">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6EC1A2B8">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49B8EE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节点热图</w:t>
            </w:r>
          </w:p>
        </w:tc>
        <w:tc>
          <w:tcPr>
            <w:tcW w:w="5663" w:type="dxa"/>
            <w:shd w:val="clear" w:color="auto" w:fill="auto"/>
            <w:vAlign w:val="center"/>
          </w:tcPr>
          <w:p w14:paraId="07C23E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支持以热图方式集中展现集群中所有服务器的关键指标，如CPU利用率、内存利用率、网络可用性、电源状态、温度等，支持指标快速切换。提供原厂商证明材料（需加盖原厂商公章）。</w:t>
            </w:r>
          </w:p>
        </w:tc>
      </w:tr>
      <w:tr w14:paraId="1C1E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31A3AA61">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B1B7725">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296D6C0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机柜视图</w:t>
            </w:r>
          </w:p>
        </w:tc>
        <w:tc>
          <w:tcPr>
            <w:tcW w:w="5663" w:type="dxa"/>
            <w:shd w:val="clear" w:color="auto" w:fill="auto"/>
            <w:vAlign w:val="center"/>
          </w:tcPr>
          <w:p w14:paraId="1383EB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按机房查看机柜。直观展示不同机房每个位置下有哪些资产及对应资产的运行状态。提供原厂商证明材料（需加盖原厂商公章）。</w:t>
            </w:r>
          </w:p>
        </w:tc>
      </w:tr>
      <w:tr w14:paraId="2642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1B738CFF">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399BFFEB">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3D625F7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大屏</w:t>
            </w:r>
          </w:p>
        </w:tc>
        <w:tc>
          <w:tcPr>
            <w:tcW w:w="5663" w:type="dxa"/>
            <w:shd w:val="clear" w:color="auto" w:fill="auto"/>
            <w:vAlign w:val="center"/>
          </w:tcPr>
          <w:p w14:paraId="702454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提供存储监控、作业监控、集群监控等大屏仪表盘，直观展示集群运行情况、节点使用情况、作业状态、集群资产等信息。</w:t>
            </w:r>
          </w:p>
        </w:tc>
      </w:tr>
      <w:tr w14:paraId="133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64D407ED">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400CD972">
            <w:pPr>
              <w:jc w:val="center"/>
              <w:rPr>
                <w:rFonts w:hint="eastAsia" w:ascii="仿宋" w:hAnsi="仿宋" w:eastAsia="仿宋" w:cs="仿宋"/>
                <w:color w:val="000000"/>
                <w:szCs w:val="21"/>
              </w:rPr>
            </w:pPr>
          </w:p>
        </w:tc>
        <w:tc>
          <w:tcPr>
            <w:tcW w:w="1064" w:type="dxa"/>
            <w:shd w:val="clear" w:color="auto" w:fill="auto"/>
            <w:vAlign w:val="center"/>
          </w:tcPr>
          <w:p w14:paraId="6CEFF8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资产监控</w:t>
            </w:r>
          </w:p>
        </w:tc>
        <w:tc>
          <w:tcPr>
            <w:tcW w:w="5663" w:type="dxa"/>
            <w:shd w:val="clear" w:color="auto" w:fill="auto"/>
            <w:vAlign w:val="center"/>
          </w:tcPr>
          <w:p w14:paraId="28E9A0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支持列表查看所有资产监控信息，包括各种资产类型、管理IP、采集状态、机型、位置、机器状态、序列号等</w:t>
            </w:r>
          </w:p>
        </w:tc>
      </w:tr>
      <w:tr w14:paraId="0944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70511C8F">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28CAB015">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6CC88D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调度视图</w:t>
            </w:r>
          </w:p>
        </w:tc>
        <w:tc>
          <w:tcPr>
            <w:tcW w:w="5663" w:type="dxa"/>
            <w:shd w:val="clear" w:color="auto" w:fill="auto"/>
            <w:vAlign w:val="center"/>
          </w:tcPr>
          <w:p w14:paraId="42A92AE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提供调度视图，可直观查看Slurm服务状态、Agent线程数、RPC线程数、未调度作业等待时间最大值、等待调度时间大于10分钟作业列表等信息。提供原厂商证明材料（需加盖原厂商公章）。</w:t>
            </w:r>
          </w:p>
        </w:tc>
      </w:tr>
      <w:tr w14:paraId="22FD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9" w:type="dxa"/>
            <w:shd w:val="clear" w:color="auto" w:fill="auto"/>
            <w:vAlign w:val="center"/>
          </w:tcPr>
          <w:p w14:paraId="48A995DC">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5F018270">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629745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IB网络视图</w:t>
            </w:r>
          </w:p>
        </w:tc>
        <w:tc>
          <w:tcPr>
            <w:tcW w:w="5663" w:type="dxa"/>
            <w:shd w:val="clear" w:color="auto" w:fill="auto"/>
            <w:vAlign w:val="center"/>
          </w:tcPr>
          <w:p w14:paraId="519FB8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以拓扑形式，展示IB网络内的各种交换机—服务器之间的连接关系和运行状态，能够展示任意两台相连资产间的流量情况。支持查看资产的详细运行状态、日志、告警等信息。支持拓扑自发现、拓扑基线管理等能力。提供原厂商功能截图证明材料（需加盖原厂商公章）。</w:t>
            </w:r>
          </w:p>
        </w:tc>
      </w:tr>
      <w:tr w14:paraId="22F2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9" w:type="dxa"/>
            <w:shd w:val="clear" w:color="auto" w:fill="auto"/>
            <w:vAlign w:val="center"/>
          </w:tcPr>
          <w:p w14:paraId="5E7201CE">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DD69C93">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03B44C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以太网络视图</w:t>
            </w:r>
          </w:p>
        </w:tc>
        <w:tc>
          <w:tcPr>
            <w:tcW w:w="5663" w:type="dxa"/>
            <w:shd w:val="clear" w:color="auto" w:fill="auto"/>
            <w:vAlign w:val="center"/>
          </w:tcPr>
          <w:p w14:paraId="00E222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以拓扑形式，展示以太网络内的安全设备、交换机等资产之间的连接关系、运行状态以及任意两台资产之间的流量情况。支持查看详细的资产运行状态和流量信息。支持查看资产的关键运行日志和告警信息。同时支持拓扑自发现，拓扑基线管理、多种视图切换等能力。提供原厂商功能截图证明材料（需加盖原厂商公章）。</w:t>
            </w:r>
          </w:p>
        </w:tc>
      </w:tr>
      <w:tr w14:paraId="527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3397238B">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7AD30051">
            <w:pPr>
              <w:jc w:val="center"/>
              <w:rPr>
                <w:rFonts w:hint="eastAsia" w:ascii="仿宋" w:hAnsi="仿宋" w:eastAsia="仿宋" w:cs="仿宋"/>
                <w:color w:val="000000"/>
                <w:szCs w:val="21"/>
              </w:rPr>
            </w:pPr>
          </w:p>
        </w:tc>
        <w:tc>
          <w:tcPr>
            <w:tcW w:w="1064" w:type="dxa"/>
            <w:shd w:val="clear" w:color="auto" w:fill="auto"/>
            <w:vAlign w:val="center"/>
          </w:tcPr>
          <w:p w14:paraId="086AF8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数据分析</w:t>
            </w:r>
          </w:p>
        </w:tc>
        <w:tc>
          <w:tcPr>
            <w:tcW w:w="5663" w:type="dxa"/>
            <w:shd w:val="clear" w:color="auto" w:fill="auto"/>
            <w:vAlign w:val="center"/>
          </w:tcPr>
          <w:p w14:paraId="26D7780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支持多资产、多指标组合下的统计报表生成，支持自主选择对比维度，以统计图的形式展示统计结果。</w:t>
            </w:r>
          </w:p>
        </w:tc>
      </w:tr>
      <w:tr w14:paraId="4665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9" w:type="dxa"/>
            <w:shd w:val="clear" w:color="auto" w:fill="auto"/>
            <w:vAlign w:val="center"/>
          </w:tcPr>
          <w:p w14:paraId="4709BD24">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79713D83">
            <w:pPr>
              <w:jc w:val="center"/>
              <w:rPr>
                <w:rFonts w:hint="eastAsia" w:ascii="仿宋" w:hAnsi="仿宋" w:eastAsia="仿宋" w:cs="仿宋"/>
                <w:color w:val="000000"/>
                <w:szCs w:val="21"/>
              </w:rPr>
            </w:pPr>
          </w:p>
        </w:tc>
        <w:tc>
          <w:tcPr>
            <w:tcW w:w="1064" w:type="dxa"/>
            <w:shd w:val="clear" w:color="auto" w:fill="auto"/>
            <w:vAlign w:val="center"/>
          </w:tcPr>
          <w:p w14:paraId="1783F6D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告警通知策略</w:t>
            </w:r>
          </w:p>
        </w:tc>
        <w:tc>
          <w:tcPr>
            <w:tcW w:w="5663" w:type="dxa"/>
            <w:shd w:val="clear" w:color="auto" w:fill="auto"/>
            <w:vAlign w:val="center"/>
          </w:tcPr>
          <w:p w14:paraId="161E20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支持自定义告警通知策略，在告警触发时，实现消息预警、邮件告警等通知方式。</w:t>
            </w:r>
          </w:p>
        </w:tc>
      </w:tr>
      <w:tr w14:paraId="4757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22683ED6">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7537BB2E">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24A66B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告警展现</w:t>
            </w:r>
          </w:p>
        </w:tc>
        <w:tc>
          <w:tcPr>
            <w:tcW w:w="5663" w:type="dxa"/>
            <w:shd w:val="clear" w:color="auto" w:fill="auto"/>
            <w:vAlign w:val="center"/>
          </w:tcPr>
          <w:p w14:paraId="0E968D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支持多种告警信息显示方式：包括告警列表以及与机房物理视图、热图等监控视图结合展示等。提供原厂商证明材料（需加盖原厂商公章）。</w:t>
            </w:r>
          </w:p>
        </w:tc>
      </w:tr>
      <w:tr w14:paraId="6512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79" w:type="dxa"/>
            <w:shd w:val="clear" w:color="auto" w:fill="auto"/>
            <w:vAlign w:val="center"/>
          </w:tcPr>
          <w:p w14:paraId="2DDD48B6">
            <w:pPr>
              <w:widowControl/>
              <w:numPr>
                <w:ilvl w:val="0"/>
                <w:numId w:val="4"/>
              </w:numPr>
              <w:jc w:val="center"/>
              <w:textAlignment w:val="center"/>
              <w:rPr>
                <w:rFonts w:hint="eastAsia" w:ascii="仿宋" w:hAnsi="仿宋" w:eastAsia="仿宋" w:cs="仿宋"/>
                <w:color w:val="000000"/>
                <w:szCs w:val="21"/>
              </w:rPr>
            </w:pPr>
          </w:p>
        </w:tc>
        <w:tc>
          <w:tcPr>
            <w:tcW w:w="1047" w:type="dxa"/>
            <w:shd w:val="clear" w:color="auto" w:fill="auto"/>
            <w:vAlign w:val="center"/>
          </w:tcPr>
          <w:p w14:paraId="1C159AEE">
            <w:pPr>
              <w:widowControl/>
              <w:jc w:val="center"/>
              <w:textAlignment w:val="center"/>
              <w:rPr>
                <w:rFonts w:hint="eastAsia" w:ascii="仿宋" w:hAnsi="仿宋" w:eastAsia="仿宋" w:cs="仿宋"/>
                <w:color w:val="000000"/>
                <w:szCs w:val="21"/>
              </w:rPr>
            </w:pPr>
          </w:p>
        </w:tc>
        <w:tc>
          <w:tcPr>
            <w:tcW w:w="1064" w:type="dxa"/>
            <w:shd w:val="clear" w:color="auto" w:fill="auto"/>
            <w:vAlign w:val="center"/>
          </w:tcPr>
          <w:p w14:paraId="390ED55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资产全生命周期管理</w:t>
            </w:r>
          </w:p>
        </w:tc>
        <w:tc>
          <w:tcPr>
            <w:tcW w:w="5663" w:type="dxa"/>
            <w:shd w:val="clear" w:color="auto" w:fill="auto"/>
            <w:vAlign w:val="center"/>
          </w:tcPr>
          <w:p w14:paraId="075005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支持资产（如服务器、机柜、刀箱、交换机等）的批量导入导出功能；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支持可视化的资产管理，所见即所得；可对资产信息进行修改、分组管理，支持修改历史追溯；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支持资产自动发现，覆盖IPMI,Agent,SNMP三种发现方式。支持根据管理规则自动生成资产信息；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支持资产领用、归还、报废、维修、改配置等操作流程化管理。</w:t>
            </w:r>
          </w:p>
        </w:tc>
      </w:tr>
      <w:tr w14:paraId="019E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9" w:type="dxa"/>
            <w:shd w:val="clear" w:color="auto" w:fill="auto"/>
            <w:vAlign w:val="center"/>
          </w:tcPr>
          <w:p w14:paraId="0C8247B1">
            <w:pPr>
              <w:numPr>
                <w:ilvl w:val="0"/>
                <w:numId w:val="4"/>
              </w:numPr>
              <w:jc w:val="center"/>
              <w:rPr>
                <w:rFonts w:hint="eastAsia" w:ascii="仿宋" w:hAnsi="仿宋" w:eastAsia="仿宋" w:cs="仿宋"/>
                <w:color w:val="000000"/>
                <w:szCs w:val="21"/>
              </w:rPr>
            </w:pPr>
          </w:p>
        </w:tc>
        <w:tc>
          <w:tcPr>
            <w:tcW w:w="1047" w:type="dxa"/>
            <w:shd w:val="clear" w:color="auto" w:fill="auto"/>
            <w:vAlign w:val="center"/>
          </w:tcPr>
          <w:p w14:paraId="373901A4">
            <w:pPr>
              <w:jc w:val="center"/>
              <w:rPr>
                <w:rFonts w:hint="eastAsia" w:ascii="仿宋" w:hAnsi="仿宋" w:eastAsia="仿宋" w:cs="仿宋"/>
                <w:color w:val="000000"/>
                <w:szCs w:val="21"/>
              </w:rPr>
            </w:pPr>
          </w:p>
        </w:tc>
        <w:tc>
          <w:tcPr>
            <w:tcW w:w="1064" w:type="dxa"/>
            <w:shd w:val="clear" w:color="auto" w:fill="auto"/>
            <w:vAlign w:val="center"/>
          </w:tcPr>
          <w:p w14:paraId="34039D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报表预定义</w:t>
            </w:r>
          </w:p>
        </w:tc>
        <w:tc>
          <w:tcPr>
            <w:tcW w:w="5663" w:type="dxa"/>
            <w:shd w:val="clear" w:color="auto" w:fill="auto"/>
            <w:vAlign w:val="center"/>
          </w:tcPr>
          <w:p w14:paraId="38A3A6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支持将所选参数保存为预定义报表。</w:t>
            </w:r>
          </w:p>
        </w:tc>
      </w:tr>
      <w:tr w14:paraId="75CD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2F696A5B">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5DE9955C">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7FBB43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集群健康状态检查</w:t>
            </w:r>
          </w:p>
        </w:tc>
        <w:tc>
          <w:tcPr>
            <w:tcW w:w="5663" w:type="dxa"/>
            <w:shd w:val="clear" w:color="auto" w:fill="auto"/>
            <w:vAlign w:val="center"/>
          </w:tcPr>
          <w:p w14:paraId="5EEC92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对全部计算节点进行健康度检查，筛选出存在故障的节点，进行自动处理或报修到售后。提供原厂商功能截图证明材料（需加盖原厂商公章）。</w:t>
            </w:r>
          </w:p>
        </w:tc>
      </w:tr>
      <w:tr w14:paraId="06BD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44D37D65">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40B48B5C">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24D5E9F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BMC巡检</w:t>
            </w:r>
          </w:p>
        </w:tc>
        <w:tc>
          <w:tcPr>
            <w:tcW w:w="5663" w:type="dxa"/>
            <w:shd w:val="clear" w:color="auto" w:fill="auto"/>
            <w:vAlign w:val="center"/>
          </w:tcPr>
          <w:p w14:paraId="283F77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通过检查服务器运行状态，识别故障服务器，根据故障类型将故障服务器自动报修至售后。提供原厂商功能截图证明材料（需加盖原厂商公章）。</w:t>
            </w:r>
          </w:p>
        </w:tc>
      </w:tr>
      <w:tr w14:paraId="6B6E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shd w:val="clear" w:color="auto" w:fill="auto"/>
            <w:vAlign w:val="center"/>
          </w:tcPr>
          <w:p w14:paraId="2397CA56">
            <w:pPr>
              <w:widowControl/>
              <w:numPr>
                <w:ilvl w:val="0"/>
                <w:numId w:val="4"/>
              </w:numPr>
              <w:jc w:val="center"/>
              <w:textAlignment w:val="center"/>
              <w:rPr>
                <w:rFonts w:hint="eastAsia" w:ascii="仿宋" w:hAnsi="仿宋" w:eastAsia="仿宋" w:cs="仿宋"/>
                <w:color w:val="000000"/>
                <w:kern w:val="0"/>
                <w:szCs w:val="21"/>
                <w:lang w:bidi="ar"/>
              </w:rPr>
            </w:pPr>
          </w:p>
        </w:tc>
        <w:tc>
          <w:tcPr>
            <w:tcW w:w="1047" w:type="dxa"/>
            <w:shd w:val="clear" w:color="auto" w:fill="auto"/>
            <w:vAlign w:val="center"/>
          </w:tcPr>
          <w:p w14:paraId="6845F5D3">
            <w:pPr>
              <w:widowControl/>
              <w:jc w:val="center"/>
              <w:textAlignment w:val="center"/>
              <w:rPr>
                <w:rFonts w:hint="eastAsia" w:ascii="仿宋" w:hAnsi="仿宋" w:eastAsia="仿宋" w:cs="仿宋"/>
                <w:color w:val="000000"/>
                <w:szCs w:val="21"/>
              </w:rPr>
            </w:pPr>
            <w:r>
              <w:rPr>
                <w:rFonts w:hint="eastAsia" w:ascii="宋体" w:hAnsi="宋体" w:cs="Arial"/>
                <w:sz w:val="24"/>
              </w:rPr>
              <w:t>▲</w:t>
            </w:r>
          </w:p>
        </w:tc>
        <w:tc>
          <w:tcPr>
            <w:tcW w:w="1064" w:type="dxa"/>
            <w:shd w:val="clear" w:color="auto" w:fill="auto"/>
            <w:vAlign w:val="center"/>
          </w:tcPr>
          <w:p w14:paraId="055F91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工单</w:t>
            </w:r>
          </w:p>
        </w:tc>
        <w:tc>
          <w:tcPr>
            <w:tcW w:w="5663" w:type="dxa"/>
            <w:shd w:val="clear" w:color="auto" w:fill="auto"/>
            <w:vAlign w:val="center"/>
          </w:tcPr>
          <w:p w14:paraId="61D570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支持用户提交故障工单、变更工单等，在预定义流程基础上，支持管理员按需自定义流程。提供原厂商功能截图证明材料（需加盖原厂商公章）。</w:t>
            </w:r>
          </w:p>
        </w:tc>
      </w:tr>
    </w:tbl>
    <w:p w14:paraId="6A3217D9">
      <w:pPr>
        <w:pStyle w:val="20"/>
        <w:ind w:firstLine="0" w:firstLineChars="0"/>
        <w:jc w:val="left"/>
        <w:rPr>
          <w:rFonts w:hint="eastAsia" w:ascii="仿宋" w:hAnsi="仿宋" w:eastAsia="仿宋"/>
          <w:b/>
          <w:sz w:val="24"/>
        </w:rPr>
      </w:pPr>
    </w:p>
    <w:p w14:paraId="56D31C4E">
      <w:pPr>
        <w:pStyle w:val="20"/>
        <w:ind w:firstLine="0" w:firstLineChars="0"/>
        <w:jc w:val="left"/>
        <w:rPr>
          <w:rFonts w:hint="eastAsia" w:ascii="仿宋" w:hAnsi="仿宋" w:eastAsia="仿宋"/>
          <w:b/>
          <w:sz w:val="24"/>
        </w:rPr>
      </w:pPr>
    </w:p>
    <w:p w14:paraId="4162873D">
      <w:pPr>
        <w:pStyle w:val="20"/>
        <w:ind w:firstLine="0" w:firstLineChars="0"/>
        <w:jc w:val="left"/>
        <w:outlineLvl w:val="1"/>
        <w:rPr>
          <w:rFonts w:hint="eastAsia" w:ascii="仿宋" w:hAnsi="仿宋" w:eastAsia="仿宋"/>
          <w:b/>
          <w:sz w:val="24"/>
        </w:rPr>
      </w:pPr>
      <w:r>
        <w:rPr>
          <w:rFonts w:hint="eastAsia" w:ascii="仿宋" w:hAnsi="仿宋" w:eastAsia="仿宋"/>
          <w:b/>
          <w:sz w:val="24"/>
        </w:rPr>
        <w:t>（5）配套网络（1套）</w:t>
      </w:r>
    </w:p>
    <w:tbl>
      <w:tblPr>
        <w:tblStyle w:val="10"/>
        <w:tblW w:w="4971" w:type="pct"/>
        <w:tblInd w:w="45" w:type="dxa"/>
        <w:tblLayout w:type="autofit"/>
        <w:tblCellMar>
          <w:top w:w="0" w:type="dxa"/>
          <w:left w:w="108" w:type="dxa"/>
          <w:bottom w:w="0" w:type="dxa"/>
          <w:right w:w="108" w:type="dxa"/>
        </w:tblCellMar>
      </w:tblPr>
      <w:tblGrid>
        <w:gridCol w:w="717"/>
        <w:gridCol w:w="929"/>
        <w:gridCol w:w="1300"/>
        <w:gridCol w:w="5527"/>
      </w:tblGrid>
      <w:tr w14:paraId="7EB4C554">
        <w:tblPrEx>
          <w:tblCellMar>
            <w:top w:w="0" w:type="dxa"/>
            <w:left w:w="108" w:type="dxa"/>
            <w:bottom w:w="0" w:type="dxa"/>
            <w:right w:w="108" w:type="dxa"/>
          </w:tblCellMar>
        </w:tblPrEx>
        <w:trPr>
          <w:trHeight w:val="494"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190B">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373C">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重要性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69E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技术指标</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BD4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招标参数</w:t>
            </w:r>
          </w:p>
        </w:tc>
      </w:tr>
      <w:tr w14:paraId="50984E32">
        <w:tblPrEx>
          <w:tblCellMar>
            <w:top w:w="0" w:type="dxa"/>
            <w:left w:w="108" w:type="dxa"/>
            <w:bottom w:w="0" w:type="dxa"/>
            <w:right w:w="108" w:type="dxa"/>
          </w:tblCellMar>
        </w:tblPrEx>
        <w:trPr>
          <w:trHeight w:val="4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B4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04AC">
            <w:pPr>
              <w:jc w:val="center"/>
              <w:rPr>
                <w:rFonts w:hint="eastAsia" w:ascii="仿宋" w:hAnsi="仿宋" w:eastAsia="仿宋" w:cs="仿宋"/>
                <w:color w:val="000000"/>
                <w:szCs w:val="21"/>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F38A">
            <w:pPr>
              <w:widowControl/>
              <w:jc w:val="center"/>
              <w:textAlignment w:val="center"/>
              <w:rPr>
                <w:rFonts w:hint="eastAsia" w:ascii="仿宋" w:hAnsi="仿宋" w:eastAsia="仿宋" w:cs="仿宋"/>
                <w:color w:val="000000"/>
                <w:szCs w:val="21"/>
              </w:rPr>
            </w:pPr>
            <w:r>
              <w:rPr>
                <w:rFonts w:hint="eastAsia" w:ascii="仿宋" w:hAnsi="仿宋" w:eastAsia="仿宋" w:cs="仿宋"/>
                <w:szCs w:val="21"/>
              </w:rPr>
              <w:t>千兆交换机</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48E3">
            <w:pPr>
              <w:spacing w:line="300" w:lineRule="auto"/>
              <w:rPr>
                <w:rFonts w:hint="eastAsia" w:ascii="仿宋" w:hAnsi="仿宋" w:eastAsia="仿宋" w:cs="仿宋"/>
                <w:color w:val="000000"/>
                <w:szCs w:val="21"/>
              </w:rPr>
            </w:pPr>
            <w:r>
              <w:rPr>
                <w:rFonts w:hint="eastAsia" w:ascii="仿宋" w:hAnsi="仿宋" w:eastAsia="仿宋" w:cs="仿宋"/>
                <w:szCs w:val="21"/>
              </w:rPr>
              <w:t>1U机架式，单台提供≥24个10/100/1000M自适应电口，4个1G/10G SFP+光口，提供满足所有节点互联的交换机及连接线缆；</w:t>
            </w:r>
          </w:p>
        </w:tc>
      </w:tr>
      <w:tr w14:paraId="1C20817E">
        <w:tblPrEx>
          <w:tblCellMar>
            <w:top w:w="0" w:type="dxa"/>
            <w:left w:w="108" w:type="dxa"/>
            <w:bottom w:w="0" w:type="dxa"/>
            <w:right w:w="108" w:type="dxa"/>
          </w:tblCellMar>
        </w:tblPrEx>
        <w:trPr>
          <w:trHeight w:val="709"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29D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BDC">
            <w:pPr>
              <w:widowControl/>
              <w:jc w:val="center"/>
              <w:textAlignment w:val="center"/>
              <w:rPr>
                <w:rFonts w:hint="eastAsia" w:ascii="仿宋" w:hAnsi="仿宋" w:eastAsia="仿宋" w:cs="仿宋"/>
                <w:color w:val="000000"/>
                <w:szCs w:val="21"/>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C256">
            <w:pPr>
              <w:widowControl/>
              <w:jc w:val="center"/>
              <w:textAlignment w:val="center"/>
              <w:rPr>
                <w:rFonts w:hint="eastAsia" w:ascii="仿宋" w:hAnsi="仿宋" w:eastAsia="仿宋" w:cs="仿宋"/>
                <w:color w:val="000000"/>
                <w:szCs w:val="21"/>
              </w:rPr>
            </w:pPr>
            <w:r>
              <w:rPr>
                <w:rFonts w:hint="eastAsia" w:ascii="仿宋" w:hAnsi="仿宋" w:eastAsia="仿宋" w:cs="仿宋"/>
                <w:szCs w:val="21"/>
              </w:rPr>
              <w:t>万兆交换机</w:t>
            </w:r>
          </w:p>
        </w:tc>
        <w:tc>
          <w:tcPr>
            <w:tcW w:w="3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12763">
            <w:pPr>
              <w:widowControl/>
              <w:jc w:val="left"/>
              <w:textAlignment w:val="center"/>
              <w:rPr>
                <w:rFonts w:hint="eastAsia" w:ascii="仿宋" w:hAnsi="仿宋" w:eastAsia="仿宋" w:cs="仿宋"/>
                <w:color w:val="000000"/>
                <w:szCs w:val="21"/>
              </w:rPr>
            </w:pPr>
            <w:r>
              <w:rPr>
                <w:rFonts w:hint="eastAsia" w:ascii="仿宋" w:hAnsi="仿宋" w:eastAsia="仿宋" w:cs="仿宋"/>
                <w:szCs w:val="21"/>
              </w:rPr>
              <w:t>1U机架式，单台提供≥48口10G SFP+以太网端口，≥8个100G  QSFP28以太网端口，配置≥24个10G SFP+多模光模块，提供满足所有节点互联的交换机及连接线缆</w:t>
            </w:r>
            <w:r>
              <w:rPr>
                <w:rFonts w:hint="eastAsia" w:ascii="仿宋" w:hAnsi="仿宋" w:eastAsia="仿宋" w:cs="仿宋"/>
                <w:color w:val="000000"/>
                <w:kern w:val="0"/>
                <w:szCs w:val="21"/>
                <w:lang w:bidi="ar"/>
              </w:rPr>
              <w:t>。</w:t>
            </w:r>
          </w:p>
        </w:tc>
      </w:tr>
    </w:tbl>
    <w:p w14:paraId="50B11954">
      <w:pPr>
        <w:pStyle w:val="20"/>
        <w:ind w:firstLine="0" w:firstLineChars="0"/>
        <w:jc w:val="left"/>
        <w:rPr>
          <w:rFonts w:hint="eastAsia" w:ascii="仿宋" w:hAnsi="仿宋" w:eastAsia="仿宋"/>
          <w:b/>
          <w:sz w:val="24"/>
        </w:rPr>
      </w:pPr>
    </w:p>
    <w:p w14:paraId="7725163A">
      <w:pPr>
        <w:pStyle w:val="20"/>
        <w:ind w:firstLine="0" w:firstLineChars="0"/>
        <w:jc w:val="left"/>
        <w:outlineLvl w:val="1"/>
        <w:rPr>
          <w:rFonts w:hint="eastAsia" w:ascii="仿宋" w:hAnsi="仿宋" w:eastAsia="仿宋"/>
          <w:b/>
          <w:sz w:val="24"/>
        </w:rPr>
      </w:pPr>
      <w:r>
        <w:rPr>
          <w:rFonts w:hint="eastAsia" w:ascii="仿宋" w:hAnsi="仿宋" w:eastAsia="仿宋"/>
          <w:b/>
          <w:sz w:val="24"/>
        </w:rPr>
        <w:t>（6）一体式控制器（1套）</w:t>
      </w:r>
    </w:p>
    <w:tbl>
      <w:tblPr>
        <w:tblStyle w:val="10"/>
        <w:tblW w:w="4971" w:type="pct"/>
        <w:tblInd w:w="45" w:type="dxa"/>
        <w:tblLayout w:type="autofit"/>
        <w:tblCellMar>
          <w:top w:w="0" w:type="dxa"/>
          <w:left w:w="108" w:type="dxa"/>
          <w:bottom w:w="0" w:type="dxa"/>
          <w:right w:w="108" w:type="dxa"/>
        </w:tblCellMar>
      </w:tblPr>
      <w:tblGrid>
        <w:gridCol w:w="717"/>
        <w:gridCol w:w="929"/>
        <w:gridCol w:w="1300"/>
        <w:gridCol w:w="5527"/>
      </w:tblGrid>
      <w:tr w14:paraId="3C1EFE31">
        <w:tblPrEx>
          <w:tblCellMar>
            <w:top w:w="0" w:type="dxa"/>
            <w:left w:w="108" w:type="dxa"/>
            <w:bottom w:w="0" w:type="dxa"/>
            <w:right w:w="108" w:type="dxa"/>
          </w:tblCellMar>
        </w:tblPrEx>
        <w:trPr>
          <w:trHeight w:val="494"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D701">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BB2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重要性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D3DB">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技术指标</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18E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招标参数</w:t>
            </w:r>
          </w:p>
        </w:tc>
      </w:tr>
      <w:tr w14:paraId="183DFB7D">
        <w:tblPrEx>
          <w:tblCellMar>
            <w:top w:w="0" w:type="dxa"/>
            <w:left w:w="108" w:type="dxa"/>
            <w:bottom w:w="0" w:type="dxa"/>
            <w:right w:w="108" w:type="dxa"/>
          </w:tblCellMar>
        </w:tblPrEx>
        <w:trPr>
          <w:trHeight w:val="48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96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CA3B">
            <w:pPr>
              <w:jc w:val="center"/>
              <w:rPr>
                <w:rFonts w:hint="eastAsia" w:ascii="仿宋" w:hAnsi="仿宋" w:eastAsia="仿宋" w:cs="仿宋"/>
                <w:color w:val="000000"/>
                <w:szCs w:val="21"/>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6DF6">
            <w:pPr>
              <w:widowControl/>
              <w:jc w:val="center"/>
              <w:textAlignment w:val="center"/>
              <w:rPr>
                <w:rFonts w:hint="eastAsia" w:ascii="仿宋" w:hAnsi="仿宋" w:eastAsia="仿宋" w:cs="仿宋"/>
                <w:color w:val="000000"/>
                <w:szCs w:val="21"/>
              </w:rPr>
            </w:pPr>
            <w:r>
              <w:rPr>
                <w:rFonts w:hint="eastAsia" w:ascii="仿宋" w:hAnsi="仿宋" w:eastAsia="仿宋" w:cs="仿宋"/>
                <w:szCs w:val="21"/>
              </w:rPr>
              <w:t>配置及功能</w:t>
            </w:r>
          </w:p>
        </w:tc>
        <w:tc>
          <w:tcPr>
            <w:tcW w:w="3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4C22">
            <w:pPr>
              <w:spacing w:line="300" w:lineRule="auto"/>
              <w:rPr>
                <w:rFonts w:hint="eastAsia" w:ascii="仿宋" w:hAnsi="仿宋" w:eastAsia="仿宋" w:cs="仿宋"/>
                <w:color w:val="000000"/>
                <w:szCs w:val="21"/>
              </w:rPr>
            </w:pPr>
            <w:r>
              <w:rPr>
                <w:rFonts w:hint="eastAsia" w:ascii="仿宋" w:hAnsi="仿宋" w:eastAsia="仿宋" w:cs="仿宋"/>
                <w:color w:val="000000"/>
                <w:szCs w:val="21"/>
              </w:rPr>
              <w:t>28英寸以上可触控显示屏，第12代酷睿i9-12900H处理器，内存</w:t>
            </w:r>
            <w:r>
              <w:rPr>
                <w:rFonts w:hint="eastAsia" w:ascii="仿宋" w:hAnsi="仿宋" w:eastAsia="仿宋" w:cs="仿宋"/>
                <w:szCs w:val="21"/>
              </w:rPr>
              <w:t>≥16G，硬盘≥1T，</w:t>
            </w:r>
            <w:r>
              <w:rPr>
                <w:rFonts w:hint="eastAsia" w:ascii="仿宋" w:hAnsi="仿宋" w:eastAsia="仿宋" w:cs="仿宋"/>
                <w:color w:val="000000"/>
                <w:szCs w:val="21"/>
              </w:rPr>
              <w:t>可通过一根USB-C线与笔记本UBS-C线相连使用，还能为笔记本反向充电。</w:t>
            </w:r>
          </w:p>
        </w:tc>
      </w:tr>
    </w:tbl>
    <w:p w14:paraId="26CF3FEF">
      <w:pPr>
        <w:pStyle w:val="20"/>
        <w:ind w:firstLine="0" w:firstLineChars="0"/>
        <w:jc w:val="left"/>
        <w:rPr>
          <w:rFonts w:hint="eastAsia" w:ascii="仿宋" w:hAnsi="仿宋" w:eastAsia="仿宋"/>
          <w:b/>
          <w:sz w:val="24"/>
        </w:rPr>
      </w:pPr>
    </w:p>
    <w:p w14:paraId="0FD18270">
      <w:pPr>
        <w:spacing w:after="240"/>
        <w:rPr>
          <w:rFonts w:hint="eastAsia" w:ascii="仿宋" w:hAnsi="仿宋" w:eastAsia="仿宋"/>
          <w:b/>
          <w:sz w:val="30"/>
          <w:szCs w:val="30"/>
        </w:rPr>
      </w:pPr>
      <w:r>
        <w:rPr>
          <w:rFonts w:hint="eastAsia" w:ascii="仿宋" w:hAnsi="仿宋" w:eastAsia="仿宋"/>
          <w:b/>
          <w:sz w:val="30"/>
          <w:szCs w:val="30"/>
        </w:rPr>
        <w:t>4、商务要求</w:t>
      </w:r>
    </w:p>
    <w:p w14:paraId="5BDB160F">
      <w:pPr>
        <w:widowControl/>
        <w:numPr>
          <w:ilvl w:val="0"/>
          <w:numId w:val="5"/>
        </w:numPr>
        <w:adjustRightInd w:val="0"/>
        <w:snapToGrid w:val="0"/>
        <w:spacing w:line="360" w:lineRule="auto"/>
        <w:rPr>
          <w:rFonts w:hint="eastAsia" w:ascii="宋体" w:hAnsi="宋体" w:cs="宋体"/>
          <w:b/>
          <w:snapToGrid w:val="0"/>
          <w:kern w:val="28"/>
          <w:sz w:val="24"/>
        </w:rPr>
      </w:pPr>
      <w:r>
        <w:rPr>
          <w:rFonts w:hint="eastAsia" w:ascii="宋体" w:hAnsi="宋体" w:cs="宋体"/>
          <w:b/>
          <w:snapToGrid w:val="0"/>
          <w:kern w:val="28"/>
          <w:sz w:val="24"/>
        </w:rPr>
        <w:t>验收</w:t>
      </w:r>
    </w:p>
    <w:p w14:paraId="460704BF">
      <w:pPr>
        <w:spacing w:line="360" w:lineRule="auto"/>
        <w:ind w:firstLine="480" w:firstLineChars="200"/>
        <w:rPr>
          <w:rFonts w:hint="eastAsia" w:ascii="宋体" w:hAnsi="宋体" w:cs="Arial"/>
          <w:sz w:val="24"/>
        </w:rPr>
      </w:pPr>
      <w:r>
        <w:rPr>
          <w:rFonts w:hint="eastAsia" w:ascii="宋体" w:hAnsi="宋体" w:cs="Arial"/>
          <w:sz w:val="24"/>
        </w:rPr>
        <w:t>采购人参照设备清单，进行产品品牌、型号、数量到货初验（所有货物一次性到安装场地），安装调试完成后根据采购文件里技术功能进行项目终验，发现产品达不到验收标准或合同规定的性能指标，中标单位必须立即调整或更换产品，采购人通过产品官方认证渠道，</w:t>
      </w:r>
      <w:r>
        <w:rPr>
          <w:rFonts w:hint="eastAsia" w:ascii="宋体" w:hAnsi="宋体"/>
          <w:sz w:val="24"/>
        </w:rPr>
        <w:t>一经发现水货和串货的产品，立即终止合同</w:t>
      </w:r>
      <w:r>
        <w:rPr>
          <w:rFonts w:hint="eastAsia" w:ascii="微软雅黑" w:hAnsi="微软雅黑" w:eastAsia="微软雅黑"/>
          <w:sz w:val="27"/>
          <w:szCs w:val="27"/>
        </w:rPr>
        <w:t>，</w:t>
      </w:r>
      <w:r>
        <w:rPr>
          <w:rFonts w:hint="eastAsia" w:ascii="宋体" w:hAnsi="宋体" w:cs="Arial"/>
          <w:sz w:val="24"/>
        </w:rPr>
        <w:t>并且赔偿由此给用户造成的损失。</w:t>
      </w:r>
    </w:p>
    <w:p w14:paraId="7F5F95DB">
      <w:pPr>
        <w:spacing w:line="360" w:lineRule="auto"/>
        <w:ind w:firstLine="480" w:firstLineChars="200"/>
        <w:rPr>
          <w:rFonts w:hint="eastAsia" w:ascii="宋体" w:hAnsi="宋体" w:cs="Arial"/>
          <w:sz w:val="24"/>
        </w:rPr>
      </w:pPr>
    </w:p>
    <w:p w14:paraId="7BA1FCE4">
      <w:pPr>
        <w:widowControl/>
        <w:numPr>
          <w:ilvl w:val="0"/>
          <w:numId w:val="5"/>
        </w:numPr>
        <w:adjustRightInd w:val="0"/>
        <w:snapToGrid w:val="0"/>
        <w:spacing w:line="360" w:lineRule="auto"/>
        <w:rPr>
          <w:rFonts w:hint="eastAsia" w:ascii="宋体" w:hAnsi="宋体" w:cs="宋体"/>
          <w:b/>
          <w:snapToGrid w:val="0"/>
          <w:kern w:val="28"/>
          <w:sz w:val="24"/>
        </w:rPr>
      </w:pPr>
      <w:r>
        <w:rPr>
          <w:rFonts w:ascii="宋体" w:hAnsi="宋体" w:cs="宋体"/>
          <w:b/>
          <w:snapToGrid w:val="0"/>
          <w:kern w:val="28"/>
          <w:sz w:val="24"/>
        </w:rPr>
        <w:t>售后服务</w:t>
      </w:r>
    </w:p>
    <w:p w14:paraId="7B1C4980">
      <w:pPr>
        <w:spacing w:line="360" w:lineRule="auto"/>
        <w:ind w:firstLine="480" w:firstLineChars="200"/>
        <w:rPr>
          <w:rFonts w:hint="eastAsia" w:ascii="宋体" w:hAnsi="宋体" w:cs="Arial"/>
          <w:sz w:val="24"/>
        </w:rPr>
      </w:pPr>
      <w:r>
        <w:rPr>
          <w:rFonts w:hint="eastAsia" w:ascii="宋体" w:hAnsi="宋体" w:cs="Arial"/>
          <w:sz w:val="24"/>
        </w:rPr>
        <w:t>提供</w:t>
      </w:r>
      <w:r>
        <w:rPr>
          <w:rFonts w:ascii="宋体" w:hAnsi="宋体" w:cs="Arial"/>
          <w:b/>
          <w:sz w:val="24"/>
        </w:rPr>
        <w:t>5</w:t>
      </w:r>
      <w:r>
        <w:rPr>
          <w:rFonts w:hint="eastAsia" w:ascii="宋体" w:hAnsi="宋体" w:cs="Arial"/>
          <w:b/>
          <w:sz w:val="24"/>
        </w:rPr>
        <w:t>年</w:t>
      </w:r>
      <w:r>
        <w:rPr>
          <w:rFonts w:hint="eastAsia" w:ascii="宋体" w:hAnsi="宋体" w:cs="Arial"/>
          <w:sz w:val="24"/>
        </w:rPr>
        <w:t>7</w:t>
      </w:r>
      <w:r>
        <w:rPr>
          <w:rFonts w:ascii="宋体" w:hAnsi="宋体" w:cs="Arial"/>
          <w:sz w:val="24"/>
        </w:rPr>
        <w:t>x24小时现场技术服务</w:t>
      </w:r>
      <w:r>
        <w:rPr>
          <w:rFonts w:hint="eastAsia" w:ascii="宋体" w:hAnsi="宋体" w:cs="Arial"/>
          <w:sz w:val="24"/>
        </w:rPr>
        <w:t>；提供远程服务与现场服务相结合的方式，根据不同的故障级别采用不同的响应方案：电话及远程服务接到通报故障的电话或传真后的</w:t>
      </w:r>
      <w:r>
        <w:rPr>
          <w:rFonts w:ascii="宋体" w:hAnsi="宋体" w:cs="Arial"/>
          <w:sz w:val="24"/>
        </w:rPr>
        <w:t>3</w:t>
      </w:r>
      <w:r>
        <w:rPr>
          <w:rFonts w:hint="eastAsia" w:ascii="宋体" w:hAnsi="宋体" w:cs="Arial"/>
          <w:sz w:val="24"/>
        </w:rPr>
        <w:t>0分钟之内响应；对电话或远程无法排除的故障，在</w:t>
      </w:r>
      <w:r>
        <w:rPr>
          <w:rFonts w:ascii="宋体" w:hAnsi="宋体" w:cs="Arial"/>
          <w:sz w:val="24"/>
        </w:rPr>
        <w:t>1</w:t>
      </w:r>
      <w:r>
        <w:rPr>
          <w:rFonts w:hint="eastAsia" w:ascii="宋体" w:hAnsi="宋体" w:cs="Arial"/>
          <w:sz w:val="24"/>
        </w:rPr>
        <w:t>小时之内到达现场，进行故障排除工作。</w:t>
      </w:r>
      <w:r>
        <w:rPr>
          <w:rFonts w:hint="eastAsia"/>
          <w:sz w:val="24"/>
        </w:rPr>
        <w:t>紧急情况下能提供半个小时内到达现场的技术响应服务。</w:t>
      </w:r>
      <w:r>
        <w:rPr>
          <w:rFonts w:hint="eastAsia" w:ascii="宋体" w:hAnsi="宋体" w:cs="Arial"/>
          <w:sz w:val="24"/>
        </w:rPr>
        <w:t>一般非重大的故障保证系统在</w:t>
      </w:r>
      <w:r>
        <w:rPr>
          <w:rFonts w:ascii="宋体" w:hAnsi="宋体" w:cs="Arial"/>
          <w:sz w:val="24"/>
        </w:rPr>
        <w:t>2</w:t>
      </w:r>
      <w:r>
        <w:rPr>
          <w:rFonts w:hint="eastAsia" w:ascii="宋体" w:hAnsi="宋体" w:cs="Arial"/>
          <w:sz w:val="24"/>
        </w:rPr>
        <w:t>小时之内修复，重大故障保证系统在8小时之内修复。对于无法修复的故障，提供相应的代用设备供用户应急使用，以确保系统的正常运行。</w:t>
      </w:r>
    </w:p>
    <w:p w14:paraId="3787D286">
      <w:pPr>
        <w:spacing w:line="360" w:lineRule="auto"/>
        <w:rPr>
          <w:rFonts w:hint="eastAsia" w:ascii="宋体" w:hAnsi="宋体" w:cs="Arial"/>
          <w:sz w:val="24"/>
        </w:rPr>
      </w:pPr>
    </w:p>
    <w:p w14:paraId="591550B5">
      <w:pPr>
        <w:widowControl/>
        <w:numPr>
          <w:ilvl w:val="0"/>
          <w:numId w:val="5"/>
        </w:numPr>
        <w:adjustRightInd w:val="0"/>
        <w:snapToGrid w:val="0"/>
        <w:spacing w:line="360" w:lineRule="auto"/>
        <w:rPr>
          <w:rFonts w:hint="eastAsia" w:ascii="宋体" w:hAnsi="宋体" w:cs="宋体"/>
          <w:b/>
          <w:snapToGrid w:val="0"/>
          <w:kern w:val="28"/>
          <w:sz w:val="24"/>
        </w:rPr>
      </w:pPr>
      <w:r>
        <w:rPr>
          <w:rFonts w:hint="eastAsia" w:ascii="宋体" w:hAnsi="宋体" w:cs="宋体"/>
          <w:b/>
          <w:snapToGrid w:val="0"/>
          <w:kern w:val="28"/>
          <w:sz w:val="24"/>
        </w:rPr>
        <w:t>服务质量考核</w:t>
      </w:r>
    </w:p>
    <w:p w14:paraId="0470DEDE">
      <w:pPr>
        <w:spacing w:line="360" w:lineRule="auto"/>
        <w:ind w:firstLine="480" w:firstLineChars="200"/>
        <w:rPr>
          <w:rFonts w:hint="eastAsia" w:ascii="宋体" w:hAnsi="宋体" w:cs="Arial"/>
          <w:sz w:val="24"/>
        </w:rPr>
      </w:pPr>
      <w:r>
        <w:rPr>
          <w:rFonts w:hint="eastAsia" w:ascii="宋体" w:hAnsi="宋体" w:cs="Arial"/>
          <w:sz w:val="24"/>
        </w:rPr>
        <w:t>乙方（中标单位）须严格按照合同要求提供技术服务。为了确保服务工作得到有效监督，保证服务质量，甲方（采购人）按照合同要求对乙方的服务进行考核评价，并约定如下：</w:t>
      </w:r>
    </w:p>
    <w:p w14:paraId="110B4FBA">
      <w:pPr>
        <w:spacing w:line="360" w:lineRule="auto"/>
        <w:ind w:firstLine="480" w:firstLineChars="200"/>
        <w:rPr>
          <w:rFonts w:hint="eastAsia" w:ascii="宋体" w:hAnsi="宋体" w:cs="Arial"/>
          <w:sz w:val="24"/>
        </w:rPr>
      </w:pPr>
      <w:r>
        <w:rPr>
          <w:rFonts w:hint="eastAsia" w:ascii="宋体" w:hAnsi="宋体" w:cs="Arial"/>
          <w:sz w:val="24"/>
        </w:rPr>
        <w:t>（1）维保服务到期或项目终验前，甲方根据服务内容要求对乙方实行评分，评分结果作为衡量服务质量的依据。评分等级分为非常满意、满意、一般、不满意四档。如考核为“非常满意”或“满意”，不扣服务费。如考核为“一般”，可扣除合同款的百分之五。</w:t>
      </w:r>
    </w:p>
    <w:p w14:paraId="7B5E53ED">
      <w:pPr>
        <w:spacing w:line="360" w:lineRule="auto"/>
        <w:ind w:firstLine="480" w:firstLineChars="200"/>
        <w:rPr>
          <w:rFonts w:hint="eastAsia" w:ascii="宋体" w:hAnsi="宋体" w:cs="Arial"/>
          <w:sz w:val="24"/>
        </w:rPr>
      </w:pPr>
      <w:r>
        <w:rPr>
          <w:rFonts w:hint="eastAsia" w:ascii="宋体" w:hAnsi="宋体" w:cs="Arial"/>
          <w:sz w:val="24"/>
        </w:rPr>
        <w:t>考核为‘不满意’的，甲方有权解除合同，同时乙方应向甲方支付合同总价百分之五的违约金，同时退回甲方已支付的全部款项。由此产生的一切损失和费用由乙方承担。</w:t>
      </w:r>
    </w:p>
    <w:p w14:paraId="5F759188">
      <w:pPr>
        <w:spacing w:line="360" w:lineRule="auto"/>
        <w:ind w:firstLine="480" w:firstLineChars="200"/>
        <w:rPr>
          <w:rFonts w:hint="eastAsia" w:ascii="宋体" w:hAnsi="宋体" w:cs="Arial"/>
          <w:sz w:val="24"/>
        </w:rPr>
      </w:pPr>
      <w:r>
        <w:rPr>
          <w:rFonts w:hint="eastAsia" w:ascii="宋体" w:hAnsi="宋体" w:cs="Arial"/>
          <w:sz w:val="24"/>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5959FB72">
      <w:pPr>
        <w:spacing w:line="360" w:lineRule="auto"/>
        <w:ind w:firstLine="480" w:firstLineChars="200"/>
        <w:rPr>
          <w:rFonts w:hint="eastAsia" w:ascii="宋体" w:hAnsi="宋体" w:cs="Arial"/>
          <w:sz w:val="24"/>
        </w:rPr>
      </w:pPr>
      <w:r>
        <w:rPr>
          <w:rFonts w:hint="eastAsia" w:ascii="宋体" w:hAnsi="宋体" w:cs="Arial"/>
          <w:sz w:val="24"/>
        </w:rPr>
        <w:t>（3）因服务考核评价而发生的扣罚款项，经双方项目负责人签字确认，交由医院财务部在服务款中扣除。</w:t>
      </w:r>
    </w:p>
    <w:p w14:paraId="6703A6C3">
      <w:pPr>
        <w:spacing w:line="360" w:lineRule="auto"/>
        <w:ind w:firstLine="480" w:firstLineChars="200"/>
        <w:rPr>
          <w:rFonts w:hint="eastAsia" w:ascii="宋体" w:hAnsi="宋体" w:cs="Arial"/>
          <w:sz w:val="24"/>
        </w:rPr>
      </w:pPr>
    </w:p>
    <w:p w14:paraId="659285BB">
      <w:pPr>
        <w:widowControl/>
        <w:numPr>
          <w:ilvl w:val="0"/>
          <w:numId w:val="5"/>
        </w:numPr>
        <w:adjustRightInd w:val="0"/>
        <w:snapToGrid w:val="0"/>
        <w:spacing w:line="360" w:lineRule="auto"/>
        <w:rPr>
          <w:rFonts w:hint="eastAsia" w:ascii="宋体" w:hAnsi="宋体" w:cs="宋体"/>
          <w:b/>
          <w:snapToGrid w:val="0"/>
          <w:kern w:val="28"/>
          <w:sz w:val="24"/>
        </w:rPr>
      </w:pPr>
      <w:r>
        <w:rPr>
          <w:rFonts w:ascii="宋体" w:hAnsi="宋体" w:cs="宋体"/>
          <w:b/>
          <w:snapToGrid w:val="0"/>
          <w:kern w:val="28"/>
          <w:sz w:val="24"/>
        </w:rPr>
        <w:t>培训要求</w:t>
      </w:r>
    </w:p>
    <w:p w14:paraId="23CD7CA2">
      <w:pPr>
        <w:spacing w:line="360" w:lineRule="auto"/>
        <w:ind w:firstLine="480" w:firstLineChars="200"/>
        <w:rPr>
          <w:rFonts w:hint="eastAsia" w:ascii="宋体" w:hAnsi="宋体" w:cs="Arial"/>
          <w:sz w:val="24"/>
        </w:rPr>
      </w:pPr>
      <w:r>
        <w:rPr>
          <w:rFonts w:hint="eastAsia" w:ascii="宋体" w:hAnsi="宋体" w:cs="Arial"/>
          <w:sz w:val="24"/>
        </w:rPr>
        <w:t>中标单位应提供相应的培训计划并对采购人的操作人员、维修人员免费进行培训（培训时间由用户确定），包括但不仅限于原厂商工程师实施及提供设备相关的培训，并需提供产品的各项文档资料，包括但不仅限于部署文档、配置文档、试运行测试记录、用户使用手册等。</w:t>
      </w:r>
    </w:p>
    <w:p w14:paraId="53FF36BC">
      <w:pPr>
        <w:spacing w:line="360" w:lineRule="auto"/>
        <w:ind w:firstLine="480" w:firstLineChars="200"/>
        <w:rPr>
          <w:rFonts w:hint="eastAsia" w:ascii="宋体" w:hAnsi="宋体" w:cs="Arial"/>
          <w:sz w:val="24"/>
        </w:rPr>
      </w:pPr>
    </w:p>
    <w:p w14:paraId="73233D97">
      <w:pPr>
        <w:widowControl/>
        <w:numPr>
          <w:ilvl w:val="0"/>
          <w:numId w:val="5"/>
        </w:numPr>
        <w:adjustRightInd w:val="0"/>
        <w:snapToGrid w:val="0"/>
        <w:spacing w:line="360" w:lineRule="auto"/>
        <w:rPr>
          <w:rFonts w:hint="eastAsia" w:ascii="宋体" w:hAnsi="宋体" w:cs="宋体"/>
          <w:b/>
          <w:snapToGrid w:val="0"/>
          <w:kern w:val="28"/>
          <w:sz w:val="24"/>
        </w:rPr>
      </w:pPr>
      <w:r>
        <w:rPr>
          <w:rFonts w:hint="eastAsia" w:ascii="宋体" w:hAnsi="宋体" w:cs="宋体"/>
          <w:b/>
          <w:snapToGrid w:val="0"/>
          <w:kern w:val="28"/>
          <w:sz w:val="24"/>
        </w:rPr>
        <w:t>付款要求</w:t>
      </w:r>
    </w:p>
    <w:p w14:paraId="765D9DD5">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bookmarkStart w:id="0" w:name="_GoBack"/>
      <w:bookmarkEnd w:id="0"/>
      <w:r>
        <w:rPr>
          <w:rFonts w:hint="eastAsia" w:ascii="宋体" w:hAnsi="宋体"/>
          <w:sz w:val="24"/>
          <w:lang w:eastAsia="zh-CN"/>
        </w:rPr>
        <w:t>）</w:t>
      </w:r>
      <w:r>
        <w:rPr>
          <w:rFonts w:hint="eastAsia" w:ascii="宋体" w:hAnsi="宋体"/>
          <w:sz w:val="24"/>
        </w:rPr>
        <w:t>适用中小企业：</w:t>
      </w:r>
      <w:r>
        <w:rPr>
          <w:rFonts w:hint="eastAsia" w:ascii="宋体" w:hAnsi="宋体"/>
          <w:sz w:val="24"/>
        </w:rPr>
        <w:t>合同签订后，中标单位</w:t>
      </w:r>
      <w:r>
        <w:rPr>
          <w:rFonts w:hint="eastAsia" w:ascii="宋体" w:hAnsi="宋体"/>
          <w:sz w:val="24"/>
        </w:rPr>
        <w:t>应向采购人提交预付款保函。采购人在收到预付款保函、合同生效且项目具备实施条件后支付合同金额的40%作为预付款；项目验收合格，支付合同价的60%。</w:t>
      </w:r>
    </w:p>
    <w:p w14:paraId="3CB9F2B3">
      <w:pPr>
        <w:spacing w:line="360" w:lineRule="auto"/>
        <w:ind w:firstLine="480" w:firstLineChars="200"/>
        <w:rPr>
          <w:rFonts w:hint="eastAsia" w:ascii="宋体" w:hAnsi="宋体"/>
          <w:sz w:val="24"/>
        </w:rPr>
      </w:pPr>
      <w:r>
        <w:rPr>
          <w:rFonts w:hint="eastAsia" w:ascii="宋体" w:hAnsi="宋体"/>
          <w:sz w:val="24"/>
        </w:rPr>
        <w:t>注：签订合同时中标单位</w:t>
      </w:r>
      <w:r>
        <w:rPr>
          <w:rFonts w:hint="eastAsia" w:ascii="宋体" w:hAnsi="宋体"/>
          <w:sz w:val="24"/>
        </w:rPr>
        <w:t>明确表示无需预付款或者要求降低预付款比例的，采购人可在合同中另行约定。</w:t>
      </w:r>
    </w:p>
    <w:p w14:paraId="2333B23A">
      <w:pPr>
        <w:spacing w:line="360" w:lineRule="auto"/>
        <w:ind w:firstLine="480" w:firstLineChars="200"/>
        <w:rPr>
          <w:rFonts w:hint="eastAsia" w:ascii="宋体" w:hAnsi="宋体"/>
          <w:sz w:val="24"/>
        </w:rPr>
      </w:pPr>
      <w:r>
        <w:rPr>
          <w:rFonts w:hint="eastAsia" w:ascii="宋体" w:hAnsi="宋体"/>
          <w:sz w:val="24"/>
        </w:rPr>
        <w:t>（2）适用大型企业：项目验收合格后三个月内支付合同价的100%。</w:t>
      </w:r>
    </w:p>
    <w:p w14:paraId="608F09C0">
      <w:pPr>
        <w:spacing w:line="360" w:lineRule="auto"/>
        <w:ind w:firstLine="480" w:firstLineChars="200"/>
        <w:rPr>
          <w:rFonts w:hint="eastAsia" w:ascii="宋体" w:hAnsi="宋体"/>
          <w:sz w:val="24"/>
        </w:rPr>
      </w:pPr>
    </w:p>
    <w:p w14:paraId="48D9C279">
      <w:pPr>
        <w:widowControl/>
        <w:numPr>
          <w:ilvl w:val="0"/>
          <w:numId w:val="5"/>
        </w:numPr>
        <w:adjustRightInd w:val="0"/>
        <w:snapToGrid w:val="0"/>
        <w:spacing w:line="360" w:lineRule="auto"/>
        <w:rPr>
          <w:rFonts w:hint="eastAsia" w:ascii="宋体" w:hAnsi="宋体" w:cs="宋体"/>
          <w:b/>
          <w:snapToGrid w:val="0"/>
          <w:kern w:val="28"/>
          <w:sz w:val="24"/>
        </w:rPr>
      </w:pPr>
      <w:r>
        <w:rPr>
          <w:rFonts w:ascii="宋体" w:hAnsi="宋体" w:cs="宋体"/>
          <w:b/>
          <w:snapToGrid w:val="0"/>
          <w:kern w:val="28"/>
          <w:sz w:val="24"/>
        </w:rPr>
        <w:t>其他要求</w:t>
      </w:r>
    </w:p>
    <w:p w14:paraId="667532E2">
      <w:pPr>
        <w:spacing w:line="360" w:lineRule="auto"/>
        <w:ind w:firstLine="480" w:firstLineChars="200"/>
        <w:rPr>
          <w:rFonts w:hint="eastAsia" w:ascii="宋体" w:hAnsi="宋体" w:cs="Arial"/>
          <w:sz w:val="24"/>
        </w:rPr>
      </w:pPr>
      <w:r>
        <w:rPr>
          <w:rFonts w:hint="eastAsia" w:ascii="宋体" w:hAnsi="宋体" w:cs="Arial"/>
          <w:sz w:val="24"/>
        </w:rPr>
        <w:t>1、▲预中标供应商中标后需根据采购人要求提供纸质相关材料；因采购人要求提供而中标人未及时提供以上资料或中标人虚假应标等导致采购人损失的，由中标人承担全部责任及损失，并报采监部门按相关规定处罚。</w:t>
      </w:r>
    </w:p>
    <w:p w14:paraId="411D952E">
      <w:pPr>
        <w:spacing w:line="360" w:lineRule="auto"/>
        <w:ind w:firstLine="480" w:firstLineChars="200"/>
        <w:rPr>
          <w:rFonts w:hint="eastAsia" w:ascii="宋体" w:hAnsi="宋体"/>
          <w:sz w:val="24"/>
        </w:rPr>
      </w:pPr>
      <w:r>
        <w:rPr>
          <w:rFonts w:hint="eastAsia" w:ascii="宋体" w:hAnsi="宋体" w:cs="Arial"/>
          <w:sz w:val="24"/>
        </w:rPr>
        <w:t>2、</w:t>
      </w:r>
      <w:r>
        <w:rPr>
          <w:rFonts w:hint="eastAsia" w:ascii="宋体" w:hAnsi="宋体"/>
          <w:sz w:val="24"/>
        </w:rPr>
        <w:t>本次报价包含人工、材料费、运输、搬运、安装费、安装辅材及安装调试费用、管理费、利润、规费、保险、税金等其他所有费用。</w:t>
      </w:r>
    </w:p>
    <w:p w14:paraId="647B3F5A">
      <w:pPr>
        <w:spacing w:line="360" w:lineRule="auto"/>
        <w:ind w:firstLine="480" w:firstLineChars="200"/>
        <w:rPr>
          <w:rFonts w:hint="eastAsia" w:ascii="宋体" w:hAnsi="宋体" w:cs="Arial"/>
          <w:sz w:val="24"/>
        </w:rPr>
      </w:pPr>
      <w:r>
        <w:rPr>
          <w:rFonts w:hint="eastAsia" w:ascii="宋体" w:hAnsi="宋体" w:cs="Arial"/>
          <w:sz w:val="24"/>
        </w:rPr>
        <w:t>3、所有产品必须保证为原厂原包装全新产品，产品的包装、运输与安装均由中标方负责，如在过程中产品有缺失、损坏或缺陷，医院可要求免费更换。</w:t>
      </w:r>
    </w:p>
    <w:p w14:paraId="63A80A5B">
      <w:pPr>
        <w:spacing w:line="360" w:lineRule="auto"/>
        <w:ind w:firstLine="480" w:firstLineChars="200"/>
        <w:rPr>
          <w:rFonts w:hint="eastAsia" w:ascii="宋体" w:hAnsi="宋体" w:cs="Arial"/>
          <w:sz w:val="24"/>
        </w:rPr>
      </w:pPr>
      <w:r>
        <w:rPr>
          <w:rFonts w:hint="eastAsia" w:ascii="宋体" w:hAnsi="宋体" w:cs="Arial"/>
          <w:sz w:val="24"/>
        </w:rPr>
        <w:t>4、到货要求：合同签订后1个月内到货。</w:t>
      </w:r>
    </w:p>
    <w:p w14:paraId="6B67F8E7">
      <w:pPr>
        <w:spacing w:line="360" w:lineRule="auto"/>
        <w:ind w:firstLine="400" w:firstLineChars="200"/>
        <w:rPr>
          <w:rFonts w:hint="eastAsia" w:ascii="宋体" w:hAnsi="宋体" w:cs="宋体"/>
          <w:kern w:val="0"/>
          <w:sz w:val="20"/>
          <w:szCs w:val="20"/>
          <w:lang w:bidi="ar"/>
        </w:rPr>
      </w:pPr>
    </w:p>
    <w:p w14:paraId="14B85964">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65EA6"/>
    <w:multiLevelType w:val="singleLevel"/>
    <w:tmpl w:val="CCA65EA6"/>
    <w:lvl w:ilvl="0" w:tentative="0">
      <w:start w:val="1"/>
      <w:numFmt w:val="decimal"/>
      <w:lvlText w:val="(%1)"/>
      <w:lvlJc w:val="left"/>
      <w:pPr>
        <w:ind w:left="425" w:hanging="425"/>
      </w:pPr>
      <w:rPr>
        <w:rFonts w:hint="default"/>
      </w:rPr>
    </w:lvl>
  </w:abstractNum>
  <w:abstractNum w:abstractNumId="1">
    <w:nsid w:val="FEB6FD0E"/>
    <w:multiLevelType w:val="singleLevel"/>
    <w:tmpl w:val="FEB6FD0E"/>
    <w:lvl w:ilvl="0" w:tentative="0">
      <w:start w:val="1"/>
      <w:numFmt w:val="decimal"/>
      <w:suff w:val="nothing"/>
      <w:lvlText w:val="%1、"/>
      <w:lvlJc w:val="left"/>
    </w:lvl>
  </w:abstractNum>
  <w:abstractNum w:abstractNumId="2">
    <w:nsid w:val="FED70BE6"/>
    <w:multiLevelType w:val="singleLevel"/>
    <w:tmpl w:val="FED70BE6"/>
    <w:lvl w:ilvl="0" w:tentative="0">
      <w:start w:val="1"/>
      <w:numFmt w:val="decimal"/>
      <w:lvlText w:val="%1."/>
      <w:lvlJc w:val="left"/>
      <w:pPr>
        <w:ind w:left="425" w:hanging="425"/>
      </w:pPr>
      <w:rPr>
        <w:rFonts w:hint="default"/>
      </w:rPr>
    </w:lvl>
  </w:abstractNum>
  <w:abstractNum w:abstractNumId="3">
    <w:nsid w:val="387824C6"/>
    <w:multiLevelType w:val="multilevel"/>
    <w:tmpl w:val="387824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1301DD"/>
    <w:multiLevelType w:val="singleLevel"/>
    <w:tmpl w:val="6B1301DD"/>
    <w:lvl w:ilvl="0" w:tentative="0">
      <w:start w:val="4"/>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YTMxOGQxOTE4ZWZjZDJjNzc4ODJhODMyYjY4YWYifQ=="/>
  </w:docVars>
  <w:rsids>
    <w:rsidRoot w:val="00261B43"/>
    <w:rsid w:val="000048E3"/>
    <w:rsid w:val="00012910"/>
    <w:rsid w:val="00017FCE"/>
    <w:rsid w:val="0002518B"/>
    <w:rsid w:val="000423FB"/>
    <w:rsid w:val="00055A2C"/>
    <w:rsid w:val="000756DE"/>
    <w:rsid w:val="000F0429"/>
    <w:rsid w:val="00111B38"/>
    <w:rsid w:val="00133549"/>
    <w:rsid w:val="001335DB"/>
    <w:rsid w:val="00153E18"/>
    <w:rsid w:val="00157BF3"/>
    <w:rsid w:val="001741D7"/>
    <w:rsid w:val="00191C91"/>
    <w:rsid w:val="001A6CF7"/>
    <w:rsid w:val="001C7877"/>
    <w:rsid w:val="001D16E5"/>
    <w:rsid w:val="001E7E65"/>
    <w:rsid w:val="0023456F"/>
    <w:rsid w:val="00245A83"/>
    <w:rsid w:val="00261B43"/>
    <w:rsid w:val="00261E83"/>
    <w:rsid w:val="00282CDA"/>
    <w:rsid w:val="00284F2D"/>
    <w:rsid w:val="00297377"/>
    <w:rsid w:val="002C074B"/>
    <w:rsid w:val="002C3B6A"/>
    <w:rsid w:val="002C5F3A"/>
    <w:rsid w:val="002F01C3"/>
    <w:rsid w:val="002F7A99"/>
    <w:rsid w:val="0030212A"/>
    <w:rsid w:val="00310DB8"/>
    <w:rsid w:val="00334393"/>
    <w:rsid w:val="003438E6"/>
    <w:rsid w:val="00372112"/>
    <w:rsid w:val="003A03DB"/>
    <w:rsid w:val="003A430A"/>
    <w:rsid w:val="003B4701"/>
    <w:rsid w:val="003C30C3"/>
    <w:rsid w:val="003D1A6A"/>
    <w:rsid w:val="003E2A2F"/>
    <w:rsid w:val="00407C37"/>
    <w:rsid w:val="00427B8B"/>
    <w:rsid w:val="004411E4"/>
    <w:rsid w:val="004517A0"/>
    <w:rsid w:val="00465F6C"/>
    <w:rsid w:val="004B0587"/>
    <w:rsid w:val="004B5DB5"/>
    <w:rsid w:val="004D3C06"/>
    <w:rsid w:val="00502C92"/>
    <w:rsid w:val="00511B9F"/>
    <w:rsid w:val="00566FF8"/>
    <w:rsid w:val="005907E0"/>
    <w:rsid w:val="005A37B8"/>
    <w:rsid w:val="005C6CA7"/>
    <w:rsid w:val="005E2F8B"/>
    <w:rsid w:val="005E6B86"/>
    <w:rsid w:val="006060E4"/>
    <w:rsid w:val="00631641"/>
    <w:rsid w:val="00672E2D"/>
    <w:rsid w:val="00677ECF"/>
    <w:rsid w:val="00694C7A"/>
    <w:rsid w:val="006B6756"/>
    <w:rsid w:val="006C204E"/>
    <w:rsid w:val="006E2855"/>
    <w:rsid w:val="006E7FD5"/>
    <w:rsid w:val="0072040E"/>
    <w:rsid w:val="00722993"/>
    <w:rsid w:val="00732274"/>
    <w:rsid w:val="007330AC"/>
    <w:rsid w:val="00760F11"/>
    <w:rsid w:val="0078592C"/>
    <w:rsid w:val="007B30DC"/>
    <w:rsid w:val="007B351E"/>
    <w:rsid w:val="007D2698"/>
    <w:rsid w:val="007F733E"/>
    <w:rsid w:val="00801B55"/>
    <w:rsid w:val="00822E3B"/>
    <w:rsid w:val="0082355B"/>
    <w:rsid w:val="00852737"/>
    <w:rsid w:val="008615CE"/>
    <w:rsid w:val="0087220E"/>
    <w:rsid w:val="00881771"/>
    <w:rsid w:val="008B39C1"/>
    <w:rsid w:val="008C0B83"/>
    <w:rsid w:val="009320D8"/>
    <w:rsid w:val="009511F7"/>
    <w:rsid w:val="009672F2"/>
    <w:rsid w:val="00973DC4"/>
    <w:rsid w:val="009772BE"/>
    <w:rsid w:val="00980FEE"/>
    <w:rsid w:val="009A40C5"/>
    <w:rsid w:val="009C0375"/>
    <w:rsid w:val="009D29FA"/>
    <w:rsid w:val="009E48C9"/>
    <w:rsid w:val="009F6224"/>
    <w:rsid w:val="00A20001"/>
    <w:rsid w:val="00A41A20"/>
    <w:rsid w:val="00A6489C"/>
    <w:rsid w:val="00A72AF4"/>
    <w:rsid w:val="00AC6294"/>
    <w:rsid w:val="00AC7B50"/>
    <w:rsid w:val="00AD459F"/>
    <w:rsid w:val="00AF2243"/>
    <w:rsid w:val="00B31774"/>
    <w:rsid w:val="00B522E1"/>
    <w:rsid w:val="00B70819"/>
    <w:rsid w:val="00B85533"/>
    <w:rsid w:val="00B9020C"/>
    <w:rsid w:val="00BB4AB2"/>
    <w:rsid w:val="00BC2CDD"/>
    <w:rsid w:val="00BD47BC"/>
    <w:rsid w:val="00BE1AB7"/>
    <w:rsid w:val="00BF2C27"/>
    <w:rsid w:val="00C01FE8"/>
    <w:rsid w:val="00C07856"/>
    <w:rsid w:val="00C17050"/>
    <w:rsid w:val="00C31F25"/>
    <w:rsid w:val="00C37F91"/>
    <w:rsid w:val="00C40E9E"/>
    <w:rsid w:val="00C477FA"/>
    <w:rsid w:val="00C47FE1"/>
    <w:rsid w:val="00C709AB"/>
    <w:rsid w:val="00C74246"/>
    <w:rsid w:val="00C819D5"/>
    <w:rsid w:val="00C8665B"/>
    <w:rsid w:val="00CE1C9A"/>
    <w:rsid w:val="00CF63B2"/>
    <w:rsid w:val="00D02FB0"/>
    <w:rsid w:val="00D15ABC"/>
    <w:rsid w:val="00D22BCD"/>
    <w:rsid w:val="00D31E65"/>
    <w:rsid w:val="00D73890"/>
    <w:rsid w:val="00DA3613"/>
    <w:rsid w:val="00DD4816"/>
    <w:rsid w:val="00DD5501"/>
    <w:rsid w:val="00E02548"/>
    <w:rsid w:val="00E064DD"/>
    <w:rsid w:val="00E12438"/>
    <w:rsid w:val="00E2220B"/>
    <w:rsid w:val="00E36F49"/>
    <w:rsid w:val="00E40163"/>
    <w:rsid w:val="00E5580A"/>
    <w:rsid w:val="00E80962"/>
    <w:rsid w:val="00E814BF"/>
    <w:rsid w:val="00E87A4D"/>
    <w:rsid w:val="00EA32FE"/>
    <w:rsid w:val="00EA4175"/>
    <w:rsid w:val="00EA5B52"/>
    <w:rsid w:val="00ED486C"/>
    <w:rsid w:val="00EE6F54"/>
    <w:rsid w:val="00EF08DE"/>
    <w:rsid w:val="00EF22B0"/>
    <w:rsid w:val="00F06A06"/>
    <w:rsid w:val="00F87733"/>
    <w:rsid w:val="00F91AA7"/>
    <w:rsid w:val="00F91CAF"/>
    <w:rsid w:val="00FE26F4"/>
    <w:rsid w:val="00FF33B2"/>
    <w:rsid w:val="017B2F92"/>
    <w:rsid w:val="01AE12BB"/>
    <w:rsid w:val="01C7267B"/>
    <w:rsid w:val="022950E4"/>
    <w:rsid w:val="037203C5"/>
    <w:rsid w:val="03BB7608"/>
    <w:rsid w:val="04455AD9"/>
    <w:rsid w:val="04553F6E"/>
    <w:rsid w:val="05F652DD"/>
    <w:rsid w:val="06E96BF0"/>
    <w:rsid w:val="07AE4743"/>
    <w:rsid w:val="08422A5C"/>
    <w:rsid w:val="0AB15C77"/>
    <w:rsid w:val="0E744998"/>
    <w:rsid w:val="0FA638D0"/>
    <w:rsid w:val="12543AB7"/>
    <w:rsid w:val="125735A8"/>
    <w:rsid w:val="125F78C5"/>
    <w:rsid w:val="12E05D5D"/>
    <w:rsid w:val="13710699"/>
    <w:rsid w:val="13D50C28"/>
    <w:rsid w:val="13ED52C0"/>
    <w:rsid w:val="167E6559"/>
    <w:rsid w:val="1836718E"/>
    <w:rsid w:val="18EB4299"/>
    <w:rsid w:val="1AFB73D3"/>
    <w:rsid w:val="1C204A0A"/>
    <w:rsid w:val="1C6B61C2"/>
    <w:rsid w:val="1E227924"/>
    <w:rsid w:val="22DC0A1F"/>
    <w:rsid w:val="23AB3753"/>
    <w:rsid w:val="24E32A79"/>
    <w:rsid w:val="26B67982"/>
    <w:rsid w:val="27E40FE2"/>
    <w:rsid w:val="29BF3AB4"/>
    <w:rsid w:val="2C5D1363"/>
    <w:rsid w:val="2C7424E7"/>
    <w:rsid w:val="2D263445"/>
    <w:rsid w:val="2DB96A6D"/>
    <w:rsid w:val="2E6B0497"/>
    <w:rsid w:val="2EC13E2B"/>
    <w:rsid w:val="2EE30245"/>
    <w:rsid w:val="30F2476F"/>
    <w:rsid w:val="321D581C"/>
    <w:rsid w:val="324A4137"/>
    <w:rsid w:val="32F66DD2"/>
    <w:rsid w:val="37645C9B"/>
    <w:rsid w:val="37F963E3"/>
    <w:rsid w:val="39504CED"/>
    <w:rsid w:val="39873EC3"/>
    <w:rsid w:val="3E9A52F7"/>
    <w:rsid w:val="3EA01CAF"/>
    <w:rsid w:val="402B55A8"/>
    <w:rsid w:val="41166258"/>
    <w:rsid w:val="42224789"/>
    <w:rsid w:val="42E63A08"/>
    <w:rsid w:val="43594B1B"/>
    <w:rsid w:val="44580936"/>
    <w:rsid w:val="45230F44"/>
    <w:rsid w:val="46A55352"/>
    <w:rsid w:val="479C4FDD"/>
    <w:rsid w:val="48E80E01"/>
    <w:rsid w:val="492D2391"/>
    <w:rsid w:val="4A743FEF"/>
    <w:rsid w:val="4AB83EDC"/>
    <w:rsid w:val="4BB52B33"/>
    <w:rsid w:val="4C172839"/>
    <w:rsid w:val="4EF744A2"/>
    <w:rsid w:val="4FF7D487"/>
    <w:rsid w:val="51E43809"/>
    <w:rsid w:val="5304379F"/>
    <w:rsid w:val="5406215C"/>
    <w:rsid w:val="55202DAA"/>
    <w:rsid w:val="552D54C7"/>
    <w:rsid w:val="562468CA"/>
    <w:rsid w:val="56603C93"/>
    <w:rsid w:val="57030BD5"/>
    <w:rsid w:val="589D57B0"/>
    <w:rsid w:val="59400210"/>
    <w:rsid w:val="5D0336DD"/>
    <w:rsid w:val="5D4B5084"/>
    <w:rsid w:val="5DE132F2"/>
    <w:rsid w:val="60160E14"/>
    <w:rsid w:val="60FD48E7"/>
    <w:rsid w:val="61D61932"/>
    <w:rsid w:val="633F4151"/>
    <w:rsid w:val="63B74AF8"/>
    <w:rsid w:val="66012783"/>
    <w:rsid w:val="689B5E52"/>
    <w:rsid w:val="69C67F6C"/>
    <w:rsid w:val="6AE03B49"/>
    <w:rsid w:val="6BCB670E"/>
    <w:rsid w:val="6E2C2368"/>
    <w:rsid w:val="6E34121C"/>
    <w:rsid w:val="6F614293"/>
    <w:rsid w:val="6FD902CD"/>
    <w:rsid w:val="70D25448"/>
    <w:rsid w:val="70DB0321"/>
    <w:rsid w:val="718B2ED4"/>
    <w:rsid w:val="71956476"/>
    <w:rsid w:val="71C823A7"/>
    <w:rsid w:val="73441F01"/>
    <w:rsid w:val="74EE0377"/>
    <w:rsid w:val="752B1E77"/>
    <w:rsid w:val="762A3062"/>
    <w:rsid w:val="767C29A9"/>
    <w:rsid w:val="768371E5"/>
    <w:rsid w:val="769767EC"/>
    <w:rsid w:val="784529A4"/>
    <w:rsid w:val="79AC25AE"/>
    <w:rsid w:val="7A7C01D3"/>
    <w:rsid w:val="7EDA196C"/>
    <w:rsid w:val="7FFB07E3"/>
    <w:rsid w:val="B3D730A1"/>
    <w:rsid w:val="B9BF2FAB"/>
    <w:rsid w:val="BBBE8415"/>
    <w:rsid w:val="BDBF1213"/>
    <w:rsid w:val="D7CFF82B"/>
    <w:rsid w:val="FFBDD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2"/>
    <w:next w:val="2"/>
    <w:link w:val="18"/>
    <w:semiHidden/>
    <w:unhideWhenUsed/>
    <w:qFormat/>
    <w:uiPriority w:val="99"/>
    <w:rPr>
      <w:b/>
      <w:bCs/>
    </w:rPr>
  </w:style>
  <w:style w:type="paragraph" w:styleId="9">
    <w:name w:val="Body Text First Indent 2"/>
    <w:basedOn w:val="3"/>
    <w:qFormat/>
    <w:uiPriority w:val="0"/>
    <w:pPr>
      <w:tabs>
        <w:tab w:val="left" w:pos="5580"/>
      </w:tabs>
      <w:spacing w:before="120"/>
      <w:ind w:firstLine="420"/>
    </w:pPr>
    <w:rPr>
      <w:szCs w:val="20"/>
      <w:lang w:val="zh-CN"/>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17">
    <w:name w:val="批注文字 字符"/>
    <w:basedOn w:val="11"/>
    <w:link w:val="2"/>
    <w:semiHidden/>
    <w:qFormat/>
    <w:uiPriority w:val="99"/>
    <w:rPr>
      <w:kern w:val="2"/>
      <w:sz w:val="21"/>
      <w:szCs w:val="24"/>
    </w:rPr>
  </w:style>
  <w:style w:type="character" w:customStyle="1" w:styleId="18">
    <w:name w:val="批注主题 字符"/>
    <w:basedOn w:val="17"/>
    <w:link w:val="8"/>
    <w:semiHidden/>
    <w:qFormat/>
    <w:uiPriority w:val="99"/>
    <w:rPr>
      <w:b/>
      <w:bCs/>
      <w:kern w:val="2"/>
      <w:sz w:val="21"/>
      <w:szCs w:val="24"/>
    </w:rPr>
  </w:style>
  <w:style w:type="character" w:customStyle="1" w:styleId="19">
    <w:name w:val="批注框文本 字符"/>
    <w:basedOn w:val="11"/>
    <w:link w:val="5"/>
    <w:semiHidden/>
    <w:qFormat/>
    <w:uiPriority w:val="99"/>
    <w:rPr>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11</Pages>
  <Words>3583</Words>
  <Characters>4113</Characters>
  <Lines>66</Lines>
  <Paragraphs>18</Paragraphs>
  <TotalTime>53</TotalTime>
  <ScaleCrop>false</ScaleCrop>
  <LinksUpToDate>false</LinksUpToDate>
  <CharactersWithSpaces>4158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2024-12-17T07:20:00Z</dcterms:created>
  <dc:creator>18322</dc:creator>
  <cp:lastModifiedBy>zly</cp:lastModifiedBy>
  <dcterms:modified xsi:type="dcterms:W3CDTF">2025-01-14T01:03:11Z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8973221200D14A16BB05ABA8D6BD6F14_13</vt:lpwstr>
  </property>
  <property fmtid="{D5CDD505-2E9C-101B-9397-08002B2CF9AE}" pid="4" name="KSOTemplateDocerSaveRecord">
    <vt:lpwstr>eyJoZGlkIjoiODlkNTFjZWZjNjlhMGEzMjAxNTIyNzhmODM3Y2YyNjYiLCJ1c2VySWQiOiI0MTQ2MjQ3NjQifQ==</vt:lpwstr>
  </property>
</Properties>
</file>