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382EA">
      <w:pPr>
        <w:adjustRightInd w:val="0"/>
        <w:snapToGrid w:val="0"/>
        <w:spacing w:after="312" w:afterLines="100"/>
        <w:jc w:val="center"/>
        <w:rPr>
          <w:rFonts w:hint="default" w:ascii="方正小标宋简体" w:hAnsi="宋体" w:eastAsia="方正小标宋简体" w:cs="宋体"/>
          <w:kern w:val="0"/>
          <w:sz w:val="40"/>
          <w:szCs w:val="40"/>
          <w:lang w:val="en-US" w:eastAsia="zh-CN" w:bidi="ar"/>
        </w:rPr>
      </w:pPr>
      <w:r>
        <w:rPr>
          <w:rFonts w:hint="eastAsia" w:ascii="方正小标宋简体" w:hAnsi="宋体" w:eastAsia="方正小标宋简体" w:cs="宋体"/>
          <w:kern w:val="0"/>
          <w:sz w:val="40"/>
          <w:szCs w:val="40"/>
          <w:lang w:bidi="ar"/>
        </w:rPr>
        <w:t>浙江财经大学</w:t>
      </w:r>
      <w:r>
        <w:rPr>
          <w:rFonts w:hint="eastAsia" w:ascii="方正小标宋简体" w:hAnsi="宋体" w:eastAsia="方正小标宋简体" w:cs="宋体"/>
          <w:kern w:val="0"/>
          <w:sz w:val="40"/>
          <w:szCs w:val="40"/>
          <w:lang w:val="en-US" w:eastAsia="zh-CN" w:bidi="ar"/>
        </w:rPr>
        <w:t>空调竞价采购需求</w:t>
      </w:r>
    </w:p>
    <w:tbl>
      <w:tblPr>
        <w:tblStyle w:val="7"/>
        <w:tblW w:w="9035" w:type="dxa"/>
        <w:jc w:val="center"/>
        <w:tblLayout w:type="fixed"/>
        <w:tblCellMar>
          <w:top w:w="0" w:type="dxa"/>
          <w:left w:w="0" w:type="dxa"/>
          <w:bottom w:w="0" w:type="dxa"/>
          <w:right w:w="0" w:type="dxa"/>
        </w:tblCellMar>
      </w:tblPr>
      <w:tblGrid>
        <w:gridCol w:w="1842"/>
        <w:gridCol w:w="3228"/>
        <w:gridCol w:w="2722"/>
        <w:gridCol w:w="1243"/>
      </w:tblGrid>
      <w:tr w14:paraId="239257C6">
        <w:tblPrEx>
          <w:tblCellMar>
            <w:top w:w="0" w:type="dxa"/>
            <w:left w:w="0" w:type="dxa"/>
            <w:bottom w:w="0" w:type="dxa"/>
            <w:right w:w="0" w:type="dxa"/>
          </w:tblCellMar>
        </w:tblPrEx>
        <w:trPr>
          <w:trHeight w:val="570" w:hRule="atLeast"/>
          <w:jc w:val="center"/>
        </w:trPr>
        <w:tc>
          <w:tcPr>
            <w:tcW w:w="1842"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E6EFFD1">
            <w:pPr>
              <w:widowControl/>
              <w:jc w:val="center"/>
              <w:textAlignment w:val="center"/>
              <w:rPr>
                <w:rFonts w:hint="eastAsia" w:ascii="宋体" w:hAnsi="宋体" w:cs="宋体"/>
                <w:b/>
                <w:bCs/>
                <w:sz w:val="22"/>
                <w:szCs w:val="22"/>
              </w:rPr>
            </w:pPr>
            <w:r>
              <w:rPr>
                <w:rFonts w:hint="eastAsia" w:ascii="宋体" w:hAnsi="宋体" w:cs="宋体"/>
                <w:b/>
                <w:bCs/>
                <w:sz w:val="22"/>
                <w:szCs w:val="22"/>
              </w:rPr>
              <w:t>商品名称</w:t>
            </w:r>
          </w:p>
        </w:tc>
        <w:tc>
          <w:tcPr>
            <w:tcW w:w="3228"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0358F31C">
            <w:pPr>
              <w:jc w:val="center"/>
              <w:rPr>
                <w:rFonts w:hint="eastAsia" w:ascii="宋体" w:hAnsi="宋体" w:cs="宋体"/>
                <w:sz w:val="20"/>
                <w:szCs w:val="20"/>
              </w:rPr>
            </w:pPr>
            <w:r>
              <w:rPr>
                <w:rFonts w:hint="eastAsia" w:ascii="宋体" w:hAnsi="宋体" w:cs="宋体"/>
                <w:sz w:val="20"/>
                <w:szCs w:val="20"/>
              </w:rPr>
              <w:t>海尔空调</w:t>
            </w:r>
          </w:p>
        </w:tc>
        <w:tc>
          <w:tcPr>
            <w:tcW w:w="2722"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6732828">
            <w:pPr>
              <w:jc w:val="center"/>
              <w:rPr>
                <w:rFonts w:hint="eastAsia" w:ascii="宋体" w:hAnsi="宋体" w:cs="宋体"/>
                <w:b/>
                <w:bCs/>
                <w:sz w:val="22"/>
                <w:szCs w:val="22"/>
              </w:rPr>
            </w:pPr>
            <w:r>
              <w:rPr>
                <w:rFonts w:hint="eastAsia" w:ascii="宋体" w:hAnsi="宋体" w:cs="宋体"/>
                <w:b/>
                <w:bCs/>
                <w:sz w:val="22"/>
                <w:szCs w:val="22"/>
              </w:rPr>
              <w:t>价格下浮标准</w:t>
            </w:r>
          </w:p>
        </w:tc>
        <w:tc>
          <w:tcPr>
            <w:tcW w:w="124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AD835BD">
            <w:pPr>
              <w:jc w:val="center"/>
              <w:rPr>
                <w:rFonts w:hint="eastAsia" w:ascii="宋体" w:hAnsi="宋体" w:cs="宋体"/>
                <w:sz w:val="20"/>
                <w:szCs w:val="20"/>
              </w:rPr>
            </w:pPr>
            <w:r>
              <w:rPr>
                <w:rFonts w:hint="eastAsia" w:ascii="宋体" w:hAnsi="宋体" w:cs="宋体"/>
                <w:sz w:val="20"/>
                <w:szCs w:val="20"/>
              </w:rPr>
              <w:t>500元</w:t>
            </w:r>
          </w:p>
        </w:tc>
      </w:tr>
      <w:tr w14:paraId="2D2A43D3">
        <w:tblPrEx>
          <w:tblCellMar>
            <w:top w:w="0" w:type="dxa"/>
            <w:left w:w="0" w:type="dxa"/>
            <w:bottom w:w="0" w:type="dxa"/>
            <w:right w:w="0" w:type="dxa"/>
          </w:tblCellMar>
        </w:tblPrEx>
        <w:trPr>
          <w:trHeight w:val="582"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121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商品参数</w:t>
            </w:r>
          </w:p>
        </w:tc>
        <w:tc>
          <w:tcPr>
            <w:tcW w:w="7193" w:type="dxa"/>
            <w:gridSpan w:val="3"/>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CBBE0D7">
            <w:pPr>
              <w:rPr>
                <w:rFonts w:hint="eastAsia" w:asciiTheme="minorEastAsia" w:hAnsiTheme="minorEastAsia" w:cstheme="minorEastAsia"/>
                <w:sz w:val="20"/>
                <w:szCs w:val="20"/>
              </w:rPr>
            </w:pPr>
            <w:r>
              <w:rPr>
                <w:rFonts w:hint="eastAsia" w:asciiTheme="minorEastAsia" w:hAnsiTheme="minorEastAsia" w:cstheme="minorEastAsia"/>
                <w:sz w:val="20"/>
                <w:szCs w:val="20"/>
              </w:rPr>
              <w:t>KFR-35GW/B0MCA81（1级能效）20台</w:t>
            </w:r>
          </w:p>
          <w:p w14:paraId="1EAD5ACB">
            <w:pPr>
              <w:rPr>
                <w:rFonts w:hint="eastAsia" w:asciiTheme="minorEastAsia" w:hAnsiTheme="minorEastAsia" w:cstheme="minorEastAsia"/>
                <w:sz w:val="20"/>
                <w:szCs w:val="20"/>
              </w:rPr>
            </w:pPr>
            <w:r>
              <w:rPr>
                <w:rFonts w:hint="eastAsia" w:asciiTheme="minorEastAsia" w:hAnsiTheme="minorEastAsia" w:cstheme="minorEastAsia"/>
                <w:sz w:val="20"/>
                <w:szCs w:val="20"/>
              </w:rPr>
              <w:t>KFR-50GW/18MEA81U1 （1级能效）30台</w:t>
            </w:r>
          </w:p>
          <w:p w14:paraId="7B80EA8B">
            <w:pPr>
              <w:rPr>
                <w:rFonts w:hint="eastAsia" w:asciiTheme="minorEastAsia" w:hAnsiTheme="minorEastAsia" w:cstheme="minorEastAsia"/>
                <w:sz w:val="20"/>
                <w:szCs w:val="20"/>
              </w:rPr>
            </w:pPr>
            <w:r>
              <w:rPr>
                <w:rFonts w:hint="eastAsia" w:asciiTheme="minorEastAsia" w:hAnsiTheme="minorEastAsia" w:cstheme="minorEastAsia"/>
                <w:sz w:val="20"/>
                <w:szCs w:val="20"/>
              </w:rPr>
              <w:t>KFR-50LW/01XDA82U1 （2级能效）30台</w:t>
            </w:r>
          </w:p>
          <w:p w14:paraId="1BB2DDAB">
            <w:pPr>
              <w:rPr>
                <w:rFonts w:hint="eastAsia" w:asciiTheme="minorEastAsia" w:hAnsiTheme="minorEastAsia" w:cstheme="minorEastAsia"/>
                <w:sz w:val="20"/>
                <w:szCs w:val="20"/>
              </w:rPr>
            </w:pPr>
            <w:r>
              <w:rPr>
                <w:rFonts w:hint="eastAsia" w:asciiTheme="minorEastAsia" w:hAnsiTheme="minorEastAsia" w:cstheme="minorEastAsia"/>
                <w:sz w:val="20"/>
                <w:szCs w:val="20"/>
              </w:rPr>
              <w:t>KFR-72LW/03XDB82U1 （2级能效）30台</w:t>
            </w:r>
          </w:p>
          <w:p w14:paraId="34514754">
            <w:pPr>
              <w:rPr>
                <w:rFonts w:hint="eastAsia" w:ascii="宋体" w:hAnsi="宋体" w:eastAsia="宋体" w:cs="宋体"/>
                <w:sz w:val="18"/>
                <w:szCs w:val="18"/>
              </w:rPr>
            </w:pPr>
            <w:r>
              <w:rPr>
                <w:rFonts w:hint="eastAsia" w:asciiTheme="minorEastAsia" w:hAnsiTheme="minorEastAsia" w:cstheme="minorEastAsia"/>
                <w:sz w:val="20"/>
                <w:szCs w:val="20"/>
              </w:rPr>
              <w:t>KFRd-120LW/5YAF82（2级能效）30台</w:t>
            </w:r>
          </w:p>
        </w:tc>
      </w:tr>
      <w:tr w14:paraId="3B4A6B7F">
        <w:tblPrEx>
          <w:tblCellMar>
            <w:top w:w="0" w:type="dxa"/>
            <w:left w:w="0" w:type="dxa"/>
            <w:bottom w:w="0" w:type="dxa"/>
            <w:right w:w="0" w:type="dxa"/>
          </w:tblCellMar>
        </w:tblPrEx>
        <w:trPr>
          <w:trHeight w:val="1947"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18E0">
            <w:pPr>
              <w:widowControl/>
              <w:jc w:val="center"/>
              <w:textAlignment w:val="center"/>
              <w:rPr>
                <w:rFonts w:hint="eastAsia" w:ascii="宋体" w:hAnsi="宋体" w:cs="宋体"/>
                <w:b/>
                <w:sz w:val="22"/>
                <w:szCs w:val="22"/>
              </w:rPr>
            </w:pPr>
            <w:r>
              <w:rPr>
                <w:rFonts w:hint="eastAsia" w:ascii="宋体" w:hAnsi="宋体" w:cs="宋体"/>
                <w:b/>
                <w:sz w:val="22"/>
                <w:szCs w:val="22"/>
              </w:rPr>
              <w:t>商务要求</w:t>
            </w:r>
          </w:p>
        </w:tc>
        <w:tc>
          <w:tcPr>
            <w:tcW w:w="71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7D46">
            <w:pPr>
              <w:rPr>
                <w:rFonts w:hint="eastAsia" w:asciiTheme="minorEastAsia" w:hAnsiTheme="minorEastAsia" w:cstheme="minorEastAsia"/>
                <w:sz w:val="20"/>
                <w:szCs w:val="20"/>
              </w:rPr>
            </w:pPr>
            <w:r>
              <w:rPr>
                <w:rFonts w:hint="eastAsia" w:asciiTheme="minorEastAsia" w:hAnsiTheme="minorEastAsia" w:cstheme="minorEastAsia"/>
                <w:sz w:val="20"/>
                <w:szCs w:val="20"/>
              </w:rPr>
              <w:t>1、本项目要求采购的所有商品，中标供应商应当根据采购人要求送货到指定地点并安装，供应商报价应包含运费、人工费、售后服务费、税费等所有费用，</w:t>
            </w:r>
            <w:r>
              <w:rPr>
                <w:rFonts w:hint="eastAsia" w:ascii="宋体" w:hAnsi="宋体" w:cs="宋体"/>
                <w:sz w:val="20"/>
                <w:szCs w:val="20"/>
              </w:rPr>
              <w:t>未按照要求供货和安装，甲方有权解除合同，并且追究供应商违约责任</w:t>
            </w:r>
            <w:r>
              <w:rPr>
                <w:rFonts w:hint="eastAsia" w:asciiTheme="minorEastAsia" w:hAnsiTheme="minorEastAsia" w:cstheme="minorEastAsia"/>
                <w:sz w:val="20"/>
                <w:szCs w:val="20"/>
              </w:rPr>
              <w:t>。</w:t>
            </w:r>
          </w:p>
          <w:p w14:paraId="4A424606">
            <w:pPr>
              <w:rPr>
                <w:rFonts w:hint="eastAsia" w:asciiTheme="minorEastAsia" w:hAnsiTheme="minorEastAsia" w:cstheme="minorEastAsia"/>
                <w:sz w:val="20"/>
                <w:szCs w:val="20"/>
              </w:rPr>
            </w:pPr>
            <w:r>
              <w:rPr>
                <w:rFonts w:hint="eastAsia" w:asciiTheme="minorEastAsia" w:hAnsiTheme="minorEastAsia" w:cstheme="minorEastAsia"/>
                <w:sz w:val="20"/>
                <w:szCs w:val="20"/>
              </w:rPr>
              <w:t>2、竞价完成后5个工</w:t>
            </w:r>
            <w:bookmarkStart w:id="0" w:name="_GoBack"/>
            <w:bookmarkEnd w:id="0"/>
            <w:r>
              <w:rPr>
                <w:rFonts w:hint="eastAsia" w:asciiTheme="minorEastAsia" w:hAnsiTheme="minorEastAsia" w:cstheme="minorEastAsia"/>
                <w:sz w:val="20"/>
                <w:szCs w:val="20"/>
              </w:rPr>
              <w:t>作日内供货，并提供原厂针对本项目的授权书或承诺书。投标供应商投标提供的设备必须是厂商原装的、全新的，所提供的产品“品牌、型号及技术规格"必须完全符合，投标文件中的任一技术参数指标及提供的各种证明材料必须真实，不符合或负偏离或有遗漏项的作无效投标处理。所有产品必须保证为原厂原包装无任何缺陷的全新产品，交货时应附上原产地（生产基地）出厂合格证明、装箱清单等。如投标商恶意报价(无货源或无用户所需的证明材料)，用户有权通报给有关监督部门，按照竟价违约规则处理。</w:t>
            </w:r>
          </w:p>
          <w:p w14:paraId="20291891">
            <w:pPr>
              <w:rPr>
                <w:rFonts w:hint="eastAsia" w:asciiTheme="minorEastAsia" w:hAnsiTheme="minorEastAsia" w:cstheme="minorEastAsia"/>
                <w:sz w:val="20"/>
                <w:szCs w:val="20"/>
              </w:rPr>
            </w:pPr>
            <w:r>
              <w:rPr>
                <w:rFonts w:hint="eastAsia" w:asciiTheme="minorEastAsia" w:hAnsiTheme="minorEastAsia" w:cstheme="minorEastAsia"/>
                <w:sz w:val="20"/>
                <w:szCs w:val="20"/>
              </w:rPr>
              <w:t>3、服务要求:</w:t>
            </w:r>
            <w:r>
              <w:rPr>
                <w:rFonts w:hint="eastAsia"/>
              </w:rPr>
              <w:t xml:space="preserve"> </w:t>
            </w:r>
            <w:r>
              <w:rPr>
                <w:rFonts w:hint="eastAsia" w:asciiTheme="minorEastAsia" w:hAnsiTheme="minorEastAsia" w:cstheme="minorEastAsia"/>
                <w:sz w:val="20"/>
                <w:szCs w:val="20"/>
              </w:rPr>
              <w:t>预中标者须具有较强的服务能力，配备专业的技术团队，能提供专业、快速的售后服务。质量保证：（1）产品的包装、运输与安装均由中标方负责，如在过程中产品有缺失、损坏或缺陷，甲方可要求免费更换。（2）提供的设备须进行安装调试，调试后保证设备能正常使用。</w:t>
            </w:r>
          </w:p>
          <w:p w14:paraId="64E0F72F">
            <w:pPr>
              <w:rPr>
                <w:rFonts w:hint="eastAsia" w:asciiTheme="minorEastAsia" w:hAnsiTheme="minorEastAsia" w:cstheme="minorEastAsia"/>
                <w:sz w:val="20"/>
                <w:szCs w:val="20"/>
              </w:rPr>
            </w:pPr>
            <w:r>
              <w:rPr>
                <w:rFonts w:hint="eastAsia" w:asciiTheme="minorEastAsia" w:hAnsiTheme="minorEastAsia" w:cstheme="minorEastAsia"/>
                <w:sz w:val="20"/>
                <w:szCs w:val="20"/>
              </w:rPr>
              <w:t>售后服务保障要求：（1）质保期内因不能排除的故障而影响工作的情况每发生一次，质保期相应延长60天，质保期内因设备本身缺陷造成各种故障应由乙方提供免费技术服务和维修。（2）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3）发生故障接到用户维修要求后，投标人应承诺在半小时内响应并提出解决方案，2小时内到现场进行故障处理。</w:t>
            </w:r>
          </w:p>
          <w:p w14:paraId="2D49CE1E">
            <w:pPr>
              <w:rPr>
                <w:rFonts w:hint="eastAsia" w:asciiTheme="minorEastAsia" w:hAnsiTheme="minorEastAsia" w:cstheme="minorEastAsia"/>
                <w:sz w:val="20"/>
                <w:szCs w:val="20"/>
              </w:rPr>
            </w:pPr>
            <w:r>
              <w:rPr>
                <w:rFonts w:hint="eastAsia" w:asciiTheme="minorEastAsia" w:hAnsiTheme="minorEastAsia" w:cstheme="minorEastAsia"/>
                <w:sz w:val="20"/>
                <w:szCs w:val="20"/>
              </w:rPr>
              <w:t>4、本项目所有商品，质保期6年及以上，必须提供节能产品认证证书。</w:t>
            </w:r>
          </w:p>
          <w:p w14:paraId="1AF7AEAB">
            <w:pPr>
              <w:rPr>
                <w:rFonts w:hint="eastAsia" w:asciiTheme="minorEastAsia" w:hAnsiTheme="minorEastAsia" w:cstheme="minorEastAsia"/>
                <w:sz w:val="20"/>
                <w:szCs w:val="20"/>
              </w:rPr>
            </w:pPr>
            <w:r>
              <w:rPr>
                <w:rFonts w:hint="eastAsia" w:asciiTheme="minorEastAsia" w:hAnsiTheme="minorEastAsia" w:cstheme="minorEastAsia"/>
                <w:sz w:val="20"/>
                <w:szCs w:val="20"/>
              </w:rPr>
              <w:t>5、供应商必须满足以上全部商务条款，否则投标无效。供应商参加此次竞价，即视为完全了解、明白并同意上述要求。一旦发现虚假响应，即使确认成交也将被取消供货资格，采购人有权追究供应商责任并向监管部门投诉。预中标者如不能满足上述所有条款，则视为违约，作自动弃标处理，本次竞价单无效，采购方视情重新组织竞价</w:t>
            </w:r>
          </w:p>
          <w:p w14:paraId="5B5732F3">
            <w:pPr>
              <w:rPr>
                <w:rFonts w:hint="eastAsia" w:ascii="宋体" w:hAnsi="宋体" w:cs="宋体"/>
                <w:sz w:val="20"/>
                <w:szCs w:val="20"/>
              </w:rPr>
            </w:pPr>
            <w:r>
              <w:rPr>
                <w:rFonts w:hint="eastAsia" w:ascii="宋体" w:hAnsi="宋体" w:cs="宋体"/>
                <w:sz w:val="20"/>
                <w:szCs w:val="20"/>
              </w:rPr>
              <w:t>6、付款方式：货物经验收合格后20个工作日内，甲方向乙方支付至合同价的100%。</w:t>
            </w:r>
          </w:p>
        </w:tc>
      </w:tr>
      <w:tr w14:paraId="5BF3DB16">
        <w:tblPrEx>
          <w:tblCellMar>
            <w:top w:w="0" w:type="dxa"/>
            <w:left w:w="0" w:type="dxa"/>
            <w:bottom w:w="0" w:type="dxa"/>
            <w:right w:w="0" w:type="dxa"/>
          </w:tblCellMar>
        </w:tblPrEx>
        <w:trPr>
          <w:trHeight w:val="796"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AB19">
            <w:pPr>
              <w:widowControl/>
              <w:jc w:val="center"/>
              <w:textAlignment w:val="center"/>
              <w:rPr>
                <w:rFonts w:hint="eastAsia" w:ascii="宋体" w:hAnsi="宋体" w:cs="宋体"/>
                <w:b/>
                <w:sz w:val="22"/>
                <w:szCs w:val="22"/>
              </w:rPr>
            </w:pPr>
            <w:r>
              <w:rPr>
                <w:rFonts w:hint="eastAsia" w:ascii="宋体" w:hAnsi="宋体" w:cs="宋体"/>
                <w:b/>
                <w:sz w:val="22"/>
                <w:szCs w:val="22"/>
              </w:rPr>
              <w:t>送货期限</w:t>
            </w:r>
          </w:p>
        </w:tc>
        <w:tc>
          <w:tcPr>
            <w:tcW w:w="71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AE42">
            <w:pPr>
              <w:ind w:firstLine="200" w:firstLineChars="100"/>
              <w:rPr>
                <w:rFonts w:hint="eastAsia" w:ascii="宋体" w:hAnsi="宋体" w:cs="宋体"/>
                <w:sz w:val="20"/>
                <w:szCs w:val="20"/>
              </w:rPr>
            </w:pPr>
            <w:r>
              <w:rPr>
                <w:rFonts w:hint="eastAsia" w:ascii="宋体" w:hAnsi="宋体" w:cs="宋体"/>
                <w:sz w:val="20"/>
                <w:szCs w:val="20"/>
              </w:rPr>
              <w:t>合同生效后</w:t>
            </w:r>
            <w:r>
              <w:rPr>
                <w:rFonts w:hint="eastAsia" w:ascii="宋体" w:hAnsi="宋体" w:cs="宋体"/>
                <w:sz w:val="20"/>
                <w:szCs w:val="20"/>
                <w:u w:val="single"/>
              </w:rPr>
              <w:t xml:space="preserve"> 5 </w:t>
            </w:r>
            <w:r>
              <w:rPr>
                <w:rFonts w:hint="eastAsia" w:ascii="宋体" w:hAnsi="宋体" w:cs="宋体"/>
                <w:sz w:val="20"/>
                <w:szCs w:val="20"/>
              </w:rPr>
              <w:t>个工作日内送货并按照现有需求安排安装，多余空调进入学校仓库存放，按需安排安装。（备注：/ ）</w:t>
            </w:r>
          </w:p>
        </w:tc>
      </w:tr>
      <w:tr w14:paraId="3B07AFFC">
        <w:tblPrEx>
          <w:tblCellMar>
            <w:top w:w="0" w:type="dxa"/>
            <w:left w:w="0" w:type="dxa"/>
            <w:bottom w:w="0" w:type="dxa"/>
            <w:right w:w="0" w:type="dxa"/>
          </w:tblCellMar>
        </w:tblPrEx>
        <w:trPr>
          <w:trHeight w:val="835"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8D547">
            <w:pPr>
              <w:widowControl/>
              <w:jc w:val="center"/>
              <w:textAlignment w:val="center"/>
              <w:rPr>
                <w:rFonts w:hint="eastAsia" w:ascii="宋体" w:hAnsi="宋体" w:cs="宋体"/>
                <w:b/>
                <w:sz w:val="22"/>
                <w:szCs w:val="22"/>
              </w:rPr>
            </w:pPr>
            <w:r>
              <w:rPr>
                <w:rFonts w:hint="eastAsia" w:ascii="宋体" w:hAnsi="宋体" w:cs="宋体"/>
                <w:b/>
                <w:sz w:val="22"/>
                <w:szCs w:val="22"/>
              </w:rPr>
              <w:t>收货信息</w:t>
            </w:r>
          </w:p>
        </w:tc>
        <w:tc>
          <w:tcPr>
            <w:tcW w:w="71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D483">
            <w:pPr>
              <w:ind w:firstLine="200" w:firstLineChars="100"/>
              <w:rPr>
                <w:rFonts w:hint="eastAsia" w:ascii="宋体" w:hAnsi="宋体" w:cs="宋体"/>
                <w:sz w:val="20"/>
                <w:szCs w:val="20"/>
              </w:rPr>
            </w:pPr>
            <w:r>
              <w:rPr>
                <w:rFonts w:hint="eastAsia" w:ascii="宋体" w:hAnsi="宋体" w:cs="宋体"/>
                <w:sz w:val="20"/>
                <w:szCs w:val="20"/>
              </w:rPr>
              <w:t>浙江财经大学下沙校区（杭州市学源街18号）行政楼208，刘老师，0571-86735801</w:t>
            </w:r>
          </w:p>
        </w:tc>
      </w:tr>
    </w:tbl>
    <w:p w14:paraId="20D87EC1">
      <w:pPr>
        <w:adjustRightInd w:val="0"/>
        <w:snapToGrid w:val="0"/>
        <w:spacing w:line="760" w:lineRule="exact"/>
        <w:rPr>
          <w:rFonts w:hint="eastAsia" w:ascii="黑体" w:hAnsi="黑体" w:eastAsia="黑体"/>
          <w:sz w:val="44"/>
          <w:szCs w:val="44"/>
        </w:rPr>
      </w:pPr>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46801"/>
    </w:sdtPr>
    <w:sdtEndPr>
      <w:rPr>
        <w:rFonts w:asciiTheme="minorEastAsia" w:hAnsiTheme="minorEastAsia"/>
        <w:sz w:val="28"/>
        <w:szCs w:val="28"/>
      </w:rPr>
    </w:sdtEndPr>
    <w:sdtContent>
      <w:p w14:paraId="65DFE9B0">
        <w:pPr>
          <w:pStyle w:val="4"/>
          <w:jc w:val="center"/>
          <w:rPr>
            <w:rFonts w:hint="eastAsia"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50</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p>
    </w:sdtContent>
  </w:sdt>
  <w:p w14:paraId="5A14EFB6">
    <w:pPr>
      <w:tabs>
        <w:tab w:val="center" w:pos="4153"/>
        <w:tab w:val="right" w:pos="8306"/>
      </w:tabs>
      <w:snapToGrid w:val="0"/>
      <w:jc w:val="right"/>
      <w:rPr>
        <w:rFonts w:hint="eastAsia" w:ascii="宋体" w:hAnsi="宋体"/>
        <w:sz w:val="28"/>
        <w:szCs w:val="28"/>
      </w:rPr>
    </w:pPr>
  </w:p>
  <w:p w14:paraId="211E13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szCs w:val="22"/>
      </w:rPr>
      <w:id w:val="-807776839"/>
    </w:sdtPr>
    <w:sdtEndPr>
      <w:rPr>
        <w:rFonts w:ascii="Calibri" w:hAnsi="Calibri"/>
        <w:sz w:val="18"/>
        <w:szCs w:val="18"/>
      </w:rPr>
    </w:sdtEndPr>
    <w:sdtContent>
      <w:p w14:paraId="5FD499D1">
        <w:pPr>
          <w:tabs>
            <w:tab w:val="center" w:pos="4153"/>
            <w:tab w:val="right" w:pos="8306"/>
          </w:tabs>
          <w:snapToGrid w:val="0"/>
          <w:jc w:val="left"/>
          <w:rPr>
            <w:rFonts w:ascii="Calibri" w:hAnsi="Calibri"/>
            <w:sz w:val="18"/>
            <w:szCs w:val="1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sdtContent>
  </w:sdt>
  <w:p w14:paraId="60B7ADA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5F72">
    <w:pPr>
      <w:tabs>
        <w:tab w:val="center" w:pos="4153"/>
        <w:tab w:val="right" w:pos="8306"/>
      </w:tabs>
      <w:snapToGrid w:val="0"/>
      <w:jc w:val="center"/>
      <w:rPr>
        <w:rFonts w:ascii="Calibri" w:hAnsi="Calibri"/>
        <w:sz w:val="18"/>
        <w:szCs w:val="18"/>
      </w:rPr>
    </w:pPr>
  </w:p>
  <w:p w14:paraId="73A17E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1731">
    <w:pPr>
      <w:tabs>
        <w:tab w:val="center" w:pos="4153"/>
        <w:tab w:val="right" w:pos="8306"/>
      </w:tabs>
      <w:snapToGrid w:val="0"/>
      <w:jc w:val="center"/>
      <w:rPr>
        <w:rFonts w:ascii="Calibri" w:hAnsi="Calibri"/>
        <w:sz w:val="18"/>
        <w:szCs w:val="18"/>
      </w:rPr>
    </w:pPr>
  </w:p>
  <w:p w14:paraId="7C0398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MGNkOTZhMTUyMTA1ZDRiN2M2NTQ5MTM0ZmFiMTYifQ=="/>
  </w:docVars>
  <w:rsids>
    <w:rsidRoot w:val="007347A0"/>
    <w:rsid w:val="00012616"/>
    <w:rsid w:val="0009566A"/>
    <w:rsid w:val="000D4A84"/>
    <w:rsid w:val="000E0781"/>
    <w:rsid w:val="000F2668"/>
    <w:rsid w:val="000F4C7F"/>
    <w:rsid w:val="001F1C5A"/>
    <w:rsid w:val="00273BC5"/>
    <w:rsid w:val="00301DCA"/>
    <w:rsid w:val="00346BC9"/>
    <w:rsid w:val="00364A58"/>
    <w:rsid w:val="003D3B9C"/>
    <w:rsid w:val="00497507"/>
    <w:rsid w:val="00531E4C"/>
    <w:rsid w:val="00543ECA"/>
    <w:rsid w:val="00545605"/>
    <w:rsid w:val="005538F5"/>
    <w:rsid w:val="00570C86"/>
    <w:rsid w:val="005766DE"/>
    <w:rsid w:val="005E6F6F"/>
    <w:rsid w:val="0068765C"/>
    <w:rsid w:val="006B2929"/>
    <w:rsid w:val="00717F63"/>
    <w:rsid w:val="007347A0"/>
    <w:rsid w:val="007A3B9E"/>
    <w:rsid w:val="007E5DFC"/>
    <w:rsid w:val="0080174C"/>
    <w:rsid w:val="0085323E"/>
    <w:rsid w:val="008B178D"/>
    <w:rsid w:val="008D06BD"/>
    <w:rsid w:val="009324F3"/>
    <w:rsid w:val="00982E04"/>
    <w:rsid w:val="009B0098"/>
    <w:rsid w:val="00A3417E"/>
    <w:rsid w:val="00A65A5C"/>
    <w:rsid w:val="00AB0AD6"/>
    <w:rsid w:val="00AC2DE8"/>
    <w:rsid w:val="00AD5265"/>
    <w:rsid w:val="00B21AC5"/>
    <w:rsid w:val="00B52B10"/>
    <w:rsid w:val="00BA58B6"/>
    <w:rsid w:val="00BE4726"/>
    <w:rsid w:val="00BE7C01"/>
    <w:rsid w:val="00C4300C"/>
    <w:rsid w:val="00C6239D"/>
    <w:rsid w:val="00C851BE"/>
    <w:rsid w:val="00CA01D9"/>
    <w:rsid w:val="00D01632"/>
    <w:rsid w:val="00D26D45"/>
    <w:rsid w:val="00DD6341"/>
    <w:rsid w:val="00E27EB9"/>
    <w:rsid w:val="00E30A92"/>
    <w:rsid w:val="00E605A5"/>
    <w:rsid w:val="00F71D96"/>
    <w:rsid w:val="00F738C3"/>
    <w:rsid w:val="00F776B3"/>
    <w:rsid w:val="00F964C4"/>
    <w:rsid w:val="00FD0F1A"/>
    <w:rsid w:val="05832D5D"/>
    <w:rsid w:val="07967B7D"/>
    <w:rsid w:val="0CD11772"/>
    <w:rsid w:val="0D0E5602"/>
    <w:rsid w:val="0DB32875"/>
    <w:rsid w:val="12F61ED0"/>
    <w:rsid w:val="164C067A"/>
    <w:rsid w:val="16C74D2A"/>
    <w:rsid w:val="184A0E5C"/>
    <w:rsid w:val="233A6131"/>
    <w:rsid w:val="2612201C"/>
    <w:rsid w:val="28EB1FD6"/>
    <w:rsid w:val="297D299D"/>
    <w:rsid w:val="2EE60D4C"/>
    <w:rsid w:val="309E56FD"/>
    <w:rsid w:val="31750A58"/>
    <w:rsid w:val="31E62491"/>
    <w:rsid w:val="332B05BF"/>
    <w:rsid w:val="345F6709"/>
    <w:rsid w:val="36735233"/>
    <w:rsid w:val="37943DF7"/>
    <w:rsid w:val="39DF5157"/>
    <w:rsid w:val="3CF43348"/>
    <w:rsid w:val="40E06383"/>
    <w:rsid w:val="43E8337C"/>
    <w:rsid w:val="444B0CC1"/>
    <w:rsid w:val="446F749A"/>
    <w:rsid w:val="45C07D74"/>
    <w:rsid w:val="45DB6B24"/>
    <w:rsid w:val="469433B6"/>
    <w:rsid w:val="49187028"/>
    <w:rsid w:val="4A8B3ACC"/>
    <w:rsid w:val="4C89152D"/>
    <w:rsid w:val="4D531B37"/>
    <w:rsid w:val="4EE82252"/>
    <w:rsid w:val="506534DB"/>
    <w:rsid w:val="50A969B9"/>
    <w:rsid w:val="514414CB"/>
    <w:rsid w:val="522A1933"/>
    <w:rsid w:val="52987899"/>
    <w:rsid w:val="54D77CBE"/>
    <w:rsid w:val="588728DB"/>
    <w:rsid w:val="596A47FA"/>
    <w:rsid w:val="59A80288"/>
    <w:rsid w:val="5AAF59A9"/>
    <w:rsid w:val="5BD11851"/>
    <w:rsid w:val="5D7C3EF8"/>
    <w:rsid w:val="676D04CD"/>
    <w:rsid w:val="70A423D8"/>
    <w:rsid w:val="768D1860"/>
    <w:rsid w:val="77E13F5B"/>
    <w:rsid w:val="78F17279"/>
    <w:rsid w:val="7FA41E13"/>
    <w:rsid w:val="7FD7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pPr>
      <w:widowControl/>
      <w:spacing w:before="100" w:beforeAutospacing="1" w:after="100" w:afterAutospacing="1"/>
      <w:jc w:val="left"/>
    </w:pPr>
    <w:rPr>
      <w:rFonts w:ascii="宋体" w:hAnsi="宋体"/>
      <w:sz w:val="24"/>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after="272"/>
      <w:jc w:val="left"/>
    </w:pPr>
    <w:rPr>
      <w:rFonts w:ascii="宋体" w:hAnsi="宋体" w:eastAsia="宋体" w:cs="宋体"/>
      <w:kern w:val="0"/>
      <w:sz w:val="20"/>
      <w:szCs w:val="20"/>
    </w:rPr>
  </w:style>
  <w:style w:type="table" w:styleId="8">
    <w:name w:val="Table Grid"/>
    <w:basedOn w:val="7"/>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rPr>
  </w:style>
  <w:style w:type="character" w:customStyle="1" w:styleId="11">
    <w:name w:val="标题 3 Char1"/>
    <w:basedOn w:val="9"/>
    <w:autoRedefine/>
    <w:qFormat/>
    <w:uiPriority w:val="0"/>
    <w:rPr>
      <w:rFonts w:ascii="Times New Roman" w:hAnsi="Times New Roman" w:eastAsia="宋体" w:cs="Times New Roman"/>
      <w:b/>
      <w:bCs/>
      <w:kern w:val="0"/>
      <w:sz w:val="32"/>
      <w:szCs w:val="32"/>
    </w:rPr>
  </w:style>
  <w:style w:type="paragraph" w:customStyle="1" w:styleId="12">
    <w:name w:val="msonormalcxspmiddle"/>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文稿正文"/>
    <w:basedOn w:val="1"/>
    <w:autoRedefine/>
    <w:qFormat/>
    <w:uiPriority w:val="0"/>
    <w:pPr>
      <w:ind w:firstLine="640" w:firstLineChars="200"/>
    </w:pPr>
    <w:rPr>
      <w:rFonts w:ascii="仿宋_GB2312" w:hAnsi="宋体" w:eastAsia="仿宋_GB2312" w:cs="Times New Roman"/>
      <w:bCs/>
      <w:kern w:val="0"/>
      <w:sz w:val="32"/>
      <w:szCs w:val="28"/>
    </w:rPr>
  </w:style>
  <w:style w:type="paragraph" w:customStyle="1" w:styleId="14">
    <w:name w:val="UserStyle_1"/>
    <w:basedOn w:val="1"/>
    <w:qFormat/>
    <w:uiPriority w:val="0"/>
    <w:pPr>
      <w:spacing w:before="100" w:beforeAutospacing="1" w:after="100" w:afterAutospacing="1"/>
      <w:jc w:val="left"/>
    </w:pPr>
    <w:rPr>
      <w:rFonts w:ascii="宋体" w:hAnsi="宋体"/>
      <w:kern w:val="0"/>
      <w:sz w:val="24"/>
    </w:rPr>
  </w:style>
  <w:style w:type="paragraph" w:customStyle="1" w:styleId="15">
    <w:name w:val="reader-word-layer"/>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Default"/>
    <w:autoRedefine/>
    <w:qFormat/>
    <w:uiPriority w:val="0"/>
    <w:pPr>
      <w:widowControl w:val="0"/>
      <w:autoSpaceDE w:val="0"/>
      <w:autoSpaceDN w:val="0"/>
      <w:adjustRightInd w:val="0"/>
    </w:pPr>
    <w:rPr>
      <w:rFonts w:ascii="华文中宋" w:hAnsi="华文中宋" w:cs="华文中宋" w:eastAsiaTheme="minorEastAsia"/>
      <w:color w:val="000000"/>
      <w:sz w:val="24"/>
      <w:szCs w:val="24"/>
      <w:lang w:val="en-US" w:eastAsia="zh-CN" w:bidi="ar-SA"/>
    </w:rPr>
  </w:style>
  <w:style w:type="paragraph" w:styleId="17">
    <w:name w:val="List Paragraph"/>
    <w:basedOn w:val="1"/>
    <w:autoRedefine/>
    <w:qFormat/>
    <w:uiPriority w:val="34"/>
    <w:pPr>
      <w:ind w:firstLine="420" w:firstLineChars="200"/>
    </w:pPr>
  </w:style>
  <w:style w:type="character" w:customStyle="1" w:styleId="18">
    <w:name w:val="页眉 字符"/>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1118</Words>
  <Characters>1227</Characters>
  <Lines>17</Lines>
  <Paragraphs>5</Paragraphs>
  <TotalTime>109</TotalTime>
  <ScaleCrop>false</ScaleCrop>
  <LinksUpToDate>false</LinksUpToDate>
  <CharactersWithSpaces>1234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2024-06-04T01:33:00Z</dcterms:created>
  <dc:creator>祝红霞</dc:creator>
  <cp:lastModifiedBy>Z.Y.Y</cp:lastModifiedBy>
  <cp:lastPrinted>2024-06-04T03:24:00Z</cp:lastPrinted>
  <dcterms:modified xsi:type="dcterms:W3CDTF">2024-12-11T07:18:56Z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EF97234843F74DC9BC9D6D2CAE89D79B_13</vt:lpwstr>
  </property>
</Properties>
</file>