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温州医科大学附属眼视光医院</w:t>
      </w:r>
    </w:p>
    <w:p>
      <w:pPr>
        <w:jc w:val="center"/>
        <w:rPr>
          <w:b/>
          <w:sz w:val="30"/>
          <w:szCs w:val="30"/>
        </w:rPr>
      </w:pPr>
      <w:r>
        <w:rPr>
          <w:rFonts w:hint="eastAsia"/>
          <w:b/>
          <w:sz w:val="30"/>
          <w:szCs w:val="30"/>
        </w:rPr>
        <w:t>服务需求审批表</w:t>
      </w:r>
    </w:p>
    <w:tbl>
      <w:tblPr>
        <w:tblStyle w:val="13"/>
        <w:tblW w:w="9039" w:type="dxa"/>
        <w:tblInd w:w="93" w:type="dxa"/>
        <w:tblLayout w:type="fixed"/>
        <w:tblCellMar>
          <w:top w:w="0" w:type="dxa"/>
          <w:left w:w="108" w:type="dxa"/>
          <w:bottom w:w="0" w:type="dxa"/>
          <w:right w:w="108" w:type="dxa"/>
        </w:tblCellMar>
      </w:tblPr>
      <w:tblGrid>
        <w:gridCol w:w="437"/>
        <w:gridCol w:w="1138"/>
        <w:gridCol w:w="409"/>
        <w:gridCol w:w="766"/>
        <w:gridCol w:w="1475"/>
        <w:gridCol w:w="293"/>
        <w:gridCol w:w="1984"/>
        <w:gridCol w:w="246"/>
        <w:gridCol w:w="2288"/>
        <w:gridCol w:w="3"/>
      </w:tblGrid>
      <w:tr>
        <w:tblPrEx>
          <w:tblCellMar>
            <w:top w:w="0" w:type="dxa"/>
            <w:left w:w="108" w:type="dxa"/>
            <w:bottom w:w="0" w:type="dxa"/>
            <w:right w:w="108" w:type="dxa"/>
          </w:tblCellMar>
        </w:tblPrEx>
        <w:trPr>
          <w:trHeight w:val="437" w:hRule="atLeast"/>
        </w:trPr>
        <w:tc>
          <w:tcPr>
            <w:tcW w:w="157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Style w:val="33"/>
                <w:rFonts w:hint="default"/>
                <w:lang w:bidi="ar"/>
              </w:rPr>
              <w:t>项目名称</w:t>
            </w:r>
          </w:p>
        </w:tc>
        <w:tc>
          <w:tcPr>
            <w:tcW w:w="7464"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等级保护测评服务</w:t>
            </w:r>
          </w:p>
        </w:tc>
      </w:tr>
      <w:tr>
        <w:tblPrEx>
          <w:tblCellMar>
            <w:top w:w="0" w:type="dxa"/>
            <w:left w:w="108" w:type="dxa"/>
            <w:bottom w:w="0" w:type="dxa"/>
            <w:right w:w="108" w:type="dxa"/>
          </w:tblCellMar>
        </w:tblPrEx>
        <w:trPr>
          <w:trHeight w:val="401" w:hRule="atLeast"/>
        </w:trPr>
        <w:tc>
          <w:tcPr>
            <w:tcW w:w="1575"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Style w:val="33"/>
                <w:rFonts w:hint="default"/>
                <w:lang w:bidi="ar"/>
              </w:rPr>
              <w:t>预算号：</w:t>
            </w:r>
          </w:p>
        </w:tc>
        <w:tc>
          <w:tcPr>
            <w:tcW w:w="2650" w:type="dxa"/>
            <w:gridSpan w:val="3"/>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w:t>
            </w:r>
          </w:p>
        </w:tc>
        <w:tc>
          <w:tcPr>
            <w:tcW w:w="252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b/>
                <w:bCs/>
                <w:color w:val="000000"/>
                <w:sz w:val="22"/>
              </w:rPr>
            </w:pPr>
            <w:r>
              <w:rPr>
                <w:rStyle w:val="33"/>
                <w:rFonts w:hint="default"/>
                <w:lang w:bidi="ar"/>
              </w:rPr>
              <w:t>预算金额：</w:t>
            </w:r>
          </w:p>
        </w:tc>
        <w:tc>
          <w:tcPr>
            <w:tcW w:w="22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16万元</w:t>
            </w:r>
          </w:p>
        </w:tc>
      </w:tr>
      <w:tr>
        <w:tblPrEx>
          <w:tblCellMar>
            <w:top w:w="0" w:type="dxa"/>
            <w:left w:w="108" w:type="dxa"/>
            <w:bottom w:w="0" w:type="dxa"/>
            <w:right w:w="108" w:type="dxa"/>
          </w:tblCellMar>
        </w:tblPrEx>
        <w:trPr>
          <w:trHeight w:val="300" w:hRule="atLeast"/>
        </w:trPr>
        <w:tc>
          <w:tcPr>
            <w:tcW w:w="9039" w:type="dxa"/>
            <w:gridSpan w:val="10"/>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Style w:val="33"/>
                <w:rFonts w:hint="default"/>
                <w:lang w:bidi="ar"/>
              </w:rPr>
              <w:t>服务要求</w:t>
            </w:r>
          </w:p>
        </w:tc>
      </w:tr>
      <w:tr>
        <w:tblPrEx>
          <w:tblCellMar>
            <w:top w:w="0" w:type="dxa"/>
            <w:left w:w="108" w:type="dxa"/>
            <w:bottom w:w="0" w:type="dxa"/>
            <w:right w:w="108" w:type="dxa"/>
          </w:tblCellMar>
        </w:tblPrEx>
        <w:trPr>
          <w:trHeight w:val="354" w:hRule="atLeast"/>
        </w:trPr>
        <w:tc>
          <w:tcPr>
            <w:tcW w:w="4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Style w:val="33"/>
                <w:rFonts w:hint="default"/>
                <w:lang w:bidi="ar"/>
              </w:rPr>
              <w:t>序号</w:t>
            </w:r>
          </w:p>
        </w:tc>
        <w:tc>
          <w:tcPr>
            <w:tcW w:w="113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Style w:val="33"/>
                <w:rFonts w:hint="default"/>
                <w:lang w:bidi="ar"/>
              </w:rPr>
              <w:t>摘要</w:t>
            </w:r>
          </w:p>
        </w:tc>
        <w:tc>
          <w:tcPr>
            <w:tcW w:w="7464"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Style w:val="33"/>
                <w:rFonts w:hint="default"/>
                <w:lang w:bidi="ar"/>
              </w:rPr>
              <w:t>内容</w:t>
            </w:r>
          </w:p>
        </w:tc>
      </w:tr>
      <w:tr>
        <w:tblPrEx>
          <w:tblCellMar>
            <w:top w:w="0" w:type="dxa"/>
            <w:left w:w="108" w:type="dxa"/>
            <w:bottom w:w="0" w:type="dxa"/>
            <w:right w:w="108" w:type="dxa"/>
          </w:tblCellMar>
        </w:tblPrEx>
        <w:trPr>
          <w:trHeight w:val="859" w:hRule="atLeast"/>
        </w:trPr>
        <w:tc>
          <w:tcPr>
            <w:tcW w:w="437"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38"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ascii="Times New Roman" w:hAnsi="Times New Roman" w:eastAsia="宋体"/>
                <w:sz w:val="21"/>
                <w:szCs w:val="21"/>
              </w:rPr>
              <w:t>依据标准</w:t>
            </w:r>
          </w:p>
        </w:tc>
        <w:tc>
          <w:tcPr>
            <w:tcW w:w="7464" w:type="dxa"/>
            <w:gridSpan w:val="8"/>
            <w:tcBorders>
              <w:top w:val="nil"/>
              <w:left w:val="single" w:color="000000" w:sz="8" w:space="0"/>
              <w:bottom w:val="single" w:color="auto" w:sz="4" w:space="0"/>
              <w:right w:val="single" w:color="000000" w:sz="8" w:space="0"/>
            </w:tcBorders>
            <w:shd w:val="clear" w:color="auto" w:fill="auto"/>
            <w:vAlign w:val="center"/>
          </w:tcPr>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投标供应商应依据国家等级保护相关标准开展工作，依据标准（包括但不限于）如下国家标准：</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GB/T 22239-2019 信息安全技术 网络安全等级保护基本要求；</w:t>
            </w:r>
          </w:p>
          <w:p>
            <w:pPr>
              <w:widowControl/>
              <w:spacing w:line="360" w:lineRule="auto"/>
              <w:ind w:left="0" w:leftChars="0" w:firstLine="420" w:firstLineChars="200"/>
              <w:jc w:val="left"/>
              <w:textAlignment w:val="center"/>
              <w:rPr>
                <w:rFonts w:ascii="宋体" w:hAnsi="宋体" w:eastAsia="宋体" w:cs="宋体"/>
                <w:color w:val="000000"/>
                <w:sz w:val="22"/>
              </w:rPr>
            </w:pPr>
            <w:r>
              <w:rPr>
                <w:rFonts w:ascii="Times New Roman" w:hAnsi="Times New Roman" w:eastAsia="宋体"/>
                <w:sz w:val="21"/>
                <w:szCs w:val="21"/>
              </w:rPr>
              <w:t>GB/T 28448-2019 信息安全技术</w:t>
            </w:r>
            <w:r>
              <w:rPr>
                <w:rFonts w:ascii="Times New Roman" w:hAnsi="Times New Roman" w:eastAsia="宋体"/>
                <w:sz w:val="21"/>
                <w:szCs w:val="21"/>
                <w:cs/>
              </w:rPr>
              <w:t xml:space="preserve"> </w:t>
            </w:r>
            <w:r>
              <w:rPr>
                <w:rFonts w:ascii="Times New Roman" w:hAnsi="Times New Roman" w:eastAsia="宋体"/>
                <w:sz w:val="21"/>
                <w:szCs w:val="21"/>
              </w:rPr>
              <w:t>网络安全等级保护测评要求。</w:t>
            </w:r>
          </w:p>
        </w:tc>
      </w:tr>
      <w:tr>
        <w:tblPrEx>
          <w:tblCellMar>
            <w:top w:w="0" w:type="dxa"/>
            <w:left w:w="108" w:type="dxa"/>
            <w:bottom w:w="0" w:type="dxa"/>
            <w:right w:w="108" w:type="dxa"/>
          </w:tblCellMar>
        </w:tblPrEx>
        <w:trPr>
          <w:trHeight w:val="555" w:hRule="atLeast"/>
        </w:trPr>
        <w:tc>
          <w:tcPr>
            <w:tcW w:w="437"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38"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ascii="Times New Roman" w:hAnsi="Times New Roman" w:eastAsia="宋体"/>
                <w:sz w:val="21"/>
                <w:szCs w:val="21"/>
              </w:rPr>
              <w:t>测评内容</w:t>
            </w:r>
          </w:p>
        </w:tc>
        <w:tc>
          <w:tcPr>
            <w:tcW w:w="7464" w:type="dxa"/>
            <w:gridSpan w:val="8"/>
            <w:tcBorders>
              <w:top w:val="single" w:color="auto" w:sz="4" w:space="0"/>
              <w:left w:val="single" w:color="000000" w:sz="8" w:space="0"/>
              <w:bottom w:val="nil"/>
              <w:right w:val="single" w:color="auto" w:sz="4" w:space="0"/>
            </w:tcBorders>
            <w:shd w:val="clear" w:color="auto" w:fill="auto"/>
            <w:vAlign w:val="center"/>
          </w:tcPr>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根据国家等级保护相关标准，投标供应商</w:t>
            </w:r>
            <w:r>
              <w:rPr>
                <w:rFonts w:hint="eastAsia" w:ascii="Times New Roman" w:hAnsi="Times New Roman" w:eastAsia="宋体"/>
                <w:sz w:val="21"/>
                <w:szCs w:val="21"/>
                <w:highlight w:val="none"/>
                <w:shd w:val="clear"/>
                <w:lang w:val="en-US"/>
              </w:rPr>
              <w:t>两</w:t>
            </w:r>
            <w:r>
              <w:rPr>
                <w:rFonts w:ascii="Times New Roman" w:hAnsi="Times New Roman" w:eastAsia="宋体"/>
                <w:sz w:val="21"/>
                <w:szCs w:val="21"/>
                <w:highlight w:val="none"/>
                <w:shd w:val="clear"/>
                <w:lang w:val="en-US"/>
              </w:rPr>
              <w:t>年内完成</w:t>
            </w:r>
            <w:r>
              <w:rPr>
                <w:rFonts w:hint="eastAsia" w:ascii="Times New Roman" w:hAnsi="Times New Roman" w:eastAsia="宋体"/>
                <w:sz w:val="21"/>
                <w:szCs w:val="21"/>
                <w:highlight w:val="none"/>
                <w:shd w:val="clear"/>
                <w:lang w:val="en-US"/>
              </w:rPr>
              <w:t>4</w:t>
            </w:r>
            <w:r>
              <w:rPr>
                <w:rFonts w:ascii="Times New Roman" w:hAnsi="Times New Roman" w:eastAsia="宋体"/>
                <w:sz w:val="21"/>
                <w:szCs w:val="21"/>
                <w:highlight w:val="none"/>
                <w:shd w:val="clear"/>
                <w:lang w:val="en-US"/>
              </w:rPr>
              <w:t>个三级系统，</w:t>
            </w:r>
            <w:r>
              <w:rPr>
                <w:rFonts w:hint="eastAsia" w:ascii="Times New Roman" w:hAnsi="Times New Roman" w:eastAsia="宋体"/>
                <w:sz w:val="21"/>
                <w:szCs w:val="21"/>
                <w:highlight w:val="none"/>
                <w:shd w:val="clear"/>
                <w:lang w:val="en-US"/>
              </w:rPr>
              <w:t>1</w:t>
            </w:r>
            <w:r>
              <w:rPr>
                <w:rFonts w:ascii="Times New Roman" w:hAnsi="Times New Roman" w:eastAsia="宋体"/>
                <w:sz w:val="21"/>
                <w:szCs w:val="21"/>
                <w:highlight w:val="none"/>
                <w:shd w:val="clear"/>
                <w:lang w:val="en-US"/>
              </w:rPr>
              <w:t>个二级系统</w:t>
            </w:r>
            <w:r>
              <w:rPr>
                <w:rFonts w:ascii="Times New Roman" w:hAnsi="Times New Roman" w:eastAsia="宋体"/>
                <w:sz w:val="21"/>
                <w:szCs w:val="21"/>
                <w:highlight w:val="none"/>
                <w:shd w:val="clear"/>
              </w:rPr>
              <w:t>等级保护测评工作</w:t>
            </w:r>
            <w:r>
              <w:rPr>
                <w:rFonts w:ascii="Times New Roman" w:hAnsi="Times New Roman" w:eastAsia="宋体"/>
                <w:sz w:val="21"/>
                <w:szCs w:val="21"/>
              </w:rPr>
              <w:t>。信息系统安全等级保护测评的内容（包括但不限于）以下内容：</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根据用户单位信息系统的保护等级，并依据GB/T 22239-2019 信息安全技术网络安全等级保护基本要求的条款要求，全面分析应用系统的安全保护措施与等级保护相应级别之间的差距，进行合规性分析，为系统等级保护加固整改提供客观依据，配合委托方督促集成商根据安全改进建议进行适度加固整改，测评的内容包括但不限于以下内容：安全通用要求（安全物理环境、安全通信网络、安全区域边界、安全计算环境、安全管理中心、安全管理制度、安全管理机构、安全管理人员、安全建设管理、安全运维管理）及扩展项要求。</w:t>
            </w:r>
          </w:p>
          <w:p>
            <w:pPr>
              <w:widowControl/>
              <w:spacing w:line="360" w:lineRule="auto"/>
              <w:ind w:firstLine="420" w:firstLineChars="200"/>
              <w:jc w:val="left"/>
              <w:textAlignment w:val="center"/>
              <w:rPr>
                <w:rFonts w:ascii="宋体" w:hAnsi="宋体" w:eastAsia="宋体" w:cs="宋体"/>
                <w:color w:val="000000"/>
                <w:sz w:val="22"/>
              </w:rPr>
            </w:pPr>
            <w:r>
              <w:rPr>
                <w:rFonts w:hint="eastAsia" w:ascii="Times New Roman" w:hAnsi="Times New Roman" w:eastAsia="宋体"/>
                <w:sz w:val="21"/>
                <w:szCs w:val="21"/>
              </w:rPr>
              <w:t>项目验收完成后，要求提供为期一年的安全咨询服务，7*24响应支持。</w:t>
            </w:r>
          </w:p>
        </w:tc>
      </w:tr>
      <w:tr>
        <w:tblPrEx>
          <w:tblCellMar>
            <w:top w:w="0" w:type="dxa"/>
            <w:left w:w="108" w:type="dxa"/>
            <w:bottom w:w="0" w:type="dxa"/>
            <w:right w:w="108" w:type="dxa"/>
          </w:tblCellMar>
        </w:tblPrEx>
        <w:trPr>
          <w:trHeight w:val="790" w:hRule="atLeast"/>
        </w:trPr>
        <w:tc>
          <w:tcPr>
            <w:tcW w:w="437"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38"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ascii="Times New Roman" w:hAnsi="Times New Roman" w:eastAsia="宋体"/>
                <w:sz w:val="21"/>
                <w:szCs w:val="21"/>
              </w:rPr>
              <w:t>技术服务</w:t>
            </w:r>
          </w:p>
        </w:tc>
        <w:tc>
          <w:tcPr>
            <w:tcW w:w="7464" w:type="dxa"/>
            <w:gridSpan w:val="8"/>
            <w:tcBorders>
              <w:top w:val="single" w:color="auto" w:sz="4" w:space="0"/>
              <w:left w:val="single" w:color="000000" w:sz="8" w:space="0"/>
              <w:bottom w:val="single" w:color="000000" w:sz="8" w:space="0"/>
              <w:right w:val="single" w:color="000000" w:sz="8" w:space="0"/>
            </w:tcBorders>
            <w:shd w:val="clear" w:color="auto" w:fill="auto"/>
            <w:vAlign w:val="center"/>
          </w:tcPr>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测评应满足的原则</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本次安全保护等级保护测评实施方案设计与具体实施应满足以下原则：</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a、保密原则：对测评的过程数据和结果数据严格保密，未经授权不得泄露给任何单位和个人，不得利用此数据进行任何侵害采购人的行为，否则采购人有权追究投标供应商的责任。</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b、标准性原则：测评方案的设计与实施应依据国家等级保护的相关标准进行。</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c、规范性原则：投标供应商的工作中的过程和文档，具有很好的规范性，可以便于项目的跟踪和控制。</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d、可控性原则：测评服务的进度要跟上进度表的安排，保证采购人对于测评工作的可控性。</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e、整体性原则：测评的范围和内容应当整体全面，包括国家等级保护相关要求涉及的各个层面。</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f、最小影响原则：测评工作应尽可能小的影响系统和网络，并在可控范围内；测评工作不能对现有信息系统的正常运行、业务的正常开展产生任何影响。</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安全测评报告</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a、投标供应商应协助采购人对其信息系统进行定级与上报到温州市网信办进行专家评审。</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b、投标供应商应对采购人的信息系统进行等级保护测评，形成相应的报告。</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c、投标供应商在测评后出具符合公安局要求的系统安全保护等级测评报告；</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d、对上述系统不符合信息安全等级保护有关管理规范和技术标准的，投标供应商应协助采购人进行整改并出具可行整改方案。</w:t>
            </w:r>
          </w:p>
          <w:p>
            <w:pPr>
              <w:widowControl/>
              <w:spacing w:line="360" w:lineRule="auto"/>
              <w:ind w:firstLine="452" w:firstLineChars="200"/>
              <w:jc w:val="left"/>
              <w:textAlignment w:val="center"/>
              <w:rPr>
                <w:rFonts w:ascii="宋体" w:hAnsi="宋体" w:eastAsia="宋体" w:cs="宋体"/>
                <w:color w:val="000000"/>
                <w:sz w:val="22"/>
              </w:rPr>
            </w:pPr>
            <w:r>
              <w:rPr>
                <w:rFonts w:ascii="Times New Roman" w:hAnsi="Times New Roman" w:eastAsia="宋体" w:cs="Times New Roman"/>
                <w:spacing w:val="8"/>
                <w:kern w:val="0"/>
                <w:sz w:val="21"/>
                <w:szCs w:val="21"/>
                <w:lang w:val="zh-CN" w:eastAsia="zh-CN" w:bidi="ar-SA"/>
              </w:rPr>
              <w:t>e、投标供应商协助采购人办理信息系统安全保护等级测评备案手续，直至采购人拿到公安相关部门出据的备案证明。</w:t>
            </w:r>
          </w:p>
        </w:tc>
      </w:tr>
      <w:tr>
        <w:tblPrEx>
          <w:tblCellMar>
            <w:top w:w="0" w:type="dxa"/>
            <w:left w:w="108" w:type="dxa"/>
            <w:bottom w:w="0" w:type="dxa"/>
            <w:right w:w="108" w:type="dxa"/>
          </w:tblCellMar>
        </w:tblPrEx>
        <w:trPr>
          <w:trHeight w:val="651" w:hRule="atLeast"/>
        </w:trPr>
        <w:tc>
          <w:tcPr>
            <w:tcW w:w="4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ascii="Times New Roman" w:hAnsi="Times New Roman" w:eastAsia="宋体"/>
                <w:sz w:val="21"/>
                <w:szCs w:val="21"/>
              </w:rPr>
              <w:t>本次等级保护测评的整体要求</w:t>
            </w:r>
          </w:p>
        </w:tc>
        <w:tc>
          <w:tcPr>
            <w:tcW w:w="7464" w:type="dxa"/>
            <w:gridSpan w:val="8"/>
            <w:tcBorders>
              <w:top w:val="nil"/>
              <w:left w:val="single" w:color="000000" w:sz="8" w:space="0"/>
              <w:bottom w:val="single" w:color="000000" w:sz="8" w:space="0"/>
              <w:right w:val="single" w:color="000000" w:sz="8" w:space="0"/>
            </w:tcBorders>
            <w:shd w:val="clear" w:color="auto" w:fill="auto"/>
            <w:vAlign w:val="center"/>
          </w:tcPr>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A、投标供应商应提供定级咨询服务，辅助编制定级报告、定级备案表。</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B、投标供应商应提供等级保护测评政策宣贯及前期工作培训。</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C、投标供应商应提供现场测评完成后的整改建议服务；</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D、投标供应商应详细描述本次等级保护测评的整体实施方案，包括项目概述、等保测评方案、项目实施方案、测试过程中需使用测试设备清单、时间安排、阶段性文档提交和验收标准等。</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E、投标供应商应安排高级测评师带队到现场，进行本次等级保护测评工作。投标供应商应详细描述测评人员的组成、资质及各自职责的划分。</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F、本次等级保护测评实施过程中所使用到的各种工具软件由投标供应商推荐，经采购人确认后由投标供应商提供并在测评中使用。在报价文件中应详细描述所使用的安全测评工具（软硬件型号、功能和性能描述）、使用的方式和时间、对环境和平台的要求以及使用可能对系统造成的风险等。</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G、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H、安全测评工具软件运行可能需要的硬件平台（如笔记本电脑、PC、工作站等）和操作系统软件等由投标供应商推荐，经采购人确认后由投标供应商提供并在测评中使用。</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I、安全测评需要的运行环境（如场地、网络环境等）由采购人提供，投标供应商应详细描述需要的运行环境的具体要求。</w:t>
            </w:r>
          </w:p>
          <w:p>
            <w:pPr>
              <w:widowControl/>
              <w:tabs>
                <w:tab w:val="left" w:pos="420"/>
              </w:tabs>
              <w:spacing w:line="360" w:lineRule="auto"/>
              <w:ind w:firstLine="420" w:firstLineChars="200"/>
              <w:jc w:val="left"/>
              <w:textAlignment w:val="center"/>
              <w:rPr>
                <w:rFonts w:ascii="宋体" w:hAnsi="宋体" w:eastAsia="宋体" w:cs="宋体"/>
                <w:color w:val="000000"/>
                <w:sz w:val="22"/>
              </w:rPr>
            </w:pPr>
            <w:r>
              <w:rPr>
                <w:rFonts w:ascii="Times New Roman" w:hAnsi="Times New Roman" w:eastAsia="宋体"/>
                <w:sz w:val="21"/>
                <w:szCs w:val="21"/>
              </w:rPr>
              <w:t>J、项目完成后必须提交完整的技术文档、测评报告、整改建议等。</w:t>
            </w:r>
          </w:p>
        </w:tc>
      </w:tr>
      <w:tr>
        <w:tblPrEx>
          <w:tblCellMar>
            <w:top w:w="0" w:type="dxa"/>
            <w:left w:w="108" w:type="dxa"/>
            <w:bottom w:w="0" w:type="dxa"/>
            <w:right w:w="108" w:type="dxa"/>
          </w:tblCellMar>
        </w:tblPrEx>
        <w:trPr>
          <w:trHeight w:val="90" w:hRule="atLeast"/>
        </w:trPr>
        <w:tc>
          <w:tcPr>
            <w:tcW w:w="4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ascii="Times New Roman" w:hAnsi="Times New Roman" w:eastAsia="宋体"/>
                <w:sz w:val="21"/>
                <w:szCs w:val="21"/>
              </w:rPr>
              <w:t>项目实施要求</w:t>
            </w:r>
          </w:p>
        </w:tc>
        <w:tc>
          <w:tcPr>
            <w:tcW w:w="7464" w:type="dxa"/>
            <w:gridSpan w:val="8"/>
            <w:tcBorders>
              <w:top w:val="nil"/>
              <w:left w:val="single" w:color="000000" w:sz="8" w:space="0"/>
              <w:bottom w:val="single" w:color="000000" w:sz="8" w:space="0"/>
              <w:right w:val="single" w:color="000000" w:sz="8" w:space="0"/>
            </w:tcBorders>
            <w:shd w:val="clear" w:color="auto" w:fill="auto"/>
            <w:vAlign w:val="center"/>
          </w:tcPr>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A、投标供应商应保证投标项目在采购方条件成熟时应立即开展实施；</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B、投标供应商在项目实施过程中应服从采购方的统一领导和协调，采购方有权裁决实施方的责任范围，投标供应商必须执行，在采购方限定的时间内解决问题。如果投标供应商不能按时完成测评内容，采购方有权中止项目、索赔或拒付款项；</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C、投标供应商需根据自己的工程实施经验结合采购方的实际需求进一步细化和完善工作任务书，作为工程实施的指导性文件；</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D、投标供应商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pPr>
              <w:pStyle w:val="21"/>
              <w:spacing w:line="360" w:lineRule="auto"/>
              <w:ind w:firstLine="452"/>
              <w:rPr>
                <w:rFonts w:ascii="Times New Roman" w:hAnsi="Times New Roman" w:eastAsia="宋体"/>
                <w:sz w:val="21"/>
                <w:szCs w:val="21"/>
              </w:rPr>
            </w:pPr>
            <w:r>
              <w:rPr>
                <w:rFonts w:hint="eastAsia" w:ascii="Times New Roman" w:hAnsi="Times New Roman" w:eastAsia="宋体"/>
                <w:sz w:val="21"/>
                <w:szCs w:val="21"/>
              </w:rPr>
              <w:t>E、本次项目实施人员至少包含1名高级测评师，同时具备国家注册信息安全专业人员（CISP）证书、</w:t>
            </w:r>
            <w:r>
              <w:rPr>
                <w:rFonts w:ascii="Times New Roman" w:hAnsi="Times New Roman" w:eastAsia="宋体"/>
                <w:sz w:val="21"/>
                <w:szCs w:val="21"/>
              </w:rPr>
              <w:t xml:space="preserve">信息安全保障人员认证证书(CISAW) </w:t>
            </w:r>
            <w:r>
              <w:rPr>
                <w:rFonts w:hint="eastAsia" w:ascii="Times New Roman" w:hAnsi="Times New Roman" w:eastAsia="宋体"/>
                <w:sz w:val="21"/>
                <w:szCs w:val="21"/>
              </w:rPr>
              <w:t>、注册网络安全渗透评估专业人员（N</w:t>
            </w:r>
            <w:r>
              <w:rPr>
                <w:rFonts w:ascii="Times New Roman" w:hAnsi="Times New Roman" w:eastAsia="宋体"/>
                <w:sz w:val="21"/>
                <w:szCs w:val="21"/>
              </w:rPr>
              <w:t>SATP-A</w:t>
            </w:r>
            <w:r>
              <w:rPr>
                <w:rFonts w:hint="eastAsia" w:ascii="Times New Roman" w:hAnsi="Times New Roman" w:eastAsia="宋体"/>
                <w:sz w:val="21"/>
                <w:szCs w:val="21"/>
              </w:rPr>
              <w:t>）证书</w:t>
            </w:r>
            <w:r>
              <w:rPr>
                <w:rFonts w:ascii="Times New Roman" w:hAnsi="Times New Roman" w:eastAsia="宋体"/>
                <w:sz w:val="21"/>
                <w:szCs w:val="21"/>
              </w:rPr>
              <w:t>。</w:t>
            </w:r>
          </w:p>
          <w:p>
            <w:pPr>
              <w:pStyle w:val="21"/>
              <w:spacing w:line="360" w:lineRule="auto"/>
              <w:ind w:firstLine="452"/>
              <w:rPr>
                <w:rFonts w:ascii="Times New Roman" w:hAnsi="Times New Roman" w:eastAsia="宋体"/>
                <w:sz w:val="21"/>
                <w:szCs w:val="21"/>
              </w:rPr>
            </w:pPr>
            <w:r>
              <w:rPr>
                <w:rFonts w:hint="eastAsia" w:ascii="Times New Roman" w:hAnsi="Times New Roman" w:eastAsia="宋体"/>
                <w:sz w:val="21"/>
                <w:szCs w:val="21"/>
              </w:rPr>
              <w:t>本次实施扫描、渗透服务工程师需具备注册渗透测试工程师(CISP-PTE)证书。</w:t>
            </w:r>
          </w:p>
          <w:p>
            <w:pPr>
              <w:pStyle w:val="21"/>
              <w:spacing w:line="360" w:lineRule="auto"/>
              <w:ind w:firstLine="452"/>
              <w:rPr>
                <w:rFonts w:ascii="Times New Roman" w:hAnsi="Times New Roman" w:eastAsia="宋体"/>
                <w:sz w:val="21"/>
                <w:szCs w:val="21"/>
              </w:rPr>
            </w:pPr>
            <w:r>
              <w:rPr>
                <w:rFonts w:hint="eastAsia" w:ascii="Times New Roman" w:hAnsi="Times New Roman" w:eastAsia="宋体"/>
                <w:sz w:val="21"/>
                <w:szCs w:val="21"/>
              </w:rPr>
              <w:t>F</w:t>
            </w:r>
            <w:r>
              <w:rPr>
                <w:rFonts w:ascii="Times New Roman" w:hAnsi="Times New Roman" w:eastAsia="宋体"/>
                <w:sz w:val="21"/>
                <w:szCs w:val="21"/>
              </w:rPr>
              <w:t>、三年内未被国家网络安全等级保护工作协调小组办公室责令整改的测评机构</w:t>
            </w:r>
          </w:p>
          <w:p>
            <w:pPr>
              <w:widowControl/>
              <w:spacing w:line="360" w:lineRule="auto"/>
              <w:ind w:firstLine="420" w:firstLineChars="200"/>
              <w:jc w:val="left"/>
              <w:textAlignment w:val="center"/>
              <w:rPr>
                <w:rFonts w:ascii="宋体" w:hAnsi="宋体" w:eastAsia="宋体" w:cs="宋体"/>
                <w:color w:val="000000"/>
                <w:sz w:val="22"/>
              </w:rPr>
            </w:pPr>
            <w:r>
              <w:rPr>
                <w:rFonts w:hint="eastAsia" w:ascii="Times New Roman" w:hAnsi="Times New Roman" w:eastAsia="宋体"/>
                <w:sz w:val="21"/>
                <w:szCs w:val="21"/>
              </w:rPr>
              <w:t>G</w:t>
            </w:r>
            <w:r>
              <w:rPr>
                <w:rFonts w:ascii="Times New Roman" w:hAnsi="Times New Roman" w:eastAsia="宋体"/>
                <w:sz w:val="21"/>
                <w:szCs w:val="21"/>
              </w:rPr>
              <w:t>、项目验收完成后，要求提供为期两年的安全咨询服务，以保证项目正常运行。</w:t>
            </w:r>
          </w:p>
        </w:tc>
      </w:tr>
      <w:tr>
        <w:tblPrEx>
          <w:tblCellMar>
            <w:top w:w="0" w:type="dxa"/>
            <w:left w:w="108" w:type="dxa"/>
            <w:bottom w:w="0" w:type="dxa"/>
            <w:right w:w="108" w:type="dxa"/>
          </w:tblCellMar>
        </w:tblPrEx>
        <w:trPr>
          <w:trHeight w:val="90" w:hRule="atLeast"/>
        </w:trPr>
        <w:tc>
          <w:tcPr>
            <w:tcW w:w="437"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6</w:t>
            </w:r>
          </w:p>
        </w:tc>
        <w:tc>
          <w:tcPr>
            <w:tcW w:w="1138"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ascii="Times New Roman" w:hAnsi="Times New Roman" w:eastAsia="宋体"/>
                <w:sz w:val="21"/>
                <w:szCs w:val="21"/>
              </w:rPr>
              <w:t>项目验收</w:t>
            </w:r>
          </w:p>
        </w:tc>
        <w:tc>
          <w:tcPr>
            <w:tcW w:w="7464" w:type="dxa"/>
            <w:gridSpan w:val="8"/>
            <w:tcBorders>
              <w:top w:val="single" w:color="auto" w:sz="4" w:space="0"/>
              <w:left w:val="single" w:color="000000" w:sz="8" w:space="0"/>
              <w:bottom w:val="single" w:color="auto" w:sz="4" w:space="0"/>
              <w:right w:val="single" w:color="auto" w:sz="4" w:space="0"/>
            </w:tcBorders>
            <w:shd w:val="clear" w:color="auto" w:fill="auto"/>
            <w:vAlign w:val="center"/>
          </w:tcPr>
          <w:p>
            <w:pPr>
              <w:widowControl/>
              <w:spacing w:line="360" w:lineRule="auto"/>
              <w:ind w:firstLine="420" w:firstLineChars="200"/>
              <w:textAlignment w:val="center"/>
              <w:rPr>
                <w:rFonts w:hint="eastAsia" w:ascii="宋体" w:hAnsi="宋体" w:eastAsia="宋体" w:cs="宋体"/>
                <w:color w:val="000000"/>
                <w:sz w:val="22"/>
              </w:rPr>
            </w:pPr>
            <w:r>
              <w:rPr>
                <w:rFonts w:ascii="Times New Roman" w:hAnsi="Times New Roman" w:eastAsia="宋体"/>
                <w:sz w:val="21"/>
                <w:szCs w:val="21"/>
              </w:rPr>
              <w:t>本次项目验收以通过公安及相关部门的备案为准，即每个系统都拿到相应的备案证明视为验收合格。</w:t>
            </w:r>
          </w:p>
        </w:tc>
      </w:tr>
      <w:tr>
        <w:tblPrEx>
          <w:tblCellMar>
            <w:top w:w="0" w:type="dxa"/>
            <w:left w:w="108" w:type="dxa"/>
            <w:bottom w:w="0" w:type="dxa"/>
            <w:right w:w="108" w:type="dxa"/>
          </w:tblCellMar>
        </w:tblPrEx>
        <w:trPr>
          <w:trHeight w:val="90" w:hRule="atLeast"/>
        </w:trPr>
        <w:tc>
          <w:tcPr>
            <w:tcW w:w="437"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7</w:t>
            </w:r>
          </w:p>
        </w:tc>
        <w:tc>
          <w:tcPr>
            <w:tcW w:w="1138"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sz w:val="21"/>
                <w:szCs w:val="21"/>
              </w:rPr>
            </w:pPr>
            <w:r>
              <w:rPr>
                <w:rFonts w:ascii="Times New Roman" w:hAnsi="Times New Roman" w:eastAsia="宋体"/>
                <w:sz w:val="21"/>
                <w:szCs w:val="21"/>
              </w:rPr>
              <w:t>项目承诺</w:t>
            </w:r>
          </w:p>
        </w:tc>
        <w:tc>
          <w:tcPr>
            <w:tcW w:w="7464" w:type="dxa"/>
            <w:gridSpan w:val="8"/>
            <w:tcBorders>
              <w:top w:val="single" w:color="auto" w:sz="4" w:space="0"/>
              <w:left w:val="single" w:color="000000" w:sz="8" w:space="0"/>
              <w:bottom w:val="single" w:color="auto" w:sz="4" w:space="0"/>
              <w:right w:val="single" w:color="auto" w:sz="4" w:space="0"/>
            </w:tcBorders>
            <w:shd w:val="clear" w:color="auto" w:fill="auto"/>
            <w:vAlign w:val="center"/>
          </w:tcPr>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投标供应商应满足采购人提出的标准性、规范性、可控性、整体性、最小影响性及保密性原则，做到守时、保质。</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保密性要求：投标供应商必须和采购人签订保密协议和非侵害性协议，投标供应商必须要与参加此次测评项目的所有项目组成员签订保密协议和非侵害性协议，在合同签定时一并提供给采购人。</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投标供应商具体测评工作和等级保护测评报告的编写，必须在采购人的指定地点进行。对于测评中的重要资料和结果，在测评期间和测评结束后，投标供应商不得带离该地点。</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投标供应商对本规范书中的内容及在应标过程中接触的设备信息、数据资料等负有保密责任，不得泄露给任何第三方。无论投标供应商中标与否，其对上述内容的保密责任将长期存在。</w:t>
            </w:r>
          </w:p>
          <w:p>
            <w:pPr>
              <w:widowControl/>
              <w:spacing w:line="360" w:lineRule="auto"/>
              <w:ind w:firstLine="420" w:firstLineChars="200"/>
              <w:textAlignment w:val="center"/>
              <w:rPr>
                <w:rFonts w:ascii="Times New Roman" w:hAnsi="Times New Roman" w:eastAsia="宋体"/>
                <w:sz w:val="21"/>
                <w:szCs w:val="21"/>
              </w:rPr>
            </w:pPr>
            <w:r>
              <w:rPr>
                <w:rFonts w:ascii="Times New Roman" w:hAnsi="Times New Roman" w:eastAsia="宋体"/>
                <w:sz w:val="21"/>
                <w:szCs w:val="21"/>
              </w:rPr>
              <w:t>等级保护测评的品质保证：投标供应商应承诺指派工作经验丰富、技术实力雄厚的安全顾问，结合技术领先、结论可靠的测评工具为客户作全面等级保护测评。承诺测评过程按照国家标准进行，并保证对客户的资料严格保密。</w:t>
            </w:r>
          </w:p>
        </w:tc>
      </w:tr>
      <w:tr>
        <w:tblPrEx>
          <w:tblCellMar>
            <w:top w:w="0" w:type="dxa"/>
            <w:left w:w="108" w:type="dxa"/>
            <w:bottom w:w="0" w:type="dxa"/>
            <w:right w:w="108" w:type="dxa"/>
          </w:tblCellMar>
        </w:tblPrEx>
        <w:trPr>
          <w:trHeight w:val="90" w:hRule="atLeast"/>
        </w:trPr>
        <w:tc>
          <w:tcPr>
            <w:tcW w:w="437"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bidi="ar"/>
              </w:rPr>
            </w:pPr>
          </w:p>
        </w:tc>
        <w:tc>
          <w:tcPr>
            <w:tcW w:w="1138"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sz w:val="21"/>
                <w:szCs w:val="21"/>
              </w:rPr>
            </w:pPr>
            <w:r>
              <w:rPr>
                <w:rFonts w:ascii="Times New Roman" w:hAnsi="Times New Roman" w:eastAsia="宋体"/>
                <w:sz w:val="21"/>
                <w:szCs w:val="21"/>
              </w:rPr>
              <w:t>其它要求</w:t>
            </w:r>
          </w:p>
        </w:tc>
        <w:tc>
          <w:tcPr>
            <w:tcW w:w="7464" w:type="dxa"/>
            <w:gridSpan w:val="8"/>
            <w:tcBorders>
              <w:top w:val="single" w:color="auto" w:sz="4" w:space="0"/>
              <w:left w:val="single" w:color="000000" w:sz="8" w:space="0"/>
              <w:bottom w:val="single" w:color="auto" w:sz="4" w:space="0"/>
              <w:right w:val="single" w:color="auto" w:sz="4" w:space="0"/>
            </w:tcBorders>
            <w:shd w:val="clear" w:color="auto" w:fill="auto"/>
            <w:vAlign w:val="center"/>
          </w:tcPr>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投标供应商在测评方案书中，对能提供的信息系统安全等级保护测评进行详细说明，可根据具体情况在项目方案中提出建议，并附详细资料和说明。</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投标供应商应对提供测评服务时所使用的设备及软件保证拥有设备软硬件的知识产权和所有权，并对所涉及的专利、知识产权等法律条款承担义务，采购人以上问题不承担任何法律责任。</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若投标供应商的设备和系统包含自己的专用标准，应在建议书中具体说明，并附上相应的详细技术资料。</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投标供应商提供测评服务期间，接到采购人服务请求后3天内到达指定场所配合测评工作。</w:t>
            </w:r>
          </w:p>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针对本单位的系统提供一年不少于4次的扫描、渗透服务，并对扫描结果予以验证。</w:t>
            </w:r>
          </w:p>
          <w:p>
            <w:pPr>
              <w:widowControl/>
              <w:spacing w:line="360" w:lineRule="auto"/>
              <w:ind w:firstLine="420" w:firstLineChars="200"/>
              <w:textAlignment w:val="center"/>
              <w:rPr>
                <w:rFonts w:ascii="Times New Roman" w:hAnsi="Times New Roman" w:eastAsia="宋体"/>
                <w:sz w:val="21"/>
                <w:szCs w:val="21"/>
              </w:rPr>
            </w:pPr>
            <w:r>
              <w:rPr>
                <w:rFonts w:ascii="Times New Roman" w:hAnsi="Times New Roman" w:eastAsia="宋体"/>
                <w:sz w:val="21"/>
                <w:szCs w:val="21"/>
              </w:rPr>
              <w:t>投标供应商在进行测评的时候必须进行渗透测试，并提交渗透测试报告</w:t>
            </w:r>
          </w:p>
        </w:tc>
      </w:tr>
      <w:tr>
        <w:tblPrEx>
          <w:tblCellMar>
            <w:top w:w="0" w:type="dxa"/>
            <w:left w:w="108" w:type="dxa"/>
            <w:bottom w:w="0" w:type="dxa"/>
            <w:right w:w="108" w:type="dxa"/>
          </w:tblCellMar>
        </w:tblPrEx>
        <w:trPr>
          <w:trHeight w:val="90" w:hRule="atLeast"/>
        </w:trPr>
        <w:tc>
          <w:tcPr>
            <w:tcW w:w="437"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bidi="ar"/>
              </w:rPr>
            </w:pPr>
          </w:p>
        </w:tc>
        <w:tc>
          <w:tcPr>
            <w:tcW w:w="1138"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sz w:val="21"/>
                <w:szCs w:val="21"/>
              </w:rPr>
            </w:pPr>
            <w:r>
              <w:rPr>
                <w:rFonts w:ascii="Times New Roman" w:hAnsi="Times New Roman" w:eastAsia="宋体"/>
                <w:sz w:val="21"/>
                <w:szCs w:val="21"/>
              </w:rPr>
              <w:t>项目成果</w:t>
            </w:r>
          </w:p>
        </w:tc>
        <w:tc>
          <w:tcPr>
            <w:tcW w:w="7464" w:type="dxa"/>
            <w:gridSpan w:val="8"/>
            <w:tcBorders>
              <w:top w:val="single" w:color="auto" w:sz="4" w:space="0"/>
              <w:left w:val="single" w:color="000000" w:sz="8" w:space="0"/>
              <w:bottom w:val="single" w:color="auto" w:sz="4" w:space="0"/>
              <w:right w:val="single" w:color="auto" w:sz="4" w:space="0"/>
            </w:tcBorders>
            <w:shd w:val="clear" w:color="auto" w:fill="auto"/>
            <w:vAlign w:val="center"/>
          </w:tcPr>
          <w:p>
            <w:pPr>
              <w:pStyle w:val="21"/>
              <w:spacing w:line="360" w:lineRule="auto"/>
              <w:ind w:firstLine="452"/>
              <w:rPr>
                <w:rFonts w:ascii="Times New Roman" w:hAnsi="Times New Roman" w:eastAsia="宋体"/>
                <w:sz w:val="21"/>
                <w:szCs w:val="21"/>
              </w:rPr>
            </w:pPr>
            <w:r>
              <w:rPr>
                <w:rFonts w:ascii="Times New Roman" w:hAnsi="Times New Roman" w:eastAsia="宋体"/>
                <w:sz w:val="21"/>
                <w:szCs w:val="21"/>
              </w:rPr>
              <w:t>提交包括且不仅仅包括以下成果：</w:t>
            </w:r>
          </w:p>
          <w:p>
            <w:pPr>
              <w:pStyle w:val="21"/>
              <w:spacing w:line="360" w:lineRule="auto"/>
              <w:ind w:firstLine="0" w:firstLineChars="0"/>
              <w:rPr>
                <w:rFonts w:ascii="Times New Roman" w:hAnsi="Times New Roman" w:eastAsia="宋体"/>
                <w:sz w:val="21"/>
                <w:szCs w:val="21"/>
                <w:lang w:val="en-US"/>
              </w:rPr>
            </w:pPr>
            <w:r>
              <w:rPr>
                <w:rFonts w:ascii="Times New Roman" w:hAnsi="Times New Roman" w:eastAsia="宋体"/>
                <w:sz w:val="21"/>
                <w:szCs w:val="21"/>
              </w:rPr>
              <w:t>《信息系统安全等级保护测评实施方案》（</w:t>
            </w:r>
            <w:r>
              <w:rPr>
                <w:rFonts w:ascii="Times New Roman" w:hAnsi="Times New Roman" w:eastAsia="宋体"/>
                <w:sz w:val="21"/>
                <w:szCs w:val="21"/>
                <w:lang w:val="en-US"/>
              </w:rPr>
              <w:t>按需）</w:t>
            </w:r>
          </w:p>
          <w:p>
            <w:pPr>
              <w:pStyle w:val="21"/>
              <w:spacing w:line="360" w:lineRule="auto"/>
              <w:ind w:firstLine="0" w:firstLineChars="0"/>
              <w:rPr>
                <w:rFonts w:ascii="Times New Roman" w:hAnsi="Times New Roman" w:eastAsia="宋体"/>
                <w:sz w:val="21"/>
                <w:szCs w:val="21"/>
                <w:lang w:val="en-US"/>
              </w:rPr>
            </w:pPr>
            <w:r>
              <w:rPr>
                <w:rFonts w:ascii="Times New Roman" w:hAnsi="Times New Roman" w:eastAsia="宋体"/>
                <w:sz w:val="21"/>
                <w:szCs w:val="21"/>
              </w:rPr>
              <w:t>《信息系统安全整改规划》</w:t>
            </w:r>
          </w:p>
          <w:p>
            <w:pPr>
              <w:pStyle w:val="21"/>
              <w:spacing w:line="360" w:lineRule="auto"/>
              <w:ind w:firstLine="0" w:firstLineChars="0"/>
              <w:rPr>
                <w:rFonts w:ascii="Times New Roman" w:hAnsi="Times New Roman" w:eastAsia="宋体"/>
                <w:sz w:val="21"/>
                <w:szCs w:val="21"/>
              </w:rPr>
            </w:pPr>
            <w:r>
              <w:rPr>
                <w:rFonts w:ascii="Times New Roman" w:hAnsi="Times New Roman" w:eastAsia="宋体"/>
                <w:sz w:val="21"/>
                <w:szCs w:val="21"/>
              </w:rPr>
              <w:t>《信息系统等级保护测评报告》</w:t>
            </w:r>
          </w:p>
          <w:p>
            <w:pPr>
              <w:widowControl/>
              <w:spacing w:line="360" w:lineRule="auto"/>
              <w:textAlignment w:val="center"/>
              <w:rPr>
                <w:rFonts w:ascii="Times New Roman" w:hAnsi="Times New Roman" w:eastAsia="宋体"/>
                <w:sz w:val="21"/>
                <w:szCs w:val="21"/>
              </w:rPr>
            </w:pPr>
            <w:r>
              <w:rPr>
                <w:rFonts w:ascii="Times New Roman" w:hAnsi="Times New Roman" w:eastAsia="宋体"/>
                <w:sz w:val="21"/>
                <w:szCs w:val="21"/>
              </w:rPr>
              <w:t>《信息系统安全等级保护备案表》</w:t>
            </w:r>
            <w:r>
              <w:rPr>
                <w:rFonts w:ascii="Times New Roman" w:hAnsi="Times New Roman" w:eastAsia="宋体"/>
                <w:sz w:val="21"/>
                <w:szCs w:val="21"/>
                <w:lang w:val="en-US"/>
              </w:rPr>
              <w:t>与定级报告（按需）</w:t>
            </w:r>
          </w:p>
        </w:tc>
      </w:tr>
      <w:tr>
        <w:tblPrEx>
          <w:tblCellMar>
            <w:top w:w="0" w:type="dxa"/>
            <w:left w:w="108" w:type="dxa"/>
            <w:bottom w:w="0" w:type="dxa"/>
            <w:right w:w="108" w:type="dxa"/>
          </w:tblCellMar>
        </w:tblPrEx>
        <w:trPr>
          <w:trHeight w:val="909" w:hRule="atLeast"/>
        </w:trPr>
        <w:tc>
          <w:tcPr>
            <w:tcW w:w="437"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sz w:val="22"/>
                <w:lang w:eastAsia="zh-CN"/>
              </w:rPr>
            </w:pPr>
          </w:p>
        </w:tc>
        <w:tc>
          <w:tcPr>
            <w:tcW w:w="1138"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Style w:val="34"/>
                <w:rFonts w:hint="default" w:eastAsia="宋体"/>
                <w:lang w:val="en-US" w:eastAsia="zh-CN" w:bidi="ar"/>
              </w:rPr>
            </w:pPr>
            <w:r>
              <w:rPr>
                <w:rFonts w:hint="eastAsia" w:ascii="Times New Roman" w:hAnsi="Times New Roman" w:eastAsia="宋体"/>
                <w:sz w:val="21"/>
                <w:szCs w:val="21"/>
              </w:rPr>
              <w:t>商务要求</w:t>
            </w:r>
          </w:p>
        </w:tc>
        <w:tc>
          <w:tcPr>
            <w:tcW w:w="1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spacing w:val="8"/>
                <w:kern w:val="0"/>
                <w:sz w:val="21"/>
                <w:szCs w:val="21"/>
                <w:lang w:val="zh-CN" w:eastAsia="zh-CN" w:bidi="ar-SA"/>
              </w:rPr>
            </w:pPr>
            <w:r>
              <w:rPr>
                <w:rFonts w:ascii="Times New Roman" w:hAnsi="Times New Roman" w:eastAsia="宋体" w:cs="Times New Roman"/>
                <w:spacing w:val="8"/>
                <w:kern w:val="0"/>
                <w:sz w:val="21"/>
                <w:szCs w:val="21"/>
                <w:lang w:val="zh-CN" w:eastAsia="zh-CN" w:bidi="ar-SA"/>
              </w:rPr>
              <w:t>合同期限</w:t>
            </w:r>
          </w:p>
        </w:tc>
        <w:tc>
          <w:tcPr>
            <w:tcW w:w="62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spacing w:val="8"/>
                <w:kern w:val="0"/>
                <w:sz w:val="21"/>
                <w:szCs w:val="21"/>
                <w:lang w:val="zh-CN" w:eastAsia="zh-CN" w:bidi="ar-SA"/>
              </w:rPr>
            </w:pPr>
            <w:r>
              <w:rPr>
                <w:rFonts w:ascii="Times New Roman" w:hAnsi="Times New Roman" w:eastAsia="宋体" w:cs="Times New Roman"/>
                <w:spacing w:val="8"/>
                <w:kern w:val="0"/>
                <w:sz w:val="21"/>
                <w:szCs w:val="21"/>
                <w:lang w:val="zh-CN" w:eastAsia="zh-CN" w:bidi="ar-SA"/>
              </w:rPr>
              <w:t>本合同有效期为合同签订后，接到甲方通知启动该项目之日起信息系统等级保护测评服务</w:t>
            </w:r>
            <w:r>
              <w:rPr>
                <w:rFonts w:hint="eastAsia" w:ascii="Times New Roman" w:hAnsi="Times New Roman" w:eastAsia="宋体" w:cs="Times New Roman"/>
                <w:spacing w:val="8"/>
                <w:kern w:val="0"/>
                <w:sz w:val="21"/>
                <w:szCs w:val="21"/>
                <w:lang w:val="zh-CN" w:eastAsia="zh-CN" w:bidi="ar-SA"/>
              </w:rPr>
              <w:t>两</w:t>
            </w:r>
            <w:r>
              <w:rPr>
                <w:rFonts w:ascii="Times New Roman" w:hAnsi="Times New Roman" w:eastAsia="宋体" w:cs="Times New Roman"/>
                <w:spacing w:val="8"/>
                <w:kern w:val="0"/>
                <w:sz w:val="21"/>
                <w:szCs w:val="21"/>
                <w:lang w:val="zh-CN" w:eastAsia="zh-CN" w:bidi="ar-SA"/>
              </w:rPr>
              <w:t>年或本合同总金额履行完毕时止，以先到为准。</w:t>
            </w:r>
          </w:p>
        </w:tc>
      </w:tr>
      <w:tr>
        <w:tblPrEx>
          <w:tblCellMar>
            <w:top w:w="0" w:type="dxa"/>
            <w:left w:w="108" w:type="dxa"/>
            <w:bottom w:w="0" w:type="dxa"/>
            <w:right w:w="108" w:type="dxa"/>
          </w:tblCellMar>
        </w:tblPrEx>
        <w:trPr>
          <w:trHeight w:val="656" w:hRule="atLeast"/>
        </w:trPr>
        <w:tc>
          <w:tcPr>
            <w:tcW w:w="437" w:type="dxa"/>
            <w:vMerge w:val="continue"/>
            <w:tcBorders>
              <w:left w:val="single" w:color="auto" w:sz="4" w:space="0"/>
              <w:right w:val="single" w:color="auto" w:sz="4" w:space="0"/>
            </w:tcBorders>
            <w:shd w:val="clear" w:color="auto" w:fill="auto"/>
            <w:vAlign w:val="center"/>
          </w:tcPr>
          <w:p>
            <w:pPr>
              <w:rPr>
                <w:rFonts w:ascii="宋体" w:hAnsi="宋体" w:eastAsia="宋体" w:cs="宋体"/>
                <w:color w:val="000000"/>
                <w:sz w:val="22"/>
              </w:rPr>
            </w:pPr>
          </w:p>
        </w:tc>
        <w:tc>
          <w:tcPr>
            <w:tcW w:w="1138" w:type="dxa"/>
            <w:vMerge w:val="continue"/>
            <w:tcBorders>
              <w:left w:val="single" w:color="auto" w:sz="4" w:space="0"/>
              <w:right w:val="single" w:color="auto" w:sz="4" w:space="0"/>
            </w:tcBorders>
            <w:shd w:val="clear" w:color="auto" w:fill="auto"/>
            <w:vAlign w:val="center"/>
          </w:tcPr>
          <w:p>
            <w:pPr>
              <w:rPr>
                <w:rFonts w:ascii="宋体" w:hAnsi="宋体" w:eastAsia="宋体" w:cs="宋体"/>
                <w:color w:val="000000"/>
                <w:sz w:val="22"/>
              </w:rPr>
            </w:pPr>
          </w:p>
        </w:tc>
        <w:tc>
          <w:tcPr>
            <w:tcW w:w="74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spacing w:val="8"/>
                <w:kern w:val="0"/>
                <w:sz w:val="21"/>
                <w:szCs w:val="21"/>
                <w:lang w:val="zh-CN" w:eastAsia="zh-CN" w:bidi="ar-SA"/>
              </w:rPr>
            </w:pPr>
            <w:r>
              <w:rPr>
                <w:rFonts w:hint="eastAsia" w:ascii="Times New Roman" w:hAnsi="Times New Roman" w:eastAsia="宋体" w:cs="Times New Roman"/>
                <w:spacing w:val="8"/>
                <w:kern w:val="0"/>
                <w:sz w:val="21"/>
                <w:szCs w:val="21"/>
                <w:lang w:val="en-US" w:eastAsia="zh-CN" w:bidi="ar-SA"/>
              </w:rPr>
              <w:t>第一阶段：</w:t>
            </w:r>
            <w:r>
              <w:rPr>
                <w:rFonts w:ascii="Times New Roman" w:hAnsi="Times New Roman" w:eastAsia="宋体" w:cs="Times New Roman"/>
                <w:spacing w:val="8"/>
                <w:kern w:val="0"/>
                <w:sz w:val="21"/>
                <w:szCs w:val="21"/>
                <w:lang w:val="zh-CN" w:eastAsia="zh-CN" w:bidi="ar-SA"/>
              </w:rPr>
              <w:t>签订合同后，乙方应在202</w:t>
            </w:r>
            <w:r>
              <w:rPr>
                <w:rFonts w:hint="eastAsia" w:ascii="Times New Roman" w:hAnsi="Times New Roman" w:eastAsia="宋体" w:cs="Times New Roman"/>
                <w:spacing w:val="8"/>
                <w:kern w:val="0"/>
                <w:sz w:val="21"/>
                <w:szCs w:val="21"/>
                <w:lang w:val="zh-CN" w:eastAsia="zh-CN" w:bidi="ar-SA"/>
              </w:rPr>
              <w:t>5</w:t>
            </w:r>
            <w:r>
              <w:rPr>
                <w:rFonts w:ascii="Times New Roman" w:hAnsi="Times New Roman" w:eastAsia="宋体" w:cs="Times New Roman"/>
                <w:spacing w:val="8"/>
                <w:kern w:val="0"/>
                <w:sz w:val="21"/>
                <w:szCs w:val="21"/>
                <w:lang w:val="zh-CN" w:eastAsia="zh-CN" w:bidi="ar-SA"/>
              </w:rPr>
              <w:t>年12月前完成当年等级保护</w:t>
            </w:r>
          </w:p>
          <w:p>
            <w:pPr>
              <w:widowControl/>
              <w:textAlignment w:val="center"/>
              <w:rPr>
                <w:rFonts w:ascii="Times New Roman" w:hAnsi="Times New Roman" w:eastAsia="宋体" w:cs="Times New Roman"/>
                <w:spacing w:val="8"/>
                <w:kern w:val="0"/>
                <w:sz w:val="21"/>
                <w:szCs w:val="21"/>
                <w:lang w:val="zh-CN" w:eastAsia="zh-CN" w:bidi="ar-SA"/>
              </w:rPr>
            </w:pPr>
            <w:r>
              <w:rPr>
                <w:rFonts w:ascii="Times New Roman" w:hAnsi="Times New Roman" w:eastAsia="宋体" w:cs="Times New Roman"/>
                <w:spacing w:val="8"/>
                <w:kern w:val="0"/>
                <w:sz w:val="21"/>
                <w:szCs w:val="21"/>
                <w:lang w:val="zh-CN" w:eastAsia="zh-CN" w:bidi="ar-SA"/>
              </w:rPr>
              <w:t>系统测评。第二阶段：乙方应</w:t>
            </w:r>
            <w:r>
              <w:rPr>
                <w:rFonts w:hint="eastAsia" w:ascii="Times New Roman" w:hAnsi="Times New Roman" w:eastAsia="宋体" w:cs="Times New Roman"/>
                <w:spacing w:val="8"/>
                <w:kern w:val="0"/>
                <w:sz w:val="21"/>
                <w:szCs w:val="21"/>
                <w:lang w:val="en-US" w:eastAsia="zh-CN" w:bidi="ar-SA"/>
              </w:rPr>
              <w:t>于</w:t>
            </w:r>
            <w:r>
              <w:rPr>
                <w:rFonts w:ascii="Times New Roman" w:hAnsi="Times New Roman" w:eastAsia="宋体" w:cs="Times New Roman"/>
                <w:spacing w:val="8"/>
                <w:kern w:val="0"/>
                <w:sz w:val="21"/>
                <w:szCs w:val="21"/>
                <w:lang w:val="zh-CN" w:eastAsia="zh-CN" w:bidi="ar-SA"/>
              </w:rPr>
              <w:t>202</w:t>
            </w:r>
            <w:r>
              <w:rPr>
                <w:rFonts w:hint="eastAsia" w:ascii="Times New Roman" w:hAnsi="Times New Roman" w:eastAsia="宋体" w:cs="Times New Roman"/>
                <w:spacing w:val="8"/>
                <w:kern w:val="0"/>
                <w:sz w:val="21"/>
                <w:szCs w:val="21"/>
                <w:lang w:val="zh-CN" w:eastAsia="zh-CN" w:bidi="ar-SA"/>
              </w:rPr>
              <w:t>6</w:t>
            </w:r>
            <w:r>
              <w:rPr>
                <w:rFonts w:ascii="Times New Roman" w:hAnsi="Times New Roman" w:eastAsia="宋体" w:cs="Times New Roman"/>
                <w:spacing w:val="8"/>
                <w:kern w:val="0"/>
                <w:sz w:val="21"/>
                <w:szCs w:val="21"/>
                <w:lang w:val="zh-CN" w:eastAsia="zh-CN" w:bidi="ar-SA"/>
              </w:rPr>
              <w:t>年12月前完成当年等级保护测评。</w:t>
            </w:r>
          </w:p>
        </w:tc>
      </w:tr>
      <w:tr>
        <w:tblPrEx>
          <w:tblCellMar>
            <w:top w:w="0" w:type="dxa"/>
            <w:left w:w="108" w:type="dxa"/>
            <w:bottom w:w="0" w:type="dxa"/>
            <w:right w:w="108" w:type="dxa"/>
          </w:tblCellMar>
        </w:tblPrEx>
        <w:trPr>
          <w:trHeight w:val="656" w:hRule="atLeast"/>
        </w:trPr>
        <w:tc>
          <w:tcPr>
            <w:tcW w:w="437" w:type="dxa"/>
            <w:vMerge w:val="continue"/>
            <w:tcBorders>
              <w:left w:val="single" w:color="auto" w:sz="4" w:space="0"/>
              <w:right w:val="single" w:color="auto" w:sz="4" w:space="0"/>
            </w:tcBorders>
            <w:shd w:val="clear" w:color="auto" w:fill="auto"/>
            <w:vAlign w:val="center"/>
          </w:tcPr>
          <w:p>
            <w:pPr>
              <w:rPr>
                <w:rFonts w:ascii="宋体" w:hAnsi="宋体" w:eastAsia="宋体" w:cs="宋体"/>
                <w:color w:val="000000"/>
                <w:sz w:val="22"/>
              </w:rPr>
            </w:pPr>
          </w:p>
        </w:tc>
        <w:tc>
          <w:tcPr>
            <w:tcW w:w="1138" w:type="dxa"/>
            <w:vMerge w:val="continue"/>
            <w:tcBorders>
              <w:left w:val="single" w:color="auto" w:sz="4" w:space="0"/>
              <w:right w:val="single" w:color="auto" w:sz="4" w:space="0"/>
            </w:tcBorders>
            <w:shd w:val="clear" w:color="auto" w:fill="auto"/>
            <w:vAlign w:val="center"/>
          </w:tcPr>
          <w:p>
            <w:pPr>
              <w:rPr>
                <w:rFonts w:ascii="宋体" w:hAnsi="宋体" w:eastAsia="宋体" w:cs="宋体"/>
                <w:color w:val="000000"/>
                <w:sz w:val="22"/>
              </w:rPr>
            </w:pPr>
          </w:p>
        </w:tc>
        <w:tc>
          <w:tcPr>
            <w:tcW w:w="1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Times New Roman" w:hAnsi="Times New Roman" w:eastAsia="宋体" w:cs="Times New Roman"/>
                <w:spacing w:val="8"/>
                <w:kern w:val="0"/>
                <w:sz w:val="21"/>
                <w:szCs w:val="21"/>
                <w:lang w:val="zh-CN" w:eastAsia="zh-CN" w:bidi="ar-SA"/>
              </w:rPr>
            </w:pPr>
            <w:r>
              <w:rPr>
                <w:rFonts w:hint="eastAsia" w:ascii="Times New Roman" w:hAnsi="Times New Roman" w:eastAsia="宋体" w:cs="Times New Roman"/>
                <w:spacing w:val="8"/>
                <w:kern w:val="0"/>
                <w:sz w:val="21"/>
                <w:szCs w:val="21"/>
                <w:lang w:val="en-US" w:eastAsia="zh-CN" w:bidi="ar-SA"/>
              </w:rPr>
              <w:t>付款方式</w:t>
            </w:r>
          </w:p>
        </w:tc>
        <w:tc>
          <w:tcPr>
            <w:tcW w:w="62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eastAsia="宋体" w:cs="Times New Roman"/>
                <w:spacing w:val="8"/>
                <w:kern w:val="0"/>
                <w:sz w:val="21"/>
                <w:szCs w:val="21"/>
                <w:lang w:val="zh-CN" w:eastAsia="zh-CN" w:bidi="ar-SA"/>
              </w:rPr>
            </w:pPr>
            <w:r>
              <w:rPr>
                <w:rFonts w:ascii="Times New Roman" w:hAnsi="Times New Roman" w:eastAsia="宋体" w:cs="Times New Roman"/>
                <w:spacing w:val="8"/>
                <w:kern w:val="0"/>
                <w:sz w:val="21"/>
                <w:szCs w:val="21"/>
                <w:lang w:val="zh-CN" w:eastAsia="zh-CN" w:bidi="ar-SA"/>
              </w:rPr>
              <w:t>完成第一阶段等保测评并提交等级保护测评报告通过备案，待乙方提供正规发票后，甲方向</w:t>
            </w:r>
            <w:r>
              <w:rPr>
                <w:rFonts w:hint="eastAsia" w:ascii="Times New Roman" w:hAnsi="Times New Roman" w:eastAsia="宋体" w:cs="Times New Roman"/>
                <w:spacing w:val="8"/>
                <w:kern w:val="0"/>
                <w:sz w:val="21"/>
                <w:szCs w:val="21"/>
                <w:lang w:val="en-US" w:eastAsia="zh-CN" w:bidi="ar-SA"/>
              </w:rPr>
              <w:t>乙</w:t>
            </w:r>
            <w:r>
              <w:rPr>
                <w:rFonts w:ascii="Times New Roman" w:hAnsi="Times New Roman" w:eastAsia="宋体" w:cs="Times New Roman"/>
                <w:spacing w:val="8"/>
                <w:kern w:val="0"/>
                <w:sz w:val="21"/>
                <w:szCs w:val="21"/>
                <w:lang w:val="zh-CN" w:eastAsia="zh-CN" w:bidi="ar-SA"/>
              </w:rPr>
              <w:t>方支付50%货款；</w:t>
            </w:r>
          </w:p>
          <w:p>
            <w:pPr>
              <w:widowControl/>
              <w:textAlignment w:val="center"/>
              <w:rPr>
                <w:rFonts w:ascii="Times New Roman" w:hAnsi="Times New Roman" w:eastAsia="宋体" w:cs="Times New Roman"/>
                <w:spacing w:val="8"/>
                <w:kern w:val="0"/>
                <w:sz w:val="21"/>
                <w:szCs w:val="21"/>
                <w:lang w:val="zh-CN" w:eastAsia="zh-CN" w:bidi="ar-SA"/>
              </w:rPr>
            </w:pPr>
            <w:r>
              <w:rPr>
                <w:rFonts w:ascii="Times New Roman" w:hAnsi="Times New Roman" w:eastAsia="宋体" w:cs="Times New Roman"/>
                <w:spacing w:val="8"/>
                <w:kern w:val="0"/>
                <w:sz w:val="21"/>
                <w:szCs w:val="21"/>
                <w:lang w:val="zh-CN" w:eastAsia="zh-CN" w:bidi="ar-SA"/>
              </w:rPr>
              <w:t>完成第二阶段等保测评并提交等级保护测评报告通过备案，待乙方提供正规发票后，甲方向</w:t>
            </w:r>
            <w:r>
              <w:rPr>
                <w:rFonts w:hint="eastAsia" w:ascii="Times New Roman" w:hAnsi="Times New Roman" w:eastAsia="宋体" w:cs="Times New Roman"/>
                <w:spacing w:val="8"/>
                <w:kern w:val="0"/>
                <w:sz w:val="21"/>
                <w:szCs w:val="21"/>
                <w:lang w:val="en-US" w:eastAsia="zh-CN" w:bidi="ar-SA"/>
              </w:rPr>
              <w:t>乙</w:t>
            </w:r>
            <w:r>
              <w:rPr>
                <w:rFonts w:ascii="Times New Roman" w:hAnsi="Times New Roman" w:eastAsia="宋体" w:cs="Times New Roman"/>
                <w:spacing w:val="8"/>
                <w:kern w:val="0"/>
                <w:sz w:val="21"/>
                <w:szCs w:val="21"/>
                <w:lang w:val="zh-CN" w:eastAsia="zh-CN" w:bidi="ar-SA"/>
              </w:rPr>
              <w:t>方支付50%货款。</w:t>
            </w:r>
            <w:bookmarkStart w:id="0" w:name="_GoBack"/>
            <w:bookmarkEnd w:id="0"/>
          </w:p>
        </w:tc>
      </w:tr>
      <w:tr>
        <w:tblPrEx>
          <w:tblCellMar>
            <w:top w:w="0" w:type="dxa"/>
            <w:left w:w="108" w:type="dxa"/>
            <w:bottom w:w="0" w:type="dxa"/>
            <w:right w:w="108" w:type="dxa"/>
          </w:tblCellMar>
        </w:tblPrEx>
        <w:trPr>
          <w:trHeight w:val="910" w:hRule="atLeast"/>
        </w:trPr>
        <w:tc>
          <w:tcPr>
            <w:tcW w:w="437" w:type="dxa"/>
            <w:vMerge w:val="continue"/>
            <w:tcBorders>
              <w:left w:val="single" w:color="auto" w:sz="4" w:space="0"/>
              <w:right w:val="single" w:color="auto" w:sz="4" w:space="0"/>
            </w:tcBorders>
            <w:shd w:val="clear" w:color="auto" w:fill="auto"/>
            <w:vAlign w:val="center"/>
          </w:tcPr>
          <w:p>
            <w:pPr>
              <w:widowControl/>
              <w:jc w:val="left"/>
              <w:textAlignment w:val="center"/>
              <w:rPr>
                <w:rStyle w:val="34"/>
                <w:rFonts w:hint="eastAsia" w:eastAsia="宋体"/>
                <w:lang w:eastAsia="zh-CN" w:bidi="ar"/>
              </w:rPr>
            </w:pPr>
          </w:p>
        </w:tc>
        <w:tc>
          <w:tcPr>
            <w:tcW w:w="1138" w:type="dxa"/>
            <w:vMerge w:val="continue"/>
            <w:tcBorders>
              <w:left w:val="single" w:color="auto" w:sz="4" w:space="0"/>
              <w:right w:val="single" w:color="auto" w:sz="4" w:space="0"/>
            </w:tcBorders>
            <w:shd w:val="clear" w:color="auto" w:fill="auto"/>
            <w:vAlign w:val="center"/>
          </w:tcPr>
          <w:p>
            <w:pPr>
              <w:widowControl/>
              <w:jc w:val="left"/>
              <w:textAlignment w:val="center"/>
              <w:rPr>
                <w:rStyle w:val="34"/>
                <w:rFonts w:hint="eastAsia" w:eastAsia="宋体"/>
                <w:lang w:val="en-US" w:eastAsia="zh-CN" w:bidi="ar"/>
              </w:rPr>
            </w:pPr>
          </w:p>
        </w:tc>
        <w:tc>
          <w:tcPr>
            <w:tcW w:w="7464" w:type="dxa"/>
            <w:gridSpan w:val="8"/>
            <w:tcBorders>
              <w:top w:val="single" w:color="auto" w:sz="4" w:space="0"/>
              <w:left w:val="single" w:color="000000" w:sz="8" w:space="0"/>
              <w:bottom w:val="single" w:color="000000" w:sz="8" w:space="0"/>
              <w:right w:val="single" w:color="000000" w:sz="8" w:space="0"/>
            </w:tcBorders>
            <w:shd w:val="clear" w:color="auto" w:fill="auto"/>
            <w:vAlign w:val="center"/>
          </w:tcPr>
          <w:p>
            <w:pPr>
              <w:widowControl/>
              <w:ind w:firstLine="452" w:firstLineChars="200"/>
              <w:textAlignment w:val="center"/>
              <w:rPr>
                <w:rFonts w:ascii="Times New Roman" w:hAnsi="Times New Roman" w:eastAsia="宋体" w:cs="Times New Roman"/>
                <w:spacing w:val="8"/>
                <w:kern w:val="0"/>
                <w:sz w:val="21"/>
                <w:szCs w:val="21"/>
                <w:lang w:val="zh-CN" w:eastAsia="zh-CN" w:bidi="ar-SA"/>
              </w:rPr>
            </w:pPr>
            <w:r>
              <w:rPr>
                <w:rFonts w:ascii="Times New Roman" w:hAnsi="Times New Roman" w:eastAsia="宋体" w:cs="Times New Roman"/>
                <w:spacing w:val="8"/>
                <w:kern w:val="0"/>
                <w:sz w:val="21"/>
                <w:szCs w:val="21"/>
                <w:lang w:val="zh-CN" w:eastAsia="zh-CN" w:bidi="ar-SA"/>
              </w:rPr>
              <w:t>甲乙双方应当严格履行合同，确保本项目如期完成，如在本项目实施过程中，因甲方原因导致项目无法推进，乙方应当立即出具《告知函》给甲方，要求其排除障碍，并经甲方确认（需双方盖章），从该问题产生到消除，其所消耗的时间可不计入项目工期，若乙方未告知甲方排除障碍，视为符合乙方实施项目建设要求。</w:t>
            </w:r>
          </w:p>
        </w:tc>
      </w:tr>
      <w:tr>
        <w:tblPrEx>
          <w:tblCellMar>
            <w:top w:w="0" w:type="dxa"/>
            <w:left w:w="108" w:type="dxa"/>
            <w:bottom w:w="0" w:type="dxa"/>
            <w:right w:w="108" w:type="dxa"/>
          </w:tblCellMar>
        </w:tblPrEx>
        <w:trPr>
          <w:gridAfter w:val="1"/>
          <w:wAfter w:w="3" w:type="dxa"/>
          <w:trHeight w:val="764" w:hRule="atLeast"/>
        </w:trPr>
        <w:tc>
          <w:tcPr>
            <w:tcW w:w="1984" w:type="dxa"/>
            <w:gridSpan w:val="3"/>
            <w:tcBorders>
              <w:top w:val="single" w:color="auto" w:sz="4" w:space="0"/>
              <w:left w:val="single" w:color="000000" w:sz="8" w:space="0"/>
              <w:bottom w:val="single" w:color="000000"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Style w:val="34"/>
                <w:rFonts w:hint="default"/>
                <w:lang w:bidi="ar"/>
              </w:rPr>
              <w:t>申请科室</w:t>
            </w:r>
          </w:p>
        </w:tc>
        <w:tc>
          <w:tcPr>
            <w:tcW w:w="2534" w:type="dxa"/>
            <w:gridSpan w:val="3"/>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信息管理部</w:t>
            </w:r>
          </w:p>
        </w:tc>
        <w:tc>
          <w:tcPr>
            <w:tcW w:w="1984"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Style w:val="34"/>
                <w:rFonts w:hint="eastAsia" w:eastAsia="宋体"/>
                <w:lang w:val="en-US" w:eastAsia="zh-CN" w:bidi="ar"/>
              </w:rPr>
              <w:t>需求部门</w:t>
            </w:r>
            <w:r>
              <w:rPr>
                <w:rStyle w:val="34"/>
                <w:rFonts w:hint="default"/>
                <w:lang w:bidi="ar"/>
              </w:rPr>
              <w:t>经手人</w:t>
            </w:r>
          </w:p>
        </w:tc>
        <w:tc>
          <w:tcPr>
            <w:tcW w:w="2534"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3" w:type="dxa"/>
          <w:trHeight w:val="700" w:hRule="atLeast"/>
        </w:trPr>
        <w:tc>
          <w:tcPr>
            <w:tcW w:w="1984" w:type="dxa"/>
            <w:gridSpan w:val="3"/>
            <w:tcBorders>
              <w:top w:val="nil"/>
              <w:left w:val="single" w:color="000000" w:sz="8" w:space="0"/>
              <w:bottom w:val="single" w:color="000000" w:sz="8" w:space="0"/>
              <w:right w:val="single" w:color="auto" w:sz="4" w:space="0"/>
            </w:tcBorders>
            <w:shd w:val="clear" w:color="auto" w:fill="auto"/>
            <w:vAlign w:val="center"/>
          </w:tcPr>
          <w:p>
            <w:pPr>
              <w:jc w:val="center"/>
              <w:rPr>
                <w:rFonts w:ascii="宋体" w:hAnsi="宋体" w:eastAsia="宋体" w:cs="宋体"/>
                <w:color w:val="000000"/>
                <w:sz w:val="22"/>
              </w:rPr>
            </w:pPr>
            <w:r>
              <w:rPr>
                <w:rStyle w:val="34"/>
                <w:rFonts w:hint="default"/>
                <w:lang w:bidi="ar"/>
              </w:rPr>
              <w:t>采购部门经手人</w:t>
            </w:r>
          </w:p>
        </w:tc>
        <w:tc>
          <w:tcPr>
            <w:tcW w:w="2534" w:type="dxa"/>
            <w:gridSpan w:val="3"/>
            <w:tcBorders>
              <w:top w:val="nil"/>
              <w:left w:val="single" w:color="auto" w:sz="4"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rPr>
            </w:pPr>
          </w:p>
        </w:tc>
        <w:tc>
          <w:tcPr>
            <w:tcW w:w="198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Style w:val="34"/>
                <w:rFonts w:hint="eastAsia" w:eastAsia="宋体"/>
                <w:lang w:val="en-US" w:eastAsia="zh-CN" w:bidi="ar"/>
              </w:rPr>
              <w:t>需求部门</w:t>
            </w:r>
            <w:r>
              <w:rPr>
                <w:rStyle w:val="34"/>
                <w:rFonts w:hint="default"/>
                <w:lang w:bidi="ar"/>
              </w:rPr>
              <w:t>负责人</w:t>
            </w:r>
          </w:p>
        </w:tc>
        <w:tc>
          <w:tcPr>
            <w:tcW w:w="2534"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661" w:hRule="atLeast"/>
        </w:trPr>
        <w:tc>
          <w:tcPr>
            <w:tcW w:w="1984" w:type="dxa"/>
            <w:gridSpan w:val="3"/>
            <w:tcBorders>
              <w:top w:val="nil"/>
              <w:left w:val="single" w:color="000000" w:sz="8"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Style w:val="34"/>
                <w:rFonts w:hint="default"/>
                <w:lang w:bidi="ar"/>
              </w:rPr>
              <w:t>采购部门</w:t>
            </w:r>
            <w:r>
              <w:rPr>
                <w:rStyle w:val="34"/>
                <w:rFonts w:hint="eastAsia" w:eastAsia="宋体"/>
                <w:lang w:val="en-US" w:eastAsia="zh-CN" w:bidi="ar"/>
              </w:rPr>
              <w:t>负责</w:t>
            </w:r>
            <w:r>
              <w:rPr>
                <w:rStyle w:val="34"/>
                <w:rFonts w:hint="default"/>
                <w:lang w:bidi="ar"/>
              </w:rPr>
              <w:t>人</w:t>
            </w:r>
          </w:p>
        </w:tc>
        <w:tc>
          <w:tcPr>
            <w:tcW w:w="2534" w:type="dxa"/>
            <w:gridSpan w:val="3"/>
            <w:tcBorders>
              <w:top w:val="nil"/>
              <w:left w:val="single" w:color="auto" w:sz="4" w:space="0"/>
              <w:bottom w:val="single" w:color="auto" w:sz="4" w:space="0"/>
              <w:right w:val="single" w:color="000000" w:sz="8" w:space="0"/>
            </w:tcBorders>
            <w:shd w:val="clear" w:color="auto" w:fill="auto"/>
            <w:vAlign w:val="center"/>
          </w:tcPr>
          <w:p>
            <w:pPr>
              <w:jc w:val="center"/>
              <w:rPr>
                <w:rFonts w:ascii="宋体" w:hAnsi="宋体" w:eastAsia="宋体" w:cs="宋体"/>
                <w:color w:val="000000"/>
                <w:sz w:val="22"/>
              </w:rPr>
            </w:pPr>
          </w:p>
        </w:tc>
        <w:tc>
          <w:tcPr>
            <w:tcW w:w="1984"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lang w:val="en-US" w:eastAsia="zh-CN"/>
              </w:rPr>
              <w:t>信息管理部负责人</w:t>
            </w:r>
          </w:p>
        </w:tc>
        <w:tc>
          <w:tcPr>
            <w:tcW w:w="2537" w:type="dxa"/>
            <w:gridSpan w:val="3"/>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lang w:val="en-US" w:eastAsia="zh-CN"/>
              </w:rPr>
              <w:t>/</w:t>
            </w:r>
          </w:p>
        </w:tc>
      </w:tr>
      <w:tr>
        <w:tblPrEx>
          <w:tblCellMar>
            <w:top w:w="0" w:type="dxa"/>
            <w:left w:w="108" w:type="dxa"/>
            <w:bottom w:w="0" w:type="dxa"/>
            <w:right w:w="108" w:type="dxa"/>
          </w:tblCellMar>
        </w:tblPrEx>
        <w:trPr>
          <w:trHeight w:val="661" w:hRule="atLeast"/>
        </w:trPr>
        <w:tc>
          <w:tcPr>
            <w:tcW w:w="1984" w:type="dxa"/>
            <w:gridSpan w:val="3"/>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default" w:ascii="宋体" w:hAnsi="宋体" w:eastAsia="宋体" w:cs="宋体"/>
                <w:color w:val="000000"/>
                <w:sz w:val="22"/>
                <w:lang w:val="en-US" w:eastAsia="zh-CN"/>
              </w:rPr>
            </w:pPr>
            <w:r>
              <w:rPr>
                <w:rStyle w:val="34"/>
                <w:rFonts w:hint="eastAsia" w:eastAsia="宋体"/>
                <w:lang w:val="en-US" w:eastAsia="zh-CN" w:bidi="ar"/>
              </w:rPr>
              <w:t>需求</w:t>
            </w:r>
            <w:r>
              <w:rPr>
                <w:rStyle w:val="34"/>
                <w:rFonts w:hint="default"/>
                <w:lang w:bidi="ar"/>
              </w:rPr>
              <w:t>部门分管领导</w:t>
            </w:r>
          </w:p>
        </w:tc>
        <w:tc>
          <w:tcPr>
            <w:tcW w:w="2534" w:type="dxa"/>
            <w:gridSpan w:val="3"/>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w:t>
            </w:r>
          </w:p>
        </w:tc>
        <w:tc>
          <w:tcPr>
            <w:tcW w:w="1984"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34"/>
                <w:rFonts w:hint="default"/>
                <w:lang w:bidi="ar"/>
              </w:rPr>
            </w:pPr>
            <w:r>
              <w:rPr>
                <w:rStyle w:val="34"/>
                <w:rFonts w:hint="default"/>
                <w:lang w:bidi="ar"/>
              </w:rPr>
              <w:t>申请时间</w:t>
            </w:r>
          </w:p>
        </w:tc>
        <w:tc>
          <w:tcPr>
            <w:tcW w:w="2537"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rPr>
            </w:pPr>
          </w:p>
        </w:tc>
      </w:tr>
    </w:tbl>
    <w:p>
      <w:pPr>
        <w:pStyle w:val="21"/>
        <w:snapToGrid w:val="0"/>
        <w:spacing w:line="18" w:lineRule="atLeast"/>
        <w:ind w:firstLine="0" w:firstLineChars="0"/>
        <w:rPr>
          <w:rFonts w:ascii="仿宋" w:hAnsi="仿宋"/>
          <w:kern w:val="2"/>
          <w:sz w:val="21"/>
          <w:szCs w:val="21"/>
        </w:rPr>
      </w:pPr>
    </w:p>
    <w:sectPr>
      <w:pgSz w:w="11906" w:h="16838"/>
      <w:pgMar w:top="1440" w:right="1304"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6D1442"/>
    <w:multiLevelType w:val="multilevel"/>
    <w:tmpl w:val="3E6D1442"/>
    <w:lvl w:ilvl="0" w:tentative="0">
      <w:start w:val="1"/>
      <w:numFmt w:val="decimal"/>
      <w:pStyle w:val="4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MDI4M2E2NjA4ZTcxMmNkNGMzNzY4NzBkMWMwMTYifQ=="/>
  </w:docVars>
  <w:rsids>
    <w:rsidRoot w:val="00000000"/>
    <w:rsid w:val="009D0291"/>
    <w:rsid w:val="2609076D"/>
    <w:rsid w:val="280B47C0"/>
    <w:rsid w:val="2E13120E"/>
    <w:rsid w:val="45BC7A00"/>
    <w:rsid w:val="50B30973"/>
    <w:rsid w:val="53876B42"/>
    <w:rsid w:val="5D7D1AAE"/>
    <w:rsid w:val="6D871DC2"/>
    <w:rsid w:val="7DC62489"/>
    <w:rsid w:val="7FEF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3">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annotation text"/>
    <w:basedOn w:val="1"/>
    <w:link w:val="26"/>
    <w:autoRedefine/>
    <w:unhideWhenUsed/>
    <w:qFormat/>
    <w:uiPriority w:val="99"/>
    <w:pPr>
      <w:jc w:val="left"/>
    </w:pPr>
    <w:rPr>
      <w:rFonts w:ascii="Times New Roman" w:hAnsi="Times New Roman" w:eastAsia="宋体" w:cs="Times New Roman"/>
      <w:szCs w:val="20"/>
    </w:rPr>
  </w:style>
  <w:style w:type="paragraph" w:styleId="5">
    <w:name w:val="Body Text Indent"/>
    <w:basedOn w:val="1"/>
    <w:next w:val="1"/>
    <w:autoRedefine/>
    <w:qFormat/>
    <w:uiPriority w:val="0"/>
    <w:pPr>
      <w:ind w:left="480" w:hanging="480" w:hangingChars="200"/>
    </w:pPr>
    <w:rPr>
      <w:sz w:val="24"/>
    </w:rPr>
  </w:style>
  <w:style w:type="paragraph" w:styleId="6">
    <w:name w:val="Plain Text"/>
    <w:basedOn w:val="1"/>
    <w:autoRedefine/>
    <w:qFormat/>
    <w:uiPriority w:val="0"/>
    <w:rPr>
      <w:rFonts w:ascii="Century Gothic" w:hAnsi="楷体_GB2312" w:eastAsia="Century Gothic" w:cs="楷体_GB2312"/>
      <w:szCs w:val="21"/>
    </w:rPr>
  </w:style>
  <w:style w:type="paragraph" w:styleId="7">
    <w:name w:val="Balloon Text"/>
    <w:basedOn w:val="1"/>
    <w:link w:val="27"/>
    <w:autoRedefine/>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6"/>
    <w:basedOn w:val="1"/>
    <w:next w:val="1"/>
    <w:autoRedefine/>
    <w:qFormat/>
    <w:uiPriority w:val="0"/>
    <w:pPr>
      <w:ind w:left="1050"/>
      <w:jc w:val="left"/>
    </w:pPr>
    <w:rPr>
      <w:sz w:val="18"/>
      <w:szCs w:val="18"/>
    </w:rPr>
  </w:style>
  <w:style w:type="paragraph" w:styleId="11">
    <w:name w:val="annotation subject"/>
    <w:basedOn w:val="4"/>
    <w:next w:val="4"/>
    <w:link w:val="45"/>
    <w:autoRedefine/>
    <w:unhideWhenUsed/>
    <w:qFormat/>
    <w:uiPriority w:val="99"/>
    <w:rPr>
      <w:rFonts w:asciiTheme="minorHAnsi" w:hAnsiTheme="minorHAnsi" w:eastAsiaTheme="minorEastAsia" w:cstheme="minorBidi"/>
      <w:b/>
      <w:bCs/>
      <w:szCs w:val="22"/>
    </w:rPr>
  </w:style>
  <w:style w:type="paragraph" w:styleId="12">
    <w:name w:val="Body Text First Indent 2"/>
    <w:basedOn w:val="5"/>
    <w:next w:val="1"/>
    <w:autoRedefine/>
    <w:unhideWhenUsed/>
    <w:qFormat/>
    <w:uiPriority w:val="99"/>
    <w:pPr>
      <w:ind w:firstLine="420"/>
    </w:p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autoRedefine/>
    <w:unhideWhenUsed/>
    <w:qFormat/>
    <w:uiPriority w:val="99"/>
    <w:rPr>
      <w:sz w:val="21"/>
      <w:szCs w:val="21"/>
    </w:rPr>
  </w:style>
  <w:style w:type="character" w:customStyle="1" w:styleId="17">
    <w:name w:val="页眉 Char"/>
    <w:basedOn w:val="15"/>
    <w:link w:val="9"/>
    <w:autoRedefine/>
    <w:qFormat/>
    <w:uiPriority w:val="99"/>
    <w:rPr>
      <w:sz w:val="18"/>
      <w:szCs w:val="18"/>
    </w:rPr>
  </w:style>
  <w:style w:type="character" w:customStyle="1" w:styleId="18">
    <w:name w:val="页脚 Char"/>
    <w:basedOn w:val="15"/>
    <w:link w:val="8"/>
    <w:autoRedefine/>
    <w:qFormat/>
    <w:uiPriority w:val="99"/>
    <w:rPr>
      <w:sz w:val="18"/>
      <w:szCs w:val="18"/>
    </w:rPr>
  </w:style>
  <w:style w:type="paragraph" w:customStyle="1" w:styleId="19">
    <w:name w:val="表格"/>
    <w:basedOn w:val="1"/>
    <w:link w:val="20"/>
    <w:autoRedefine/>
    <w:qFormat/>
    <w:uiPriority w:val="0"/>
    <w:pPr>
      <w:widowControl/>
      <w:spacing w:line="360" w:lineRule="auto"/>
      <w:ind w:firstLine="480" w:firstLineChars="200"/>
    </w:pPr>
    <w:rPr>
      <w:rFonts w:ascii="仿宋" w:hAnsi="仿宋" w:eastAsia="仿宋" w:cs="Times New Roman"/>
      <w:spacing w:val="8"/>
      <w:kern w:val="0"/>
      <w:sz w:val="24"/>
      <w:szCs w:val="24"/>
      <w:lang w:val="zh-CN"/>
    </w:rPr>
  </w:style>
  <w:style w:type="character" w:customStyle="1" w:styleId="20">
    <w:name w:val="表格 Char"/>
    <w:link w:val="19"/>
    <w:autoRedefine/>
    <w:qFormat/>
    <w:uiPriority w:val="0"/>
    <w:rPr>
      <w:rFonts w:ascii="仿宋" w:hAnsi="仿宋" w:eastAsia="仿宋" w:cs="Times New Roman"/>
      <w:spacing w:val="8"/>
      <w:kern w:val="0"/>
      <w:sz w:val="24"/>
      <w:szCs w:val="24"/>
      <w:lang w:val="zh-CN"/>
    </w:rPr>
  </w:style>
  <w:style w:type="paragraph" w:customStyle="1" w:styleId="21">
    <w:name w:val="样式2"/>
    <w:basedOn w:val="1"/>
    <w:link w:val="22"/>
    <w:autoRedefine/>
    <w:qFormat/>
    <w:uiPriority w:val="0"/>
    <w:pPr>
      <w:widowControl/>
      <w:spacing w:line="360" w:lineRule="auto"/>
      <w:ind w:firstLine="480" w:firstLineChars="200"/>
    </w:pPr>
    <w:rPr>
      <w:rFonts w:ascii="宋体" w:hAnsi="宋体" w:eastAsia="仿宋" w:cs="Times New Roman"/>
      <w:spacing w:val="8"/>
      <w:kern w:val="0"/>
      <w:sz w:val="24"/>
      <w:szCs w:val="24"/>
      <w:lang w:val="zh-CN"/>
    </w:rPr>
  </w:style>
  <w:style w:type="character" w:customStyle="1" w:styleId="22">
    <w:name w:val="样式2 Char"/>
    <w:link w:val="21"/>
    <w:autoRedefine/>
    <w:qFormat/>
    <w:uiPriority w:val="0"/>
    <w:rPr>
      <w:rFonts w:ascii="宋体" w:hAnsi="宋体" w:eastAsia="仿宋" w:cs="Times New Roman"/>
      <w:spacing w:val="8"/>
      <w:kern w:val="0"/>
      <w:sz w:val="24"/>
      <w:szCs w:val="24"/>
      <w:lang w:val="zh-CN"/>
    </w:rPr>
  </w:style>
  <w:style w:type="paragraph" w:customStyle="1" w:styleId="23">
    <w:name w:val="列出段落1"/>
    <w:basedOn w:val="1"/>
    <w:link w:val="24"/>
    <w:autoRedefine/>
    <w:qFormat/>
    <w:uiPriority w:val="99"/>
    <w:pPr>
      <w:ind w:firstLine="420" w:firstLineChars="200"/>
    </w:pPr>
    <w:rPr>
      <w:rFonts w:ascii="Times New Roman" w:hAnsi="Times New Roman" w:eastAsia="宋体" w:cs="Times New Roman"/>
      <w:szCs w:val="20"/>
    </w:rPr>
  </w:style>
  <w:style w:type="character" w:customStyle="1" w:styleId="24">
    <w:name w:val="列出段落 Char"/>
    <w:link w:val="23"/>
    <w:autoRedefine/>
    <w:qFormat/>
    <w:locked/>
    <w:uiPriority w:val="99"/>
    <w:rPr>
      <w:rFonts w:ascii="Times New Roman" w:hAnsi="Times New Roman" w:eastAsia="宋体" w:cs="Times New Roman"/>
      <w:szCs w:val="20"/>
    </w:rPr>
  </w:style>
  <w:style w:type="paragraph" w:customStyle="1" w:styleId="25">
    <w:name w:val="列出段落6"/>
    <w:basedOn w:val="1"/>
    <w:autoRedefine/>
    <w:qFormat/>
    <w:uiPriority w:val="99"/>
    <w:pPr>
      <w:ind w:firstLine="420" w:firstLineChars="200"/>
    </w:pPr>
    <w:rPr>
      <w:rFonts w:ascii="Calibri" w:hAnsi="Calibri" w:eastAsia="宋体" w:cs="黑体"/>
    </w:rPr>
  </w:style>
  <w:style w:type="character" w:customStyle="1" w:styleId="26">
    <w:name w:val="批注文字 Char"/>
    <w:basedOn w:val="15"/>
    <w:link w:val="4"/>
    <w:autoRedefine/>
    <w:semiHidden/>
    <w:qFormat/>
    <w:uiPriority w:val="99"/>
    <w:rPr>
      <w:rFonts w:ascii="Times New Roman" w:hAnsi="Times New Roman" w:eastAsia="宋体" w:cs="Times New Roman"/>
      <w:szCs w:val="20"/>
    </w:rPr>
  </w:style>
  <w:style w:type="character" w:customStyle="1" w:styleId="27">
    <w:name w:val="批注框文本 Char"/>
    <w:basedOn w:val="15"/>
    <w:link w:val="7"/>
    <w:autoRedefine/>
    <w:semiHidden/>
    <w:qFormat/>
    <w:uiPriority w:val="99"/>
    <w:rPr>
      <w:sz w:val="18"/>
      <w:szCs w:val="18"/>
    </w:rPr>
  </w:style>
  <w:style w:type="character" w:customStyle="1" w:styleId="28">
    <w:name w:val="font31"/>
    <w:basedOn w:val="15"/>
    <w:autoRedefine/>
    <w:qFormat/>
    <w:uiPriority w:val="0"/>
    <w:rPr>
      <w:rFonts w:hint="eastAsia" w:ascii="宋体" w:hAnsi="宋体" w:eastAsia="宋体" w:cs="宋体"/>
      <w:color w:val="000000"/>
      <w:sz w:val="24"/>
      <w:szCs w:val="24"/>
      <w:u w:val="none"/>
    </w:rPr>
  </w:style>
  <w:style w:type="character" w:customStyle="1" w:styleId="29">
    <w:name w:val="font11"/>
    <w:basedOn w:val="15"/>
    <w:autoRedefine/>
    <w:qFormat/>
    <w:uiPriority w:val="0"/>
    <w:rPr>
      <w:rFonts w:hint="eastAsia" w:ascii="宋体" w:hAnsi="宋体" w:eastAsia="宋体" w:cs="宋体"/>
      <w:color w:val="000000"/>
      <w:sz w:val="24"/>
      <w:szCs w:val="24"/>
      <w:u w:val="none"/>
    </w:rPr>
  </w:style>
  <w:style w:type="character" w:customStyle="1" w:styleId="30">
    <w:name w:val="font21"/>
    <w:basedOn w:val="15"/>
    <w:autoRedefine/>
    <w:qFormat/>
    <w:uiPriority w:val="0"/>
    <w:rPr>
      <w:rFonts w:hint="default" w:ascii="Times New Roman" w:hAnsi="Times New Roman" w:cs="Times New Roman"/>
      <w:color w:val="000000"/>
      <w:sz w:val="24"/>
      <w:szCs w:val="24"/>
      <w:u w:val="none"/>
    </w:rPr>
  </w:style>
  <w:style w:type="character" w:customStyle="1" w:styleId="31">
    <w:name w:val="font41"/>
    <w:basedOn w:val="15"/>
    <w:autoRedefine/>
    <w:qFormat/>
    <w:uiPriority w:val="0"/>
    <w:rPr>
      <w:rFonts w:hint="default" w:ascii="Times New Roman" w:hAnsi="Times New Roman" w:cs="Times New Roman"/>
      <w:color w:val="000000"/>
      <w:sz w:val="24"/>
      <w:szCs w:val="24"/>
      <w:u w:val="none"/>
    </w:rPr>
  </w:style>
  <w:style w:type="character" w:customStyle="1" w:styleId="32">
    <w:name w:val="font51"/>
    <w:basedOn w:val="15"/>
    <w:autoRedefine/>
    <w:qFormat/>
    <w:uiPriority w:val="0"/>
    <w:rPr>
      <w:rFonts w:hint="eastAsia" w:ascii="宋体" w:hAnsi="宋体" w:eastAsia="宋体" w:cs="宋体"/>
      <w:color w:val="FF0000"/>
      <w:sz w:val="24"/>
      <w:szCs w:val="24"/>
      <w:u w:val="none"/>
    </w:rPr>
  </w:style>
  <w:style w:type="character" w:customStyle="1" w:styleId="33">
    <w:name w:val="font14"/>
    <w:basedOn w:val="15"/>
    <w:autoRedefine/>
    <w:qFormat/>
    <w:uiPriority w:val="0"/>
    <w:rPr>
      <w:rFonts w:hint="eastAsia" w:ascii="宋体" w:hAnsi="宋体" w:eastAsia="宋体" w:cs="宋体"/>
      <w:b/>
      <w:bCs/>
      <w:color w:val="000000"/>
      <w:sz w:val="22"/>
      <w:szCs w:val="22"/>
      <w:u w:val="none"/>
    </w:rPr>
  </w:style>
  <w:style w:type="character" w:customStyle="1" w:styleId="34">
    <w:name w:val="font01"/>
    <w:basedOn w:val="15"/>
    <w:autoRedefine/>
    <w:qFormat/>
    <w:uiPriority w:val="0"/>
    <w:rPr>
      <w:rFonts w:hint="eastAsia" w:ascii="宋体" w:hAnsi="宋体" w:eastAsia="宋体" w:cs="宋体"/>
      <w:color w:val="000000"/>
      <w:sz w:val="22"/>
      <w:szCs w:val="22"/>
      <w:u w:val="none"/>
    </w:rPr>
  </w:style>
  <w:style w:type="character" w:customStyle="1" w:styleId="35">
    <w:name w:val="font61"/>
    <w:basedOn w:val="15"/>
    <w:autoRedefine/>
    <w:qFormat/>
    <w:uiPriority w:val="0"/>
    <w:rPr>
      <w:rFonts w:hint="eastAsia" w:ascii="宋体" w:hAnsi="宋体" w:eastAsia="宋体" w:cs="宋体"/>
      <w:color w:val="000000"/>
      <w:sz w:val="21"/>
      <w:szCs w:val="21"/>
      <w:u w:val="none"/>
    </w:rPr>
  </w:style>
  <w:style w:type="character" w:customStyle="1" w:styleId="36">
    <w:name w:val="font81"/>
    <w:basedOn w:val="15"/>
    <w:autoRedefine/>
    <w:qFormat/>
    <w:uiPriority w:val="0"/>
    <w:rPr>
      <w:rFonts w:hint="default" w:ascii="Calibri" w:hAnsi="Calibri" w:cs="Calibri"/>
      <w:b/>
      <w:bCs/>
      <w:color w:val="000000"/>
      <w:sz w:val="21"/>
      <w:szCs w:val="21"/>
      <w:u w:val="none"/>
    </w:rPr>
  </w:style>
  <w:style w:type="character" w:customStyle="1" w:styleId="37">
    <w:name w:val="font111"/>
    <w:basedOn w:val="15"/>
    <w:autoRedefine/>
    <w:qFormat/>
    <w:uiPriority w:val="0"/>
    <w:rPr>
      <w:rFonts w:hint="eastAsia" w:ascii="宋体" w:hAnsi="宋体" w:eastAsia="宋体" w:cs="宋体"/>
      <w:b/>
      <w:bCs/>
      <w:color w:val="000000"/>
      <w:sz w:val="21"/>
      <w:szCs w:val="21"/>
      <w:u w:val="none"/>
    </w:rPr>
  </w:style>
  <w:style w:type="character" w:customStyle="1" w:styleId="38">
    <w:name w:val="font91"/>
    <w:basedOn w:val="15"/>
    <w:autoRedefine/>
    <w:qFormat/>
    <w:uiPriority w:val="0"/>
    <w:rPr>
      <w:rFonts w:hint="default" w:ascii="Century Gothic" w:hAnsi="Century Gothic" w:eastAsia="Century Gothic" w:cs="Century Gothic"/>
      <w:color w:val="000000"/>
      <w:sz w:val="21"/>
      <w:szCs w:val="21"/>
      <w:u w:val="none"/>
    </w:rPr>
  </w:style>
  <w:style w:type="character" w:customStyle="1" w:styleId="39">
    <w:name w:val="font121"/>
    <w:basedOn w:val="15"/>
    <w:autoRedefine/>
    <w:qFormat/>
    <w:uiPriority w:val="0"/>
    <w:rPr>
      <w:rFonts w:hint="default" w:ascii="Times New Roman" w:hAnsi="Times New Roman" w:cs="Times New Roman"/>
      <w:color w:val="000000"/>
      <w:sz w:val="21"/>
      <w:szCs w:val="21"/>
      <w:u w:val="none"/>
    </w:rPr>
  </w:style>
  <w:style w:type="character" w:customStyle="1" w:styleId="40">
    <w:name w:val="font131"/>
    <w:basedOn w:val="15"/>
    <w:autoRedefine/>
    <w:qFormat/>
    <w:uiPriority w:val="0"/>
    <w:rPr>
      <w:rFonts w:ascii="楷体_GB2312" w:eastAsia="楷体_GB2312" w:cs="楷体_GB2312"/>
      <w:color w:val="000000"/>
      <w:sz w:val="21"/>
      <w:szCs w:val="21"/>
      <w:u w:val="none"/>
    </w:rPr>
  </w:style>
  <w:style w:type="character" w:customStyle="1" w:styleId="41">
    <w:name w:val="font142"/>
    <w:basedOn w:val="15"/>
    <w:autoRedefine/>
    <w:qFormat/>
    <w:uiPriority w:val="0"/>
    <w:rPr>
      <w:rFonts w:hint="default" w:ascii="Calibri" w:hAnsi="Calibri" w:cs="Calibri"/>
      <w:color w:val="000000"/>
      <w:sz w:val="21"/>
      <w:szCs w:val="21"/>
      <w:u w:val="single"/>
    </w:rPr>
  </w:style>
  <w:style w:type="character" w:customStyle="1" w:styleId="42">
    <w:name w:val="font101"/>
    <w:basedOn w:val="15"/>
    <w:autoRedefine/>
    <w:qFormat/>
    <w:uiPriority w:val="0"/>
    <w:rPr>
      <w:rFonts w:hint="default" w:ascii="Calibri" w:hAnsi="Calibri" w:cs="Calibri"/>
      <w:color w:val="000000"/>
      <w:sz w:val="21"/>
      <w:szCs w:val="21"/>
      <w:u w:val="none"/>
    </w:rPr>
  </w:style>
  <w:style w:type="character" w:customStyle="1" w:styleId="43">
    <w:name w:val="font151"/>
    <w:basedOn w:val="15"/>
    <w:autoRedefine/>
    <w:qFormat/>
    <w:uiPriority w:val="0"/>
    <w:rPr>
      <w:rFonts w:hint="eastAsia" w:ascii="宋体" w:hAnsi="宋体" w:eastAsia="宋体" w:cs="宋体"/>
      <w:color w:val="FF0000"/>
      <w:sz w:val="21"/>
      <w:szCs w:val="21"/>
      <w:u w:val="none"/>
    </w:rPr>
  </w:style>
  <w:style w:type="paragraph" w:customStyle="1" w:styleId="44">
    <w:name w:val="List Paragraph"/>
    <w:basedOn w:val="1"/>
    <w:autoRedefine/>
    <w:qFormat/>
    <w:uiPriority w:val="99"/>
    <w:pPr>
      <w:widowControl/>
      <w:numPr>
        <w:ilvl w:val="0"/>
        <w:numId w:val="1"/>
      </w:numPr>
      <w:ind w:left="0" w:firstLine="0"/>
      <w:textAlignment w:val="center"/>
    </w:pPr>
  </w:style>
  <w:style w:type="character" w:customStyle="1" w:styleId="45">
    <w:name w:val="批注主题 Char"/>
    <w:basedOn w:val="26"/>
    <w:link w:val="11"/>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2729</Words>
  <Characters>2934</Characters>
  <Lines>20</Lines>
  <Paragraphs>5</Paragraphs>
  <TotalTime>4</TotalTime>
  <ScaleCrop>false</ScaleCrop>
  <LinksUpToDate>false</LinksUpToDate>
  <CharactersWithSpaces>2975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2024-04-30T12:34:00Z</dcterms:created>
  <dc:creator>u</dc:creator>
  <cp:lastModifiedBy>胡依苗</cp:lastModifiedBy>
  <cp:lastPrinted>2025-06-02T07:31:00Z</cp:lastPrinted>
  <dcterms:modified xsi:type="dcterms:W3CDTF">2025-06-11T07:39:48Z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FC0ABAA49F1F4BA2A50A42AF51F2FE9D_13</vt:lpwstr>
  </property>
  <property fmtid="{D5CDD505-2E9C-101B-9397-08002B2CF9AE}" pid="4" name="KSOTemplateDocerSaveRecord">
    <vt:lpwstr>eyJoZGlkIjoiMjNiOTkzNmZiMzlkNTQyYzM1YzAzY2U5ZDNjMmYxZTYiLCJ1c2VySWQiOiIyMzA2NzAxNzcifQ==</vt:lpwstr>
  </property>
</Properties>
</file>