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72"/>
          <w:szCs w:val="72"/>
        </w:rPr>
      </w:pPr>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LX25041</w:t>
      </w:r>
      <w:r>
        <w:rPr>
          <w:rFonts w:hint="eastAsia" w:ascii="宋体" w:hAnsi="宋体" w:cs="宋体"/>
          <w:b/>
          <w:sz w:val="72"/>
          <w:szCs w:val="72"/>
          <w:lang w:val="en-US" w:eastAsia="zh-CN"/>
        </w:rPr>
        <w:t>浙江海洋大学</w:t>
      </w:r>
      <w:r>
        <w:rPr>
          <w:rFonts w:hint="eastAsia" w:ascii="宋体" w:hAnsi="宋体" w:eastAsia="宋体" w:cs="宋体"/>
          <w:b/>
          <w:sz w:val="72"/>
          <w:szCs w:val="72"/>
        </w:rPr>
        <w:t>体育与军训教育部智能激光模拟射击系统采购项目</w:t>
      </w:r>
    </w:p>
    <w:p>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pPr>
        <w:spacing w:before="312" w:beforeLines="100" w:after="312" w:afterLines="100"/>
        <w:jc w:val="center"/>
        <w:rPr>
          <w:rFonts w:ascii="仿宋" w:hAnsi="仿宋" w:eastAsia="仿宋"/>
          <w:b/>
          <w:sz w:val="72"/>
          <w:szCs w:val="72"/>
        </w:rPr>
      </w:pPr>
    </w:p>
    <w:p>
      <w:pPr>
        <w:spacing w:before="156" w:beforeLines="50"/>
        <w:ind w:firstLine="1325"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pPr>
        <w:spacing w:before="156" w:beforeLines="50" w:line="360" w:lineRule="auto"/>
        <w:ind w:firstLine="1325" w:firstLineChars="300"/>
        <w:rPr>
          <w:rStyle w:val="19"/>
        </w:rPr>
      </w:pPr>
      <w:r>
        <w:rPr>
          <w:rFonts w:hint="eastAsia" w:ascii="宋体" w:hAnsi="宋体"/>
          <w:b/>
          <w:sz w:val="44"/>
        </w:rPr>
        <w:t>联 系 人：</w:t>
      </w:r>
      <w:r>
        <w:rPr>
          <w:rFonts w:hint="eastAsia" w:ascii="宋体"/>
          <w:b/>
          <w:color w:val="FF0000"/>
          <w:sz w:val="44"/>
          <w:u w:val="single"/>
        </w:rPr>
        <w:t>************</w:t>
      </w:r>
    </w:p>
    <w:p>
      <w:pPr>
        <w:spacing w:before="156" w:beforeLines="50"/>
        <w:ind w:firstLine="1325" w:firstLineChars="300"/>
        <w:rPr>
          <w:rFonts w:ascii="宋体"/>
          <w:b/>
          <w:sz w:val="44"/>
          <w:lang w:val="en-US" w:eastAsia="zh-CN"/>
        </w:rPr>
      </w:pPr>
      <w:r>
        <w:rPr>
          <w:rFonts w:hint="eastAsia" w:ascii="宋体"/>
          <w:b/>
          <w:sz w:val="44"/>
          <w:lang w:val="en-US" w:eastAsia="zh-CN"/>
        </w:rPr>
        <w:t>联系电话</w:t>
      </w:r>
      <w:r>
        <w:rPr>
          <w:rFonts w:hint="eastAsia" w:ascii="宋体" w:hAnsi="宋体"/>
          <w:b/>
          <w:sz w:val="44"/>
        </w:rPr>
        <w:t>：</w:t>
      </w:r>
      <w:r>
        <w:rPr>
          <w:rFonts w:hint="eastAsia" w:ascii="宋体"/>
          <w:b/>
          <w:color w:val="FF0000"/>
          <w:sz w:val="44"/>
          <w:u w:val="single"/>
        </w:rPr>
        <w:t>************</w:t>
      </w:r>
      <w:r>
        <w:rPr>
          <w:rStyle w:val="19"/>
        </w:rPr>
        <w:commentReference w:id="0"/>
      </w:r>
    </w:p>
    <w:p>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2025</w:t>
      </w:r>
      <w:r>
        <w:rPr>
          <w:rFonts w:hint="eastAsia" w:ascii="宋体"/>
          <w:b/>
          <w:color w:val="FF0000"/>
          <w:sz w:val="44"/>
          <w:u w:val="none"/>
        </w:rPr>
        <w:t>年</w:t>
      </w:r>
      <w:r>
        <w:rPr>
          <w:rFonts w:hint="eastAsia" w:ascii="宋体"/>
          <w:b/>
          <w:color w:val="FF0000"/>
          <w:sz w:val="44"/>
          <w:u w:val="single"/>
        </w:rPr>
        <w:t>**</w:t>
      </w:r>
      <w:r>
        <w:rPr>
          <w:rFonts w:hint="eastAsia" w:ascii="宋体"/>
          <w:b/>
          <w:color w:val="FF0000"/>
          <w:sz w:val="44"/>
          <w:u w:val="none"/>
        </w:rPr>
        <w:t>月</w:t>
      </w:r>
      <w:r>
        <w:rPr>
          <w:rFonts w:hint="eastAsia" w:ascii="宋体"/>
          <w:b/>
          <w:color w:val="FF0000"/>
          <w:sz w:val="44"/>
          <w:u w:val="single"/>
        </w:rPr>
        <w:t>**</w:t>
      </w:r>
      <w:r>
        <w:rPr>
          <w:rFonts w:hint="eastAsia" w:ascii="宋体"/>
          <w:b/>
          <w:color w:val="FF0000"/>
          <w:sz w:val="44"/>
          <w:u w:val="none"/>
        </w:rPr>
        <w:t>日</w:t>
      </w:r>
    </w:p>
    <w:p>
      <w:pPr>
        <w:rPr>
          <w:rFonts w:ascii="仿宋" w:hAnsi="仿宋" w:eastAsia="仿宋"/>
          <w:b/>
          <w:sz w:val="72"/>
          <w:szCs w:val="72"/>
        </w:rPr>
      </w:pPr>
    </w:p>
    <w:p>
      <w:pPr>
        <w:spacing w:before="312" w:beforeLines="100"/>
        <w:ind w:right="120"/>
        <w:jc w:val="right"/>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rPr>
          <w:rFonts w:ascii="仿宋" w:hAnsi="仿宋" w:eastAsia="仿宋"/>
          <w:b/>
          <w:sz w:val="36"/>
          <w:szCs w:val="36"/>
        </w:rPr>
      </w:pPr>
      <w:r>
        <w:rPr>
          <w:rFonts w:hint="eastAsia" w:ascii="仿宋" w:hAnsi="仿宋" w:eastAsia="仿宋"/>
          <w:b/>
          <w:sz w:val="36"/>
          <w:szCs w:val="36"/>
        </w:rPr>
        <w:br w:type="page"/>
      </w:r>
    </w:p>
    <w:p>
      <w:pPr>
        <w:pStyle w:val="24"/>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rPr>
          <w:rFonts w:hint="eastAsia"/>
          <w:lang w:val="en-US" w:eastAsia="zh-CN"/>
        </w:rPr>
        <w:t>各页</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w:t>
      </w:r>
      <w:r>
        <w:rPr>
          <w:rFonts w:hint="eastAsia"/>
          <w:lang w:val="en-US" w:eastAsia="zh-CN"/>
        </w:rPr>
        <w:t>高老师</w:t>
      </w:r>
      <w:r>
        <w:rPr>
          <w:rFonts w:ascii="微软雅黑" w:hAnsi="微软雅黑" w:eastAsia="微软雅黑" w:cs="微软雅黑"/>
          <w:i w:val="0"/>
          <w:iCs w:val="0"/>
          <w:caps w:val="0"/>
          <w:spacing w:val="0"/>
          <w:sz w:val="21"/>
          <w:szCs w:val="21"/>
          <w:shd w:val="clear" w:fill="FFFFFF"/>
        </w:rPr>
        <w:t>15858052711</w:t>
      </w:r>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w:t>
      </w:r>
      <w:r>
        <w:t>180378</w:t>
      </w:r>
      <w:r>
        <w:rPr>
          <w:rFonts w:hint="eastAsia"/>
        </w:rPr>
        <w:t>；邮箱：627195050@qq.com；地址：浙江舟山市定海区临城街道海大南路1号。</w:t>
      </w:r>
    </w:p>
    <w:p>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5" name="组合 5"/>
                <wp:cNvGraphicFramePr/>
                <a:graphic xmlns:a="http://schemas.openxmlformats.org/drawingml/2006/main">
                  <a:graphicData uri="http://schemas.microsoft.com/office/word/2010/wordprocessingGroup">
                    <wpg:wgp>
                      <wpg:cNvGrpSpPr/>
                      <wpg:grpSpPr>
                        <a:xfrm rot="0">
                          <a:off x="0" y="0"/>
                          <a:ext cx="5850889" cy="1564638"/>
                          <a:chOff x="0" y="0"/>
                          <a:chExt cx="5850889" cy="1564638"/>
                        </a:xfrm>
                        <a:solidFill>
                          <a:srgbClr val="FFFFFF"/>
                        </a:solidFill>
                      </wpg:grpSpPr>
                      <wps:wsp>
                        <wps:cNvPr id="2" name="文本框 1 2 2"/>
                        <wps:cNvSpPr/>
                        <wps:spPr>
                          <a:xfrm>
                            <a:off x="0" y="304354"/>
                            <a:ext cx="5850256" cy="1260285"/>
                          </a:xfrm>
                          <a:prstGeom prst="rect">
                            <a:avLst/>
                          </a:prstGeom>
                          <a:noFill/>
                          <a:ln w="28575" cap="flat" cmpd="sng">
                            <a:solidFill>
                              <a:srgbClr val="000000"/>
                            </a:solidFill>
                            <a:prstDash val="solid"/>
                            <a:round/>
                          </a:ln>
                        </wps:spPr>
                        <wps:txbx>
                          <w:txbxContent>
                            <w:p>
                              <w:pPr>
                                <w:pStyle w:val="8"/>
                                <w:numPr>
                                  <w:ilvl w:val="0"/>
                                  <w:numId w:val="3"/>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rPr>
                                  <w:rFonts w:hint="eastAsia"/>
                                  <w:lang w:val="en-US" w:eastAsia="zh-CN"/>
                                </w:rPr>
                                <w:fldChar w:fldCharType="begin"/>
                              </w:r>
                              <w:r>
                                <w:instrText xml:space="preserve">HYPERLINK "http://www.zcygov.cn）供应商。"</w:instrText>
                              </w:r>
                              <w:r>
                                <w:rPr>
                                  <w:rFonts w:hint="eastAsia"/>
                                  <w:lang w:val="en-US" w:eastAsia="zh-CN"/>
                                </w:rPr>
                                <w:fldChar w:fldCharType="separate"/>
                              </w:r>
                              <w:r>
                                <w:rPr>
                                  <w:rFonts w:hint="eastAsia"/>
                                  <w:lang w:val="en-US" w:eastAsia="zh-CN"/>
                                </w:rPr>
                                <w:t>网址</w:t>
                              </w:r>
                              <w:r>
                                <w:rPr>
                                  <w:rStyle w:val="18"/>
                                  <w:rFonts w:hint="eastAsia" w:ascii="Times New Roman" w:hAnsi="Times New Roman" w:eastAsia="宋体" w:cs="Times New Roman"/>
                                  <w:b/>
                                  <w:bCs/>
                                  <w:color w:val="auto"/>
                                  <w:u w:val="none"/>
                                  <w:lang w:val="en-US" w:eastAsia="zh-CN"/>
                                </w:rPr>
                                <w:t>www.zcygov.cn</w:t>
                              </w:r>
                              <w:r>
                                <w:rPr>
                                  <w:rStyle w:val="18"/>
                                  <w:rFonts w:hint="eastAsia" w:ascii="Times New Roman" w:hAnsi="Times New Roman" w:eastAsia="宋体" w:cs="Times New Roman"/>
                                  <w:b w:val="0"/>
                                  <w:bCs w:val="0"/>
                                  <w:color w:val="auto"/>
                                  <w:u w:val="none"/>
                                  <w:lang w:val="en-US" w:eastAsia="zh-CN"/>
                                </w:rPr>
                                <w:t>注册或</w:t>
                              </w:r>
                              <w:r>
                                <w:rPr>
                                  <w:rFonts w:hint="eastAsia"/>
                                  <w:lang w:val="en-US" w:eastAsia="zh-CN"/>
                                </w:rPr>
                                <w:fldChar w:fldCharType="end"/>
                              </w:r>
                              <w:r>
                                <w:rPr>
                                  <w:rStyle w:val="18"/>
                                  <w:rFonts w:hint="eastAsia" w:ascii="Times New Roman" w:hAnsi="Times New Roman" w:eastAsia="宋体" w:cs="Times New Roman"/>
                                  <w:b w:val="0"/>
                                  <w:bCs w:val="0"/>
                                  <w:color w:val="auto"/>
                                  <w:u w:val="none"/>
                                  <w:lang w:val="en-US" w:eastAsia="zh-CN"/>
                                </w:rPr>
                                <w:t>通</w:t>
                              </w:r>
                              <w:r>
                                <w:rPr>
                                  <w:rStyle w:val="18"/>
                                  <w:rFonts w:hint="eastAsia"/>
                                  <w:b w:val="0"/>
                                  <w:bCs w:val="0"/>
                                  <w:color w:val="auto"/>
                                  <w:u w:val="none"/>
                                  <w:lang w:val="en-US" w:eastAsia="zh-CN"/>
                                </w:rPr>
                                <w:t>过</w:t>
                              </w:r>
                              <w:r>
                                <w:rPr>
                                  <w:rStyle w:val="18"/>
                                  <w:rFonts w:hint="eastAsia"/>
                                  <w:b/>
                                  <w:bCs/>
                                  <w:color w:val="auto"/>
                                  <w:u w:val="none"/>
                                  <w:lang w:val="en-US" w:eastAsia="zh-CN"/>
                                </w:rPr>
                                <w:t>浙江政府采购网（https://zfcg.czt.zj.gov.cn/）</w:t>
                              </w:r>
                              <w:r>
                                <w:rPr>
                                  <w:rStyle w:val="18"/>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8"/>
                                <w:numPr>
                                  <w:ilvl w:val="0"/>
                                  <w:numId w:val="3"/>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8"/>
                                <w:numPr>
                                  <w:ilvl w:val="0"/>
                                  <w:numId w:val="3"/>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vert="horz" wrap="square" lIns="91440" tIns="45720" rIns="91440" bIns="45720" anchor="t" anchorCtr="0" upright="0">
                          <a:noAutofit/>
                        </wps:bodyPr>
                      </wps:wsp>
                      <wps:wsp>
                        <wps:cNvPr id="4" name="文本框 2 4 4"/>
                        <wps:cNvSpPr/>
                        <wps:spPr>
                          <a:xfrm>
                            <a:off x="1904" y="0"/>
                            <a:ext cx="5848984" cy="302516"/>
                          </a:xfrm>
                          <a:prstGeom prst="rect">
                            <a:avLst/>
                          </a:prstGeom>
                          <a:noFill/>
                          <a:ln w="28575" cap="flat" cmpd="sng">
                            <a:solidFill>
                              <a:srgbClr val="000000"/>
                            </a:solidFill>
                            <a:prstDash val="solid"/>
                            <a:round/>
                          </a:ln>
                        </wps:spPr>
                        <wps:txb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vert="horz" wrap="square" lIns="91440" tIns="45720" rIns="91440" bIns="45720" anchor="t" anchorCtr="0" upright="0">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size="5850889,1564638"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bhaCA2QAAAAkBAAAPAAAAAAAAAAEAIAAAACIAAABkcnMvZG93bnJldi54bWxQSwEC&#10;FAAUAAAACACHTuJAp1XMNtcCAAACCAAADgAAAAAAAAABACAAAAAoAQAAZHJzL2Uyb0RvYy54bWxQ&#10;SwUGAAAAAAYABgBZAQAAcQYAAAAA&#10;">
                <o:lock v:ext="edit" aspectratio="f"/>
                <v:rect id="文本框 1 2 2" o:spid="_x0000_s1026" o:spt="1" style="position:absolute;left:0;top:304354;height:1260285;width:5850256;" filled="f" stroked="t" coordsize="21600,21600" o:gfxdata="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02LV74A&#10;AADa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textbox>
                    <w:txbxContent>
                      <w:p>
                        <w:pPr>
                          <w:pStyle w:val="8"/>
                          <w:numPr>
                            <w:ilvl w:val="0"/>
                            <w:numId w:val="3"/>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rPr>
                            <w:rFonts w:hint="eastAsia"/>
                            <w:lang w:val="en-US" w:eastAsia="zh-CN"/>
                          </w:rPr>
                          <w:fldChar w:fldCharType="begin"/>
                        </w:r>
                        <w:r>
                          <w:instrText xml:space="preserve">HYPERLINK "http://www.zcygov.cn）供应商。"</w:instrText>
                        </w:r>
                        <w:r>
                          <w:rPr>
                            <w:rFonts w:hint="eastAsia"/>
                            <w:lang w:val="en-US" w:eastAsia="zh-CN"/>
                          </w:rPr>
                          <w:fldChar w:fldCharType="separate"/>
                        </w:r>
                        <w:r>
                          <w:rPr>
                            <w:rFonts w:hint="eastAsia"/>
                            <w:lang w:val="en-US" w:eastAsia="zh-CN"/>
                          </w:rPr>
                          <w:t>网址</w:t>
                        </w:r>
                        <w:r>
                          <w:rPr>
                            <w:rStyle w:val="18"/>
                            <w:rFonts w:hint="eastAsia" w:ascii="Times New Roman" w:hAnsi="Times New Roman" w:eastAsia="宋体" w:cs="Times New Roman"/>
                            <w:b/>
                            <w:bCs/>
                            <w:color w:val="auto"/>
                            <w:u w:val="none"/>
                            <w:lang w:val="en-US" w:eastAsia="zh-CN"/>
                          </w:rPr>
                          <w:t>www.zcygov.cn</w:t>
                        </w:r>
                        <w:r>
                          <w:rPr>
                            <w:rStyle w:val="18"/>
                            <w:rFonts w:hint="eastAsia" w:ascii="Times New Roman" w:hAnsi="Times New Roman" w:eastAsia="宋体" w:cs="Times New Roman"/>
                            <w:b w:val="0"/>
                            <w:bCs w:val="0"/>
                            <w:color w:val="auto"/>
                            <w:u w:val="none"/>
                            <w:lang w:val="en-US" w:eastAsia="zh-CN"/>
                          </w:rPr>
                          <w:t>注册或</w:t>
                        </w:r>
                        <w:r>
                          <w:rPr>
                            <w:rFonts w:hint="eastAsia"/>
                            <w:lang w:val="en-US" w:eastAsia="zh-CN"/>
                          </w:rPr>
                          <w:fldChar w:fldCharType="end"/>
                        </w:r>
                        <w:r>
                          <w:rPr>
                            <w:rStyle w:val="18"/>
                            <w:rFonts w:hint="eastAsia" w:ascii="Times New Roman" w:hAnsi="Times New Roman" w:eastAsia="宋体" w:cs="Times New Roman"/>
                            <w:b w:val="0"/>
                            <w:bCs w:val="0"/>
                            <w:color w:val="auto"/>
                            <w:u w:val="none"/>
                            <w:lang w:val="en-US" w:eastAsia="zh-CN"/>
                          </w:rPr>
                          <w:t>通</w:t>
                        </w:r>
                        <w:r>
                          <w:rPr>
                            <w:rStyle w:val="18"/>
                            <w:rFonts w:hint="eastAsia"/>
                            <w:b w:val="0"/>
                            <w:bCs w:val="0"/>
                            <w:color w:val="auto"/>
                            <w:u w:val="none"/>
                            <w:lang w:val="en-US" w:eastAsia="zh-CN"/>
                          </w:rPr>
                          <w:t>过</w:t>
                        </w:r>
                        <w:r>
                          <w:rPr>
                            <w:rStyle w:val="18"/>
                            <w:rFonts w:hint="eastAsia"/>
                            <w:b/>
                            <w:bCs/>
                            <w:color w:val="auto"/>
                            <w:u w:val="none"/>
                            <w:lang w:val="en-US" w:eastAsia="zh-CN"/>
                          </w:rPr>
                          <w:t>浙江政府采购网（https://zfcg.czt.zj.gov.cn/）</w:t>
                        </w:r>
                        <w:r>
                          <w:rPr>
                            <w:rStyle w:val="18"/>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8"/>
                          <w:numPr>
                            <w:ilvl w:val="0"/>
                            <w:numId w:val="3"/>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8"/>
                          <w:numPr>
                            <w:ilvl w:val="0"/>
                            <w:numId w:val="3"/>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rect>
                <v:rect id="文本框 2 4 4" o:spid="_x0000_s1026" o:spt="1" style="position:absolute;left:1904;top:0;height:302516;width:5848984;" filled="f" stroked="t" coordsize="21600,21600" o:gfxdata="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i2uL4A&#10;AADa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textbo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rect>
              </v:group>
            </w:pict>
          </mc:Fallback>
        </mc:AlternateContent>
      </w:r>
    </w:p>
    <w:p>
      <w:pPr>
        <w:rPr>
          <w:rFonts w:ascii="仿宋" w:hAnsi="仿宋" w:eastAsia="仿宋"/>
          <w:b/>
          <w:sz w:val="28"/>
          <w:szCs w:val="28"/>
        </w:rPr>
      </w:pPr>
      <w:r>
        <w:rPr>
          <w:rFonts w:hint="eastAsia" w:ascii="仿宋" w:hAnsi="仿宋" w:eastAsia="仿宋"/>
          <w:b/>
          <w:sz w:val="28"/>
          <w:szCs w:val="28"/>
        </w:rPr>
        <w:br w:type="page"/>
      </w:r>
    </w:p>
    <w:p>
      <w:pPr>
        <w:pStyle w:val="24"/>
        <w:numPr>
          <w:ilvl w:val="0"/>
          <w:numId w:val="4"/>
        </w:numPr>
        <w:spacing w:before="156" w:beforeLines="50"/>
        <w:ind w:left="601" w:hanging="601"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商品（服务）类型和报价</w:t>
      </w:r>
    </w:p>
    <w:tbl>
      <w:tblPr>
        <w:tblStyle w:val="15"/>
        <w:tblW w:w="93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203"/>
        <w:gridCol w:w="2280"/>
        <w:gridCol w:w="1365"/>
        <w:gridCol w:w="1275"/>
        <w:gridCol w:w="1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75" w:hRule="atLeast"/>
          <w:tblHeader/>
          <w:jc w:val="center"/>
        </w:trPr>
        <w:tc>
          <w:tcPr>
            <w:tcW w:w="956"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2203"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2280" w:type="dxa"/>
            <w:tcBorders>
              <w:tl2br w:val="nil"/>
              <w:tr2bl w:val="nil"/>
            </w:tcBorders>
            <w:vAlign w:val="center"/>
          </w:tcPr>
          <w:p>
            <w:pPr>
              <w:jc w:val="center"/>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rPr>
              <w:t>商品品牌</w:t>
            </w:r>
            <w:r>
              <w:rPr>
                <w:rFonts w:hint="eastAsia" w:ascii="仿宋" w:hAnsi="仿宋" w:eastAsia="仿宋" w:cs="仿宋"/>
                <w:b/>
                <w:bCs/>
                <w:kern w:val="0"/>
                <w:sz w:val="24"/>
                <w:szCs w:val="24"/>
                <w:lang w:val="en-US" w:eastAsia="zh-CN"/>
              </w:rPr>
              <w:t>及型号</w:t>
            </w:r>
          </w:p>
        </w:tc>
        <w:tc>
          <w:tcPr>
            <w:tcW w:w="1365"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数量/单位</w:t>
            </w:r>
          </w:p>
        </w:tc>
        <w:tc>
          <w:tcPr>
            <w:tcW w:w="1275"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单价（元）</w:t>
            </w:r>
          </w:p>
        </w:tc>
        <w:tc>
          <w:tcPr>
            <w:tcW w:w="1250"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632" w:hRule="atLeast"/>
          <w:jc w:val="center"/>
        </w:trPr>
        <w:tc>
          <w:tcPr>
            <w:tcW w:w="956"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w:t>
            </w:r>
          </w:p>
        </w:tc>
        <w:tc>
          <w:tcPr>
            <w:tcW w:w="2203" w:type="dxa"/>
            <w:tcBorders>
              <w:tl2br w:val="nil"/>
              <w:tr2bl w:val="nil"/>
            </w:tcBorders>
            <w:vAlign w:val="center"/>
          </w:tcPr>
          <w:p>
            <w:pPr>
              <w:jc w:val="left"/>
              <w:rPr>
                <w:rFonts w:ascii="Times New Roman" w:hAnsi="Times New Roman" w:eastAsia="宋体" w:cs="Times New Roman"/>
                <w:kern w:val="0"/>
                <w:szCs w:val="21"/>
              </w:rPr>
            </w:pPr>
            <w:r>
              <w:rPr>
                <w:rFonts w:hint="eastAsia"/>
              </w:rPr>
              <w:t>智能轻武器激光模拟射击训练系统</w:t>
            </w:r>
          </w:p>
        </w:tc>
        <w:tc>
          <w:tcPr>
            <w:tcW w:w="2280" w:type="dxa"/>
            <w:tcBorders>
              <w:tl2br w:val="nil"/>
              <w:tr2bl w:val="nil"/>
            </w:tcBorders>
            <w:vAlign w:val="center"/>
          </w:tcPr>
          <w:p>
            <w:pPr>
              <w:jc w:val="center"/>
              <w:rPr>
                <w:rFonts w:ascii="Times New Roman" w:hAnsi="Times New Roman" w:eastAsia="宋体" w:cs="Times New Roman"/>
                <w:kern w:val="0"/>
                <w:szCs w:val="21"/>
              </w:rPr>
            </w:pPr>
          </w:p>
        </w:tc>
        <w:tc>
          <w:tcPr>
            <w:tcW w:w="1365" w:type="dxa"/>
            <w:tcBorders>
              <w:tl2br w:val="nil"/>
              <w:tr2bl w:val="nil"/>
            </w:tcBorders>
            <w:vAlign w:val="center"/>
          </w:tcPr>
          <w:p>
            <w:pPr>
              <w:jc w:val="center"/>
              <w:rPr>
                <w:rFonts w:hint="eastAsia" w:ascii="Times New Roman" w:hAnsi="Times New Roman" w:eastAsia="宋体" w:cs="Times New Roman"/>
                <w:kern w:val="0"/>
                <w:szCs w:val="21"/>
                <w:lang w:eastAsia="zh-CN"/>
              </w:rPr>
            </w:pPr>
            <w:r>
              <w:rPr>
                <w:rFonts w:hint="eastAsia"/>
                <w:lang w:val="en-US" w:eastAsia="zh-CN"/>
              </w:rPr>
              <w:t>4</w:t>
            </w:r>
            <w:r>
              <w:rPr>
                <w:rFonts w:hint="eastAsia"/>
              </w:rPr>
              <w:t>/</w:t>
            </w:r>
            <w:r>
              <w:rPr>
                <w:rFonts w:hint="eastAsia"/>
                <w:lang w:val="en-US" w:eastAsia="zh-CN"/>
              </w:rPr>
              <w:t>套</w:t>
            </w:r>
          </w:p>
        </w:tc>
        <w:tc>
          <w:tcPr>
            <w:tcW w:w="1275" w:type="dxa"/>
            <w:tcBorders>
              <w:tl2br w:val="nil"/>
              <w:tr2bl w:val="nil"/>
            </w:tcBorders>
            <w:vAlign w:val="center"/>
          </w:tcPr>
          <w:p>
            <w:pPr>
              <w:jc w:val="center"/>
              <w:rPr>
                <w:rFonts w:ascii="Times New Roman" w:hAnsi="Times New Roman" w:eastAsia="宋体" w:cs="Times New Roman"/>
                <w:kern w:val="0"/>
                <w:sz w:val="20"/>
                <w:szCs w:val="21"/>
              </w:rPr>
            </w:pPr>
          </w:p>
        </w:tc>
        <w:tc>
          <w:tcPr>
            <w:tcW w:w="1250"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329" w:type="dxa"/>
            <w:gridSpan w:val="6"/>
            <w:tcBorders>
              <w:tl2br w:val="nil"/>
              <w:tr2bl w:val="nil"/>
            </w:tcBorders>
            <w:vAlign w:val="bottom"/>
          </w:tcPr>
          <w:p>
            <w:pPr>
              <w:pStyle w:val="9"/>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合计总价：小写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元，大写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圆整。</w:t>
            </w:r>
          </w:p>
        </w:tc>
      </w:tr>
    </w:tbl>
    <w:p>
      <w:pPr>
        <w:pStyle w:val="24"/>
        <w:numPr>
          <w:ilvl w:val="0"/>
          <w:numId w:val="4"/>
        </w:numPr>
        <w:spacing w:before="156" w:beforeLines="50"/>
        <w:ind w:left="0" w:firstLine="0" w:firstLineChars="0"/>
        <w:rPr>
          <w:rFonts w:ascii="仿宋" w:hAnsi="仿宋" w:eastAsia="仿宋"/>
          <w:b/>
          <w:sz w:val="28"/>
          <w:szCs w:val="28"/>
        </w:rPr>
      </w:pPr>
      <w:r>
        <w:rPr>
          <w:rFonts w:hint="eastAsia" w:ascii="仿宋" w:hAnsi="仿宋" w:eastAsia="仿宋"/>
          <w:b/>
          <w:sz w:val="28"/>
          <w:szCs w:val="28"/>
        </w:rPr>
        <w:t>技术参数要求</w:t>
      </w:r>
    </w:p>
    <w:tbl>
      <w:tblPr>
        <w:tblStyle w:val="15"/>
        <w:tblW w:w="92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450"/>
        <w:gridCol w:w="6345"/>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jc w:val="center"/>
        </w:trPr>
        <w:tc>
          <w:tcPr>
            <w:tcW w:w="1158"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6795" w:type="dxa"/>
            <w:gridSpan w:val="2"/>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技术要求</w:t>
            </w:r>
          </w:p>
        </w:tc>
        <w:tc>
          <w:tcPr>
            <w:tcW w:w="1275" w:type="dxa"/>
            <w:tcBorders>
              <w:tl2br w:val="nil"/>
              <w:tr2bl w:val="nil"/>
            </w:tcBorders>
            <w:vAlign w:val="center"/>
          </w:tcPr>
          <w:p>
            <w:pPr>
              <w:spacing w:line="240" w:lineRule="exact"/>
              <w:jc w:val="center"/>
              <w:rPr>
                <w:rFonts w:hint="eastAsia" w:ascii="仿宋" w:hAnsi="仿宋" w:eastAsia="仿宋" w:cs="仿宋"/>
                <w:b/>
                <w:bCs/>
                <w:color w:val="FF0000"/>
                <w:kern w:val="0"/>
                <w:sz w:val="24"/>
                <w:szCs w:val="24"/>
              </w:rPr>
            </w:pPr>
            <w:r>
              <w:rPr>
                <w:rFonts w:hint="eastAsia" w:ascii="仿宋" w:hAnsi="仿宋" w:eastAsia="仿宋" w:cs="仿宋"/>
                <w:b/>
                <w:bCs/>
                <w:color w:val="000000" w:themeColor="text1"/>
                <w:kern w:val="0"/>
                <w:sz w:val="24"/>
                <w:szCs w:val="24"/>
                <w14:textFill>
                  <w14:solidFill>
                    <w14:schemeClr w14:val="tx1"/>
                  </w14:solidFill>
                </w14:textFill>
              </w:rPr>
              <w:t>供方响应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Merge w:val="restart"/>
            <w:tcBorders>
              <w:tl2br w:val="nil"/>
              <w:tr2bl w:val="nil"/>
            </w:tcBorders>
            <w:vAlign w:val="center"/>
          </w:tcPr>
          <w:p>
            <w:pPr>
              <w:jc w:val="both"/>
              <w:rPr>
                <w:rFonts w:hint="eastAsia" w:ascii="宋体" w:hAnsi="宋体" w:eastAsia="宋体" w:cs="宋体"/>
                <w:kern w:val="0"/>
                <w:sz w:val="21"/>
                <w:szCs w:val="21"/>
              </w:rPr>
            </w:pPr>
            <w:r>
              <w:rPr>
                <w:rFonts w:hint="eastAsia" w:ascii="宋体" w:hAnsi="宋体" w:eastAsia="宋体" w:cs="宋体"/>
                <w:sz w:val="21"/>
                <w:szCs w:val="21"/>
              </w:rPr>
              <w:t>智能轻武器激光模拟射击训练系统</w:t>
            </w:r>
          </w:p>
        </w:tc>
        <w:tc>
          <w:tcPr>
            <w:tcW w:w="6795" w:type="dxa"/>
            <w:gridSpan w:val="2"/>
            <w:tcBorders>
              <w:tl2br w:val="nil"/>
              <w:tr2bl w:val="nil"/>
            </w:tcBorders>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1.商品组成：每套胸环靶（含支架）1个、仿95式自动步枪激光模拟训练电动教具1个、仿92式手枪激光模拟训练电动教具1个、智能显示终端（校园版）1个、遥控器1个、卧姿棉垫5个、瞄准靶台5个、靶台沙袋5个、维修说明器材1套、手提箱1个。</w:t>
            </w:r>
          </w:p>
        </w:tc>
        <w:tc>
          <w:tcPr>
            <w:tcW w:w="1275" w:type="dxa"/>
            <w:tcBorders>
              <w:tl2br w:val="nil"/>
              <w:tr2bl w:val="nil"/>
            </w:tcBorders>
            <w:vAlign w:val="center"/>
          </w:tcPr>
          <w:p>
            <w:pPr>
              <w:jc w:val="both"/>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Merge w:val="continue"/>
            <w:tcBorders>
              <w:tl2br w:val="nil"/>
              <w:tr2bl w:val="nil"/>
            </w:tcBorders>
            <w:vAlign w:val="center"/>
          </w:tcPr>
          <w:p>
            <w:pPr>
              <w:rPr>
                <w:rFonts w:hint="eastAsia" w:ascii="宋体" w:hAnsi="宋体" w:eastAsia="宋体" w:cs="宋体"/>
                <w:sz w:val="21"/>
                <w:szCs w:val="21"/>
              </w:rPr>
            </w:pPr>
          </w:p>
        </w:tc>
        <w:tc>
          <w:tcPr>
            <w:tcW w:w="450" w:type="dxa"/>
            <w:vMerge w:val="restart"/>
            <w:tcBorders>
              <w:tl2br w:val="nil"/>
              <w:tr2bl w:val="nil"/>
            </w:tcBorders>
            <w:vAlign w:val="center"/>
          </w:tcPr>
          <w:p>
            <w:pPr>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2.技术参数</w:t>
            </w:r>
          </w:p>
        </w:tc>
        <w:tc>
          <w:tcPr>
            <w:tcW w:w="6345" w:type="dxa"/>
            <w:tcBorders>
              <w:tl2br w:val="nil"/>
              <w:tr2bl w:val="nil"/>
            </w:tcBorders>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(1)胸环靶（含支架）</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用于接收电动教具发射的激光子弹信号，并回传弹着点信息，接收远程夜训指令，开启或关闭夜训灯。可用于夜间训练。</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靶面校枪区可配合激光完成校准。</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接收器数：≥200个；环数：5-10.9环；尺寸：500mm*500mm 。</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无线通讯距离：≥400米；电源：3.7V/2200mAh，18650电池一节或DC 5V（含对应的电池充电器以及电源线）。</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工作时间：≥10h；；工作温度：-20℃～+50℃。</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防水等级：IPX4。</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可手动设置靶位号（1-48号）。</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靶位号实时查看。</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靶位架可自由升降，最高不低于1.8米。</w:t>
            </w:r>
          </w:p>
        </w:tc>
        <w:tc>
          <w:tcPr>
            <w:tcW w:w="1275" w:type="dxa"/>
            <w:tcBorders>
              <w:tl2br w:val="nil"/>
              <w:tr2bl w:val="nil"/>
            </w:tcBorders>
            <w:vAlign w:val="center"/>
          </w:tcPr>
          <w:p>
            <w:pPr>
              <w:jc w:val="both"/>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Merge w:val="continue"/>
            <w:tcBorders>
              <w:tl2br w:val="nil"/>
              <w:tr2bl w:val="nil"/>
            </w:tcBorders>
            <w:vAlign w:val="center"/>
          </w:tcPr>
          <w:p>
            <w:pPr>
              <w:rPr>
                <w:rFonts w:hint="eastAsia" w:ascii="宋体" w:hAnsi="宋体" w:eastAsia="宋体" w:cs="宋体"/>
                <w:sz w:val="21"/>
                <w:szCs w:val="21"/>
              </w:rPr>
            </w:pPr>
          </w:p>
        </w:tc>
        <w:tc>
          <w:tcPr>
            <w:tcW w:w="450" w:type="dxa"/>
            <w:vMerge w:val="continue"/>
            <w:tcBorders>
              <w:tl2br w:val="nil"/>
              <w:tr2bl w:val="nil"/>
            </w:tcBorders>
          </w:tcPr>
          <w:p>
            <w:pPr>
              <w:jc w:val="left"/>
              <w:rPr>
                <w:rFonts w:hint="eastAsia" w:ascii="宋体" w:hAnsi="宋体" w:eastAsia="宋体" w:cs="宋体"/>
                <w:kern w:val="0"/>
                <w:sz w:val="21"/>
                <w:szCs w:val="21"/>
              </w:rPr>
            </w:pPr>
          </w:p>
        </w:tc>
        <w:tc>
          <w:tcPr>
            <w:tcW w:w="6345" w:type="dxa"/>
            <w:tcBorders>
              <w:tl2br w:val="nil"/>
              <w:tr2bl w:val="nil"/>
            </w:tcBorders>
          </w:tcPr>
          <w:p>
            <w:pPr>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(2)仿95式自动步枪激光模拟训练电动教具 </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仿95式自动步枪电动教具重量及外形结构与95式自动步枪相通。为双激光，可见激光用于辅助瞄准，模拟火光和弹着点，红外激光用于射击，可满足复杂气候条件下应用。</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工作模式有报靶（训练模式、考核模式、轨迹模式）和对抗（训练模式、演习模式）。</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电动模拟后坐力和声响。</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具有保险、单发、连发射击功能，连发射速：500-600发/分钟。</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精度射击系统和模拟对抗系统通用。</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具有显示激发次数，查询训练强度。</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具有独立编号，可身份识别。</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可见光激光波段：515±15nm，功率：＜7mw。</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不可见激光波段：940±10nm，功率：可根据周围环境调节激光档位共6档2-40mw。</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射程：20-400米。</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电源：24v/2500mAh锂电池（含对应的电池充电器）。</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待机时长：≥72小时。</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满电最大射击量≥8000发。</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工作温度：-10℃～+50℃。</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长度尺寸：730mm(加膛口)。</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净重：3.4kg±50g(加膛口)。</w:t>
            </w:r>
          </w:p>
        </w:tc>
        <w:tc>
          <w:tcPr>
            <w:tcW w:w="1275" w:type="dxa"/>
            <w:tcBorders>
              <w:tl2br w:val="nil"/>
              <w:tr2bl w:val="nil"/>
            </w:tcBorders>
            <w:vAlign w:val="center"/>
          </w:tcPr>
          <w:p>
            <w:pPr>
              <w:jc w:val="both"/>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Merge w:val="continue"/>
            <w:tcBorders>
              <w:tl2br w:val="nil"/>
              <w:tr2bl w:val="nil"/>
            </w:tcBorders>
            <w:vAlign w:val="center"/>
          </w:tcPr>
          <w:p>
            <w:pPr>
              <w:rPr>
                <w:rFonts w:hint="eastAsia" w:ascii="宋体" w:hAnsi="宋体" w:eastAsia="宋体" w:cs="宋体"/>
                <w:sz w:val="21"/>
                <w:szCs w:val="21"/>
              </w:rPr>
            </w:pPr>
          </w:p>
        </w:tc>
        <w:tc>
          <w:tcPr>
            <w:tcW w:w="450" w:type="dxa"/>
            <w:vMerge w:val="continue"/>
            <w:tcBorders>
              <w:tl2br w:val="nil"/>
              <w:tr2bl w:val="nil"/>
            </w:tcBorders>
          </w:tcPr>
          <w:p>
            <w:pPr>
              <w:jc w:val="left"/>
              <w:rPr>
                <w:rFonts w:hint="eastAsia" w:ascii="宋体" w:hAnsi="宋体" w:eastAsia="宋体" w:cs="宋体"/>
                <w:kern w:val="0"/>
                <w:sz w:val="21"/>
                <w:szCs w:val="21"/>
              </w:rPr>
            </w:pPr>
          </w:p>
        </w:tc>
        <w:tc>
          <w:tcPr>
            <w:tcW w:w="6345" w:type="dxa"/>
            <w:tcBorders>
              <w:tl2br w:val="nil"/>
              <w:tr2bl w:val="nil"/>
            </w:tcBorders>
          </w:tcPr>
          <w:p>
            <w:pPr>
              <w:jc w:val="left"/>
              <w:rPr>
                <w:rFonts w:hint="eastAsia" w:ascii="宋体" w:hAnsi="宋体" w:eastAsia="宋体" w:cs="宋体"/>
                <w:kern w:val="0"/>
                <w:sz w:val="21"/>
                <w:szCs w:val="21"/>
              </w:rPr>
            </w:pPr>
            <w:r>
              <w:rPr>
                <w:rFonts w:hint="eastAsia" w:ascii="宋体" w:hAnsi="宋体" w:eastAsia="宋体" w:cs="宋体"/>
                <w:kern w:val="0"/>
                <w:sz w:val="21"/>
                <w:szCs w:val="21"/>
              </w:rPr>
              <w:t>(3)仿92式手枪激光模拟训练电动教具</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仿92式手枪电子教具采用全金属枪身，重量及外形结构与92手枪相通。具有红外激光打靶和外挂可见激光辅助瞄准功能。其内置模拟套筒循环动作结构，可带来仿真后座感。</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工作模式有报靶（训练模式、考核模式和轨迹模式）和对抗（训练模式、演习模式）。</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电动模拟后坐力和声响。</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具有独立编号，可身份识别。</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可选配绿激光，模拟射击火光。</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可见光激光波段：515±15nm，功率：4mw±20% 。</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不可见激光波段：940±10nm，功率：10.5mW±20% 。</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射程：≥50米。</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电源：12v/500mAh锂电池（含对应的电池充电器）。</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待机时长：≥24小时。</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满电最大射击量≥1800发。</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工作温度：-10℃～+50℃。</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长度尺寸：190±10mm×143±10mm×36±10mm。</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净重：535±5g。</w:t>
            </w:r>
          </w:p>
        </w:tc>
        <w:tc>
          <w:tcPr>
            <w:tcW w:w="1275" w:type="dxa"/>
            <w:tcBorders>
              <w:tl2br w:val="nil"/>
              <w:tr2bl w:val="nil"/>
            </w:tcBorders>
            <w:vAlign w:val="center"/>
          </w:tcPr>
          <w:p>
            <w:pPr>
              <w:jc w:val="both"/>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Merge w:val="continue"/>
            <w:tcBorders>
              <w:tl2br w:val="nil"/>
              <w:tr2bl w:val="nil"/>
            </w:tcBorders>
            <w:vAlign w:val="center"/>
          </w:tcPr>
          <w:p>
            <w:pPr>
              <w:rPr>
                <w:rFonts w:hint="eastAsia" w:ascii="宋体" w:hAnsi="宋体" w:eastAsia="宋体" w:cs="宋体"/>
                <w:sz w:val="21"/>
                <w:szCs w:val="21"/>
              </w:rPr>
            </w:pPr>
          </w:p>
        </w:tc>
        <w:tc>
          <w:tcPr>
            <w:tcW w:w="450" w:type="dxa"/>
            <w:vMerge w:val="continue"/>
            <w:tcBorders>
              <w:tl2br w:val="nil"/>
              <w:tr2bl w:val="nil"/>
            </w:tcBorders>
          </w:tcPr>
          <w:p>
            <w:pPr>
              <w:jc w:val="left"/>
              <w:rPr>
                <w:rFonts w:hint="eastAsia" w:ascii="宋体" w:hAnsi="宋体" w:eastAsia="宋体" w:cs="宋体"/>
                <w:kern w:val="0"/>
                <w:sz w:val="21"/>
                <w:szCs w:val="21"/>
              </w:rPr>
            </w:pPr>
          </w:p>
        </w:tc>
        <w:tc>
          <w:tcPr>
            <w:tcW w:w="6345" w:type="dxa"/>
            <w:tcBorders>
              <w:tl2br w:val="nil"/>
              <w:tr2bl w:val="nil"/>
            </w:tcBorders>
          </w:tcPr>
          <w:p>
            <w:pPr>
              <w:jc w:val="left"/>
              <w:rPr>
                <w:rFonts w:hint="eastAsia" w:ascii="宋体" w:hAnsi="宋体" w:eastAsia="宋体" w:cs="宋体"/>
                <w:kern w:val="0"/>
                <w:sz w:val="21"/>
                <w:szCs w:val="21"/>
              </w:rPr>
            </w:pPr>
            <w:r>
              <w:rPr>
                <w:rFonts w:hint="eastAsia" w:ascii="宋体" w:hAnsi="宋体" w:eastAsia="宋体" w:cs="宋体"/>
                <w:kern w:val="0"/>
                <w:sz w:val="21"/>
                <w:szCs w:val="21"/>
              </w:rPr>
              <w:t>(4)智能显示终端（校园版）</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与光电靶、电动教具枪配套使用，显示射击画面，完成语音报靶、轨迹显示、靶位选择和控制靶面夜训灯的功能。弹着点大小可调。</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可编辑单位名称。</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成绩打印，成绩分析。</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报靶方式：语音报靶可切换；报靶精度：0.1环。</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显示屏：触屏显示10.1寸。</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无线通信距离：≥120米；电源：12V/9800mAh（含对应的电池充电器）。</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工作时间：≥10h；工作温度：-20℃～+50℃。</w:t>
            </w:r>
          </w:p>
        </w:tc>
        <w:tc>
          <w:tcPr>
            <w:tcW w:w="1275" w:type="dxa"/>
            <w:tcBorders>
              <w:tl2br w:val="nil"/>
              <w:tr2bl w:val="nil"/>
            </w:tcBorders>
            <w:vAlign w:val="center"/>
          </w:tcPr>
          <w:p>
            <w:pPr>
              <w:jc w:val="both"/>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Merge w:val="continue"/>
            <w:tcBorders>
              <w:tl2br w:val="nil"/>
              <w:tr2bl w:val="nil"/>
            </w:tcBorders>
            <w:vAlign w:val="center"/>
          </w:tcPr>
          <w:p>
            <w:pPr>
              <w:rPr>
                <w:rFonts w:hint="eastAsia" w:ascii="宋体" w:hAnsi="宋体" w:eastAsia="宋体" w:cs="宋体"/>
                <w:sz w:val="21"/>
                <w:szCs w:val="21"/>
              </w:rPr>
            </w:pPr>
          </w:p>
        </w:tc>
        <w:tc>
          <w:tcPr>
            <w:tcW w:w="450" w:type="dxa"/>
            <w:vMerge w:val="continue"/>
            <w:tcBorders>
              <w:tl2br w:val="nil"/>
              <w:tr2bl w:val="nil"/>
            </w:tcBorders>
          </w:tcPr>
          <w:p>
            <w:pPr>
              <w:jc w:val="left"/>
              <w:rPr>
                <w:rFonts w:hint="eastAsia" w:ascii="宋体" w:hAnsi="宋体" w:eastAsia="宋体" w:cs="宋体"/>
                <w:kern w:val="0"/>
                <w:sz w:val="21"/>
                <w:szCs w:val="21"/>
              </w:rPr>
            </w:pPr>
          </w:p>
        </w:tc>
        <w:tc>
          <w:tcPr>
            <w:tcW w:w="6345" w:type="dxa"/>
            <w:tcBorders>
              <w:tl2br w:val="nil"/>
              <w:tr2bl w:val="nil"/>
            </w:tcBorders>
          </w:tcPr>
          <w:p>
            <w:pPr>
              <w:jc w:val="left"/>
              <w:rPr>
                <w:rFonts w:hint="eastAsia" w:ascii="宋体" w:hAnsi="宋体" w:eastAsia="宋体" w:cs="宋体"/>
                <w:kern w:val="0"/>
                <w:sz w:val="21"/>
                <w:szCs w:val="21"/>
              </w:rPr>
            </w:pPr>
            <w:r>
              <w:rPr>
                <w:rFonts w:hint="eastAsia" w:ascii="宋体" w:hAnsi="宋体" w:eastAsia="宋体" w:cs="宋体"/>
                <w:kern w:val="0"/>
                <w:sz w:val="21"/>
                <w:szCs w:val="21"/>
              </w:rPr>
              <w:t>(5)遥控器</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可以给作用距离内的所有同一ID组别的电动教具设置参数。</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设置参数：子弹数量、工作模式、功率。</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可满足不同射击场景使用。</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无线通信距离：≥50米。</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电源：3.7V/2200mAh 18650电池一节（含对应的电池充电器）。</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工作温度：-20℃～+50℃。</w:t>
            </w:r>
          </w:p>
        </w:tc>
        <w:tc>
          <w:tcPr>
            <w:tcW w:w="1275" w:type="dxa"/>
            <w:tcBorders>
              <w:tl2br w:val="nil"/>
              <w:tr2bl w:val="nil"/>
            </w:tcBorders>
            <w:vAlign w:val="center"/>
          </w:tcPr>
          <w:p>
            <w:pPr>
              <w:jc w:val="both"/>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Merge w:val="continue"/>
            <w:tcBorders>
              <w:tl2br w:val="nil"/>
              <w:tr2bl w:val="nil"/>
            </w:tcBorders>
            <w:vAlign w:val="center"/>
          </w:tcPr>
          <w:p>
            <w:pPr>
              <w:rPr>
                <w:rFonts w:hint="eastAsia" w:ascii="宋体" w:hAnsi="宋体" w:eastAsia="宋体" w:cs="宋体"/>
                <w:sz w:val="21"/>
                <w:szCs w:val="21"/>
              </w:rPr>
            </w:pPr>
          </w:p>
        </w:tc>
        <w:tc>
          <w:tcPr>
            <w:tcW w:w="450" w:type="dxa"/>
            <w:vMerge w:val="continue"/>
            <w:tcBorders>
              <w:tl2br w:val="nil"/>
              <w:tr2bl w:val="nil"/>
            </w:tcBorders>
          </w:tcPr>
          <w:p>
            <w:pPr>
              <w:jc w:val="left"/>
              <w:rPr>
                <w:rFonts w:hint="eastAsia" w:ascii="宋体" w:hAnsi="宋体" w:eastAsia="宋体" w:cs="宋体"/>
                <w:kern w:val="0"/>
                <w:sz w:val="21"/>
                <w:szCs w:val="21"/>
              </w:rPr>
            </w:pPr>
          </w:p>
        </w:tc>
        <w:tc>
          <w:tcPr>
            <w:tcW w:w="6345" w:type="dxa"/>
            <w:tcBorders>
              <w:tl2br w:val="nil"/>
              <w:tr2bl w:val="nil"/>
            </w:tcBorders>
          </w:tcPr>
          <w:p>
            <w:pPr>
              <w:jc w:val="left"/>
              <w:rPr>
                <w:rFonts w:hint="eastAsia" w:ascii="宋体" w:hAnsi="宋体" w:eastAsia="宋体" w:cs="宋体"/>
                <w:kern w:val="0"/>
                <w:sz w:val="21"/>
                <w:szCs w:val="21"/>
              </w:rPr>
            </w:pPr>
            <w:r>
              <w:rPr>
                <w:rFonts w:hint="eastAsia" w:ascii="宋体" w:hAnsi="宋体" w:eastAsia="宋体" w:cs="宋体"/>
                <w:kern w:val="0"/>
                <w:sz w:val="21"/>
                <w:szCs w:val="21"/>
              </w:rPr>
              <w:t>(6)卧姿棉垫</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厚度：≥5厘米。</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宽度：≥120厘米。</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长度：≥200厘米。</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材质：高密度PU/EPE海绵、PVC/PU发泡革，符合环保及阻燃标准，兼具防滑、吸震功能‌。</w:t>
            </w:r>
          </w:p>
        </w:tc>
        <w:tc>
          <w:tcPr>
            <w:tcW w:w="1275" w:type="dxa"/>
            <w:tcBorders>
              <w:tl2br w:val="nil"/>
              <w:tr2bl w:val="nil"/>
            </w:tcBorders>
            <w:vAlign w:val="center"/>
          </w:tcPr>
          <w:p>
            <w:pPr>
              <w:jc w:val="both"/>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Merge w:val="continue"/>
            <w:tcBorders>
              <w:tl2br w:val="nil"/>
              <w:tr2bl w:val="nil"/>
            </w:tcBorders>
            <w:vAlign w:val="center"/>
          </w:tcPr>
          <w:p>
            <w:pPr>
              <w:rPr>
                <w:rFonts w:hint="eastAsia" w:ascii="宋体" w:hAnsi="宋体" w:eastAsia="宋体" w:cs="宋体"/>
                <w:sz w:val="21"/>
                <w:szCs w:val="21"/>
              </w:rPr>
            </w:pPr>
          </w:p>
        </w:tc>
        <w:tc>
          <w:tcPr>
            <w:tcW w:w="450" w:type="dxa"/>
            <w:vMerge w:val="continue"/>
            <w:tcBorders>
              <w:tl2br w:val="nil"/>
              <w:tr2bl w:val="nil"/>
            </w:tcBorders>
          </w:tcPr>
          <w:p>
            <w:pPr>
              <w:jc w:val="left"/>
              <w:rPr>
                <w:rFonts w:hint="eastAsia" w:ascii="宋体" w:hAnsi="宋体" w:eastAsia="宋体" w:cs="宋体"/>
                <w:kern w:val="0"/>
                <w:sz w:val="21"/>
                <w:szCs w:val="21"/>
              </w:rPr>
            </w:pPr>
          </w:p>
        </w:tc>
        <w:tc>
          <w:tcPr>
            <w:tcW w:w="6345" w:type="dxa"/>
            <w:tcBorders>
              <w:tl2br w:val="nil"/>
              <w:tr2bl w:val="nil"/>
            </w:tcBorders>
          </w:tcPr>
          <w:p>
            <w:pPr>
              <w:jc w:val="left"/>
              <w:rPr>
                <w:rFonts w:hint="eastAsia" w:ascii="宋体" w:hAnsi="宋体" w:eastAsia="宋体" w:cs="宋体"/>
                <w:kern w:val="0"/>
                <w:sz w:val="21"/>
                <w:szCs w:val="21"/>
              </w:rPr>
            </w:pPr>
            <w:r>
              <w:rPr>
                <w:rFonts w:hint="eastAsia" w:ascii="宋体" w:hAnsi="宋体" w:eastAsia="宋体" w:cs="宋体"/>
                <w:kern w:val="0"/>
                <w:sz w:val="21"/>
                <w:szCs w:val="21"/>
              </w:rPr>
              <w:t>(7)瞄准靶台</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上宽：≥22厘米。</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下宽：≥35厘米。</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高：≥20厘米。</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厚：≥22厘米。</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材质：金属焊制。</w:t>
            </w:r>
          </w:p>
        </w:tc>
        <w:tc>
          <w:tcPr>
            <w:tcW w:w="1275" w:type="dxa"/>
            <w:tcBorders>
              <w:tl2br w:val="nil"/>
              <w:tr2bl w:val="nil"/>
            </w:tcBorders>
            <w:vAlign w:val="center"/>
          </w:tcPr>
          <w:p>
            <w:pPr>
              <w:jc w:val="both"/>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Merge w:val="continue"/>
            <w:tcBorders>
              <w:tl2br w:val="nil"/>
              <w:tr2bl w:val="nil"/>
            </w:tcBorders>
            <w:vAlign w:val="center"/>
          </w:tcPr>
          <w:p>
            <w:pPr>
              <w:rPr>
                <w:rFonts w:hint="eastAsia" w:ascii="宋体" w:hAnsi="宋体" w:eastAsia="宋体" w:cs="宋体"/>
                <w:sz w:val="21"/>
                <w:szCs w:val="21"/>
              </w:rPr>
            </w:pPr>
          </w:p>
        </w:tc>
        <w:tc>
          <w:tcPr>
            <w:tcW w:w="450" w:type="dxa"/>
            <w:vMerge w:val="continue"/>
            <w:tcBorders>
              <w:tl2br w:val="nil"/>
              <w:tr2bl w:val="nil"/>
            </w:tcBorders>
          </w:tcPr>
          <w:p>
            <w:pPr>
              <w:jc w:val="left"/>
              <w:rPr>
                <w:rFonts w:hint="eastAsia" w:ascii="宋体" w:hAnsi="宋体" w:eastAsia="宋体" w:cs="宋体"/>
                <w:kern w:val="0"/>
                <w:sz w:val="21"/>
                <w:szCs w:val="21"/>
              </w:rPr>
            </w:pPr>
          </w:p>
        </w:tc>
        <w:tc>
          <w:tcPr>
            <w:tcW w:w="6345" w:type="dxa"/>
            <w:tcBorders>
              <w:tl2br w:val="nil"/>
              <w:tr2bl w:val="nil"/>
            </w:tcBorders>
          </w:tcPr>
          <w:p>
            <w:pPr>
              <w:jc w:val="left"/>
              <w:rPr>
                <w:rFonts w:hint="eastAsia" w:ascii="宋体" w:hAnsi="宋体" w:eastAsia="宋体" w:cs="宋体"/>
                <w:kern w:val="0"/>
                <w:sz w:val="21"/>
                <w:szCs w:val="21"/>
              </w:rPr>
            </w:pPr>
            <w:r>
              <w:rPr>
                <w:rFonts w:hint="eastAsia" w:ascii="宋体" w:hAnsi="宋体" w:eastAsia="宋体" w:cs="宋体"/>
                <w:kern w:val="0"/>
                <w:sz w:val="21"/>
                <w:szCs w:val="21"/>
              </w:rPr>
              <w:t>(8)靶台沙袋</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尺寸：适合与靶台配套使用。</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材质：牛津布，耐磨、防滑、防火，内装沙子等非硬质填充物。</w:t>
            </w:r>
          </w:p>
        </w:tc>
        <w:tc>
          <w:tcPr>
            <w:tcW w:w="1275" w:type="dxa"/>
            <w:tcBorders>
              <w:tl2br w:val="nil"/>
              <w:tr2bl w:val="nil"/>
            </w:tcBorders>
            <w:vAlign w:val="center"/>
          </w:tcPr>
          <w:p>
            <w:pPr>
              <w:jc w:val="both"/>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Merge w:val="continue"/>
            <w:tcBorders>
              <w:tl2br w:val="nil"/>
              <w:tr2bl w:val="nil"/>
            </w:tcBorders>
            <w:vAlign w:val="center"/>
          </w:tcPr>
          <w:p>
            <w:pPr>
              <w:rPr>
                <w:rFonts w:hint="eastAsia" w:ascii="宋体" w:hAnsi="宋体" w:eastAsia="宋体" w:cs="宋体"/>
                <w:sz w:val="21"/>
                <w:szCs w:val="21"/>
              </w:rPr>
            </w:pPr>
          </w:p>
        </w:tc>
        <w:tc>
          <w:tcPr>
            <w:tcW w:w="450" w:type="dxa"/>
            <w:vMerge w:val="continue"/>
            <w:tcBorders>
              <w:tl2br w:val="nil"/>
              <w:tr2bl w:val="nil"/>
            </w:tcBorders>
          </w:tcPr>
          <w:p>
            <w:pPr>
              <w:jc w:val="left"/>
              <w:rPr>
                <w:rFonts w:hint="eastAsia" w:ascii="宋体" w:hAnsi="宋体" w:eastAsia="宋体" w:cs="宋体"/>
                <w:kern w:val="0"/>
                <w:sz w:val="21"/>
                <w:szCs w:val="21"/>
              </w:rPr>
            </w:pPr>
          </w:p>
        </w:tc>
        <w:tc>
          <w:tcPr>
            <w:tcW w:w="6345" w:type="dxa"/>
            <w:tcBorders>
              <w:tl2br w:val="nil"/>
              <w:tr2bl w:val="nil"/>
            </w:tcBorders>
          </w:tcPr>
          <w:p>
            <w:pPr>
              <w:jc w:val="left"/>
              <w:rPr>
                <w:rFonts w:hint="eastAsia" w:ascii="宋体" w:hAnsi="宋体" w:eastAsia="宋体" w:cs="宋体"/>
                <w:kern w:val="0"/>
                <w:sz w:val="21"/>
                <w:szCs w:val="21"/>
              </w:rPr>
            </w:pPr>
            <w:r>
              <w:rPr>
                <w:rFonts w:hint="eastAsia" w:ascii="宋体" w:hAnsi="宋体" w:eastAsia="宋体" w:cs="宋体"/>
                <w:kern w:val="0"/>
                <w:sz w:val="21"/>
                <w:szCs w:val="21"/>
              </w:rPr>
              <w:t>(9)维修说明器材</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使用说明书一本，螺丝、螺丝刀、校枪扳手等必备工具。</w:t>
            </w:r>
          </w:p>
        </w:tc>
        <w:tc>
          <w:tcPr>
            <w:tcW w:w="1275" w:type="dxa"/>
            <w:tcBorders>
              <w:tl2br w:val="nil"/>
              <w:tr2bl w:val="nil"/>
            </w:tcBorders>
            <w:vAlign w:val="center"/>
          </w:tcPr>
          <w:p>
            <w:pPr>
              <w:jc w:val="both"/>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vMerge w:val="continue"/>
            <w:tcBorders>
              <w:tl2br w:val="nil"/>
              <w:tr2bl w:val="nil"/>
            </w:tcBorders>
            <w:vAlign w:val="center"/>
          </w:tcPr>
          <w:p>
            <w:pPr>
              <w:rPr>
                <w:rFonts w:hint="eastAsia" w:ascii="宋体" w:hAnsi="宋体" w:eastAsia="宋体" w:cs="宋体"/>
                <w:sz w:val="21"/>
                <w:szCs w:val="21"/>
              </w:rPr>
            </w:pPr>
          </w:p>
        </w:tc>
        <w:tc>
          <w:tcPr>
            <w:tcW w:w="450" w:type="dxa"/>
            <w:vMerge w:val="continue"/>
            <w:tcBorders>
              <w:tl2br w:val="nil"/>
              <w:tr2bl w:val="nil"/>
            </w:tcBorders>
          </w:tcPr>
          <w:p>
            <w:pPr>
              <w:jc w:val="left"/>
              <w:rPr>
                <w:rFonts w:hint="eastAsia" w:ascii="宋体" w:hAnsi="宋体" w:eastAsia="宋体" w:cs="宋体"/>
                <w:kern w:val="0"/>
                <w:sz w:val="21"/>
                <w:szCs w:val="21"/>
              </w:rPr>
            </w:pPr>
          </w:p>
        </w:tc>
        <w:tc>
          <w:tcPr>
            <w:tcW w:w="6345" w:type="dxa"/>
            <w:tcBorders>
              <w:tl2br w:val="nil"/>
              <w:tr2bl w:val="nil"/>
            </w:tcBorders>
          </w:tcPr>
          <w:p>
            <w:pPr>
              <w:jc w:val="left"/>
              <w:rPr>
                <w:rFonts w:hint="eastAsia" w:ascii="宋体" w:hAnsi="宋体" w:eastAsia="宋体" w:cs="宋体"/>
                <w:kern w:val="0"/>
                <w:sz w:val="21"/>
                <w:szCs w:val="21"/>
              </w:rPr>
            </w:pPr>
            <w:r>
              <w:rPr>
                <w:rFonts w:hint="eastAsia" w:ascii="宋体" w:hAnsi="宋体" w:eastAsia="宋体" w:cs="宋体"/>
                <w:kern w:val="0"/>
                <w:sz w:val="21"/>
                <w:szCs w:val="21"/>
              </w:rPr>
              <w:t>(10)手提箱</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材质：外部为铝合金外壳，轻便坚固，抗冲击，密封效果好，防潮防霉。内部为塑料，根据各类装备的外形镂空并加以固定，防震防碰撞。</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有两个以上锁扣，有提手，一个箱子能完全装下整套所有装备。</w:t>
            </w:r>
          </w:p>
        </w:tc>
        <w:tc>
          <w:tcPr>
            <w:tcW w:w="1275" w:type="dxa"/>
            <w:tcBorders>
              <w:tl2br w:val="nil"/>
              <w:tr2bl w:val="nil"/>
            </w:tcBorders>
            <w:vAlign w:val="center"/>
          </w:tcPr>
          <w:p>
            <w:pPr>
              <w:jc w:val="both"/>
              <w:rPr>
                <w:rFonts w:hint="eastAsia" w:ascii="宋体" w:hAnsi="宋体" w:eastAsia="宋体" w:cs="宋体"/>
                <w:kern w:val="0"/>
                <w:sz w:val="21"/>
                <w:szCs w:val="21"/>
              </w:rPr>
            </w:pPr>
          </w:p>
        </w:tc>
      </w:tr>
    </w:tbl>
    <w:p>
      <w:pPr>
        <w:pStyle w:val="24"/>
        <w:numPr>
          <w:ilvl w:val="0"/>
          <w:numId w:val="4"/>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商品价格及售后服务</w:t>
      </w:r>
    </w:p>
    <w:p>
      <w:pPr>
        <w:pStyle w:val="24"/>
        <w:numPr>
          <w:ilvl w:val="0"/>
          <w:numId w:val="5"/>
        </w:numPr>
        <w:spacing w:line="360" w:lineRule="auto"/>
        <w:ind w:firstLine="420" w:firstLineChars="200"/>
        <w:rPr>
          <w:rFonts w:hint="eastAsia"/>
        </w:rPr>
      </w:pPr>
      <w:r>
        <w:rPr>
          <w:rFonts w:hint="eastAsia"/>
        </w:rPr>
        <w:t>本采购项目属交钥匙工程项目，供商报价含设备、运输（含装卸和吊装）、安装、调试培训等全部费用，采购方不再额外支付其他费用。</w:t>
      </w:r>
    </w:p>
    <w:p>
      <w:pPr>
        <w:pStyle w:val="24"/>
        <w:numPr>
          <w:ilvl w:val="0"/>
          <w:numId w:val="5"/>
        </w:numPr>
        <w:spacing w:line="360" w:lineRule="auto"/>
        <w:ind w:firstLine="482" w:firstLineChars="200"/>
        <w:rPr>
          <w:u w:val="single"/>
        </w:rPr>
      </w:pPr>
      <w:r>
        <w:rPr>
          <w:rFonts w:hint="eastAsia" w:ascii="宋体" w:hAnsi="宋体" w:cs="宋体"/>
          <w:b/>
          <w:bCs/>
          <w:kern w:val="0"/>
          <w:sz w:val="24"/>
          <w:szCs w:val="24"/>
        </w:rPr>
        <w:t>质量保证期（或保修期）服务</w:t>
      </w:r>
      <w:r>
        <w:rPr>
          <w:rFonts w:hint="eastAsia" w:ascii="宋体" w:hAnsi="宋体" w:cs="宋体"/>
          <w:kern w:val="0"/>
          <w:sz w:val="24"/>
          <w:szCs w:val="24"/>
        </w:rPr>
        <w:t>：</w:t>
      </w:r>
      <w:r>
        <w:rPr>
          <w:rFonts w:hint="eastAsia"/>
        </w:rPr>
        <w:t>自合同签订生效，设备（或软件或服务）安装调试完毕并经甲方验收合格之日起免费</w:t>
      </w:r>
      <w:r>
        <w:rPr>
          <w:rFonts w:hint="eastAsia"/>
          <w:color w:val="000000" w:themeColor="text1"/>
          <w:sz w:val="21"/>
          <w14:textFill>
            <w14:solidFill>
              <w14:schemeClr w14:val="tx1"/>
            </w14:solidFill>
          </w14:textFill>
        </w:rPr>
        <w:t>质保</w:t>
      </w:r>
      <w:r>
        <w:rPr>
          <w:rFonts w:hint="eastAsia"/>
          <w:color w:val="000000" w:themeColor="text1"/>
          <w:sz w:val="21"/>
          <w:u w:val="single"/>
          <w14:textFill>
            <w14:solidFill>
              <w14:schemeClr w14:val="tx1"/>
            </w14:solidFill>
          </w14:textFill>
        </w:rPr>
        <w:t xml:space="preserve"> 3 </w:t>
      </w:r>
      <w:r>
        <w:rPr>
          <w:rFonts w:hint="eastAsia"/>
          <w:color w:val="000000" w:themeColor="text1"/>
          <w:sz w:val="21"/>
          <w14:textFill>
            <w14:solidFill>
              <w14:schemeClr w14:val="tx1"/>
            </w14:solidFill>
          </w14:textFill>
        </w:rPr>
        <w:t>年</w:t>
      </w:r>
      <w:r>
        <w:rPr>
          <w:rFonts w:hint="eastAsia"/>
        </w:rPr>
        <w:t>，质保期内上门对损坏的设备（或软件）进行安装、升级、更换、调试，包括配件费、材料费、软件升级费、人工费等全部免费。质保期内被免费更换的零部件质量保证期再</w:t>
      </w:r>
      <w:r>
        <w:rPr>
          <w:rFonts w:hint="eastAsia"/>
          <w:color w:val="000000" w:themeColor="text1"/>
          <w:sz w:val="21"/>
          <w14:textFill>
            <w14:solidFill>
              <w14:schemeClr w14:val="tx1"/>
            </w14:solidFill>
          </w14:textFill>
        </w:rPr>
        <w:t>延续</w:t>
      </w:r>
      <w:r>
        <w:rPr>
          <w:rFonts w:hint="eastAsia"/>
          <w:color w:val="000000" w:themeColor="text1"/>
          <w:sz w:val="21"/>
          <w:u w:val="single"/>
          <w14:textFill>
            <w14:solidFill>
              <w14:schemeClr w14:val="tx1"/>
            </w14:solidFill>
          </w14:textFill>
        </w:rPr>
        <w:t xml:space="preserve"> </w:t>
      </w:r>
      <w:r>
        <w:rPr>
          <w:rFonts w:hint="eastAsia"/>
          <w:color w:val="000000" w:themeColor="text1"/>
          <w:sz w:val="21"/>
          <w:u w:val="single"/>
          <w:lang w:val="en-US" w:eastAsia="zh-CN"/>
          <w14:textFill>
            <w14:solidFill>
              <w14:schemeClr w14:val="tx1"/>
            </w14:solidFill>
          </w14:textFill>
        </w:rPr>
        <w:t>1</w:t>
      </w:r>
      <w:r>
        <w:rPr>
          <w:rFonts w:hint="eastAsia"/>
          <w:color w:val="000000" w:themeColor="text1"/>
          <w:sz w:val="21"/>
          <w:u w:val="single"/>
          <w14:textFill>
            <w14:solidFill>
              <w14:schemeClr w14:val="tx1"/>
            </w14:solidFill>
          </w14:textFill>
        </w:rPr>
        <w:t xml:space="preserve"> </w:t>
      </w:r>
      <w:r>
        <w:rPr>
          <w:rFonts w:hint="eastAsia"/>
          <w:color w:val="000000" w:themeColor="text1"/>
          <w:sz w:val="21"/>
          <w14:textFill>
            <w14:solidFill>
              <w14:schemeClr w14:val="tx1"/>
            </w14:solidFill>
          </w14:textFill>
        </w:rPr>
        <w:t>年</w:t>
      </w:r>
      <w:r>
        <w:rPr>
          <w:rFonts w:hint="eastAsia"/>
        </w:rPr>
        <w:t>。服务响应时间2小时以内，维修人员需在接到维修电话后24小时内到达仪器现场，一般问题应在48小时内解决。重大问题或其它无法迅速解决的问题应在7天内解决或提出明确解决方案，并提供不间断的服务直到商品正常运行。</w:t>
      </w:r>
    </w:p>
    <w:p>
      <w:pPr>
        <w:pStyle w:val="24"/>
        <w:numPr>
          <w:ilvl w:val="0"/>
          <w:numId w:val="5"/>
        </w:numPr>
        <w:spacing w:line="360" w:lineRule="auto"/>
        <w:ind w:firstLine="420" w:firstLineChars="200"/>
        <w:rPr>
          <w:u w:val="single"/>
        </w:rPr>
      </w:pPr>
      <w:r>
        <w:rPr>
          <w:rFonts w:hint="eastAsia"/>
        </w:rPr>
        <w:t xml:space="preserve">其他要求（如安装、售后等）： </w:t>
      </w:r>
      <w:r>
        <w:rPr>
          <w:rFonts w:hint="eastAsia"/>
          <w:u w:val="single"/>
        </w:rPr>
        <w:t>耗损件射击3万发免费更换机芯。对于使用期间需要进行系统升级的设备，须提供至少5年内免费升级服务。</w:t>
      </w:r>
    </w:p>
    <w:p>
      <w:pPr>
        <w:pStyle w:val="24"/>
        <w:numPr>
          <w:ilvl w:val="0"/>
          <w:numId w:val="4"/>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安装及交付时间</w:t>
      </w:r>
    </w:p>
    <w:p>
      <w:pPr>
        <w:ind w:firstLine="420" w:firstLineChars="200"/>
      </w:pPr>
      <w:r>
        <w:rPr>
          <w:rFonts w:hint="eastAsia"/>
        </w:rPr>
        <w:t>交付和安装时间为</w:t>
      </w:r>
      <w:r>
        <w:rPr>
          <w:rFonts w:hint="eastAsia"/>
          <w:color w:val="000000" w:themeColor="text1"/>
          <w:sz w:val="21"/>
          <w14:textFill>
            <w14:solidFill>
              <w14:schemeClr w14:val="tx1"/>
            </w14:solidFill>
          </w14:textFill>
        </w:rPr>
        <w:t>合同签订</w:t>
      </w:r>
      <w:r>
        <w:rPr>
          <w:rFonts w:hint="eastAsia"/>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30</w:t>
      </w:r>
      <w:r>
        <w:rPr>
          <w:rFonts w:hint="eastAsia"/>
          <w:color w:val="000000" w:themeColor="text1"/>
          <w:sz w:val="21"/>
          <w:u w:val="single"/>
          <w14:textFill>
            <w14:solidFill>
              <w14:schemeClr w14:val="tx1"/>
            </w14:solidFill>
          </w14:textFill>
        </w:rPr>
        <w:t xml:space="preserve">  </w:t>
      </w:r>
      <w:r>
        <w:rPr>
          <w:rFonts w:hint="eastAsia"/>
          <w:color w:val="000000" w:themeColor="text1"/>
          <w:sz w:val="21"/>
          <w14:textFill>
            <w14:solidFill>
              <w14:schemeClr w14:val="tx1"/>
            </w14:solidFill>
          </w14:textFill>
        </w:rPr>
        <w:t>日之内</w:t>
      </w:r>
      <w:r>
        <w:rPr>
          <w:rFonts w:hint="eastAsia"/>
        </w:rPr>
        <w:t>。</w:t>
      </w:r>
    </w:p>
    <w:p>
      <w:pPr>
        <w:pStyle w:val="24"/>
        <w:numPr>
          <w:ilvl w:val="0"/>
          <w:numId w:val="4"/>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付款方式和要求</w:t>
      </w:r>
    </w:p>
    <w:p>
      <w:pPr>
        <w:spacing w:line="360" w:lineRule="auto"/>
        <w:ind w:firstLine="420" w:firstLineChars="200"/>
        <w:rPr>
          <w:rFonts w:ascii="宋体" w:hAnsi="宋体" w:eastAsia="宋体"/>
        </w:rPr>
      </w:pPr>
      <w:r>
        <w:rPr>
          <w:rFonts w:hint="eastAsia" w:ascii="宋体" w:hAnsi="宋体" w:eastAsia="宋体"/>
        </w:rPr>
        <w:t>安装交付完成后一个月内支付</w:t>
      </w:r>
      <w:r>
        <w:rPr>
          <w:rFonts w:hint="eastAsia" w:ascii="宋体" w:hAnsi="宋体"/>
          <w:lang w:val="en-US" w:eastAsia="zh-CN"/>
        </w:rPr>
        <w:t>全款</w:t>
      </w:r>
      <w:r>
        <w:rPr>
          <w:rFonts w:hint="eastAsia" w:ascii="宋体" w:hAnsi="宋体" w:eastAsia="宋体"/>
        </w:rPr>
        <w:t>。</w:t>
      </w:r>
    </w:p>
    <w:p>
      <w:pPr>
        <w:pStyle w:val="24"/>
        <w:numPr>
          <w:ilvl w:val="0"/>
          <w:numId w:val="4"/>
        </w:numPr>
        <w:spacing w:before="156" w:beforeLines="50" w:line="360" w:lineRule="auto"/>
        <w:ind w:left="601" w:hanging="601" w:firstLineChars="0"/>
        <w:rPr>
          <w:rFonts w:ascii="仿宋" w:hAnsi="仿宋" w:eastAsia="仿宋"/>
          <w:b/>
          <w:sz w:val="28"/>
          <w:szCs w:val="28"/>
        </w:rPr>
      </w:pPr>
      <w:r>
        <w:rPr>
          <w:rFonts w:hint="eastAsia" w:ascii="仿宋" w:hAnsi="仿宋" w:eastAsia="仿宋"/>
          <w:b/>
          <w:sz w:val="28"/>
          <w:szCs w:val="28"/>
        </w:rPr>
        <w:t>其他事项</w:t>
      </w:r>
    </w:p>
    <w:p>
      <w:pPr>
        <w:pStyle w:val="24"/>
        <w:adjustRightInd w:val="0"/>
        <w:snapToGrid w:val="0"/>
        <w:spacing w:before="156" w:beforeLines="50"/>
        <w:ind w:firstLine="0" w:firstLineChars="0"/>
      </w:pPr>
      <w:r>
        <w:rPr>
          <w:rFonts w:hint="eastAsia" w:ascii="仿宋" w:hAnsi="仿宋" w:eastAsia="仿宋"/>
          <w:bCs/>
          <w:sz w:val="28"/>
          <w:szCs w:val="28"/>
        </w:rPr>
        <w:t>（</w:t>
      </w:r>
      <w:r>
        <w:rPr>
          <w:rFonts w:hint="eastAsia"/>
        </w:rPr>
        <w:t>此处仅填写供应商额外提供需方的服务承诺，与本采购文件询价要求相左条款的其他说明视作无效说明。若无其他服务承诺的请填写“无”</w:t>
      </w:r>
      <w:r>
        <w:rPr>
          <w:rFonts w:hint="eastAsia" w:ascii="仿宋" w:hAnsi="仿宋" w:eastAsia="仿宋"/>
          <w:bCs/>
          <w:sz w:val="28"/>
          <w:szCs w:val="28"/>
        </w:rPr>
        <w:t>）</w:t>
      </w:r>
    </w:p>
    <w:p>
      <w:pPr>
        <w:pStyle w:val="8"/>
        <w:rPr>
          <w:u w:val="single"/>
        </w:rPr>
      </w:pPr>
      <w:r>
        <w:rPr>
          <w:rFonts w:hint="eastAsia"/>
          <w:u w:val="single"/>
        </w:rPr>
        <w:t xml:space="preserve">                                                                                    </w:t>
      </w:r>
    </w:p>
    <w:p>
      <w:pPr>
        <w:pStyle w:val="8"/>
        <w:rPr>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pPr>
        <w:pStyle w:val="8"/>
        <w:rPr>
          <w:u w:val="single"/>
        </w:rPr>
      </w:pPr>
      <w:r>
        <w:rPr>
          <w:rFonts w:hint="eastAsia"/>
          <w:u w:val="single"/>
        </w:rPr>
        <w:t xml:space="preserve">                                                                                    </w:t>
      </w:r>
    </w:p>
    <w:p>
      <w:pPr>
        <w:pStyle w:val="24"/>
        <w:numPr>
          <w:ilvl w:val="0"/>
          <w:numId w:val="4"/>
        </w:numPr>
        <w:spacing w:before="156" w:beforeLines="50" w:line="360" w:lineRule="auto"/>
        <w:ind w:left="601" w:hanging="601" w:firstLineChars="0"/>
      </w:pPr>
      <w:r>
        <w:rPr>
          <w:rFonts w:hint="eastAsia"/>
          <w:b/>
          <w:bCs/>
          <w:sz w:val="28"/>
          <w:szCs w:val="28"/>
        </w:rPr>
        <w:t>附件</w:t>
      </w:r>
      <w:r>
        <w:rPr>
          <w:rFonts w:hint="eastAsia"/>
        </w:rPr>
        <w:t>（填写附件名称，如企业营业执照、资质文件等另行要求的附加的附件名称。）</w:t>
      </w:r>
    </w:p>
    <w:p>
      <w:pPr>
        <w:pStyle w:val="8"/>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8"/>
        <w:ind w:firstLine="21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u w:val="none"/>
        </w:rPr>
        <w:t>“</w:t>
      </w:r>
      <w:r>
        <w:rPr>
          <w:rFonts w:hint="eastAsia" w:ascii="宋体" w:hAnsi="宋体" w:eastAsia="宋体" w:cs="Times New Roman"/>
          <w:kern w:val="0"/>
          <w:sz w:val="20"/>
          <w:szCs w:val="21"/>
          <w:u w:val="none"/>
        </w:rPr>
        <w:t>▲</w:t>
      </w:r>
      <w:r>
        <w:rPr>
          <w:rFonts w:hint="eastAsia"/>
          <w:color w:val="FF0000"/>
          <w:u w:val="none"/>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8"/>
        <w:ind w:firstLine="210" w:firstLineChars="100"/>
        <w:rPr>
          <w:rFonts w:hint="eastAsia" w:eastAsia="宋体"/>
          <w:color w:val="FF0000"/>
          <w:u w:val="single"/>
          <w:lang w:eastAsia="zh-CN"/>
        </w:rPr>
      </w:pPr>
      <w:r>
        <w:rPr>
          <w:rFonts w:hint="eastAsia"/>
        </w:rPr>
        <w:t>3．</w:t>
      </w:r>
      <w:r>
        <w:rPr>
          <w:rFonts w:hint="eastAsia"/>
          <w:u w:val="single"/>
        </w:rPr>
        <w:t>承诺</w:t>
      </w:r>
      <w:r>
        <w:rPr>
          <w:u w:val="single"/>
        </w:rPr>
        <w:t>书</w:t>
      </w:r>
      <w:r>
        <w:rPr>
          <w:rFonts w:hint="eastAsia"/>
          <w:u w:val="single"/>
        </w:rPr>
        <w:t xml:space="preserve">（见后附页）                                                                                    </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lang w:val="en-US" w:eastAsia="zh-CN"/>
        </w:rPr>
      </w:pPr>
      <w:r>
        <w:rPr>
          <w:rFonts w:hint="eastAsia"/>
          <w:b/>
          <w:bCs/>
          <w:lang w:val="en-US" w:eastAsia="zh-CN"/>
        </w:rPr>
        <w:t>附件特别说明：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8"/>
        <w:widowControl/>
        <w:spacing w:line="360" w:lineRule="auto"/>
        <w:rPr>
          <w:rFonts w:ascii="宋体" w:hAnsi="宋体"/>
          <w:b/>
          <w:sz w:val="24"/>
          <w:szCs w:val="24"/>
        </w:rPr>
      </w:pPr>
    </w:p>
    <w:p>
      <w:pPr>
        <w:widowControl/>
        <w:jc w:val="left"/>
        <w:rPr>
          <w:rFonts w:ascii="宋体" w:hAnsi="宋体"/>
          <w:b/>
          <w:sz w:val="24"/>
          <w:szCs w:val="24"/>
        </w:rPr>
      </w:pPr>
      <w:r>
        <w:rPr>
          <w:rFonts w:ascii="宋体" w:hAnsi="宋体"/>
          <w:b/>
          <w:sz w:val="24"/>
          <w:szCs w:val="24"/>
        </w:rPr>
        <w:br w:type="page"/>
      </w:r>
    </w:p>
    <w:p>
      <w:pPr>
        <w:pStyle w:val="8"/>
        <w:widowControl/>
        <w:spacing w:before="468" w:beforeLines="150" w:after="480" w:line="360" w:lineRule="auto"/>
        <w:jc w:val="center"/>
        <w:rPr>
          <w:rFonts w:ascii="宋体" w:hAnsi="宋体"/>
          <w:b/>
          <w:sz w:val="44"/>
          <w:szCs w:val="44"/>
        </w:rPr>
      </w:pPr>
      <w:r>
        <w:rPr>
          <w:rFonts w:hint="eastAsia" w:ascii="宋体" w:hAnsi="宋体"/>
          <w:b/>
          <w:sz w:val="44"/>
          <w:szCs w:val="44"/>
        </w:rPr>
        <w:t>承 诺 书</w:t>
      </w:r>
    </w:p>
    <w:p>
      <w:pPr>
        <w:pStyle w:val="8"/>
        <w:widowControl/>
        <w:spacing w:line="312" w:lineRule="auto"/>
        <w:ind w:firstLine="480" w:firstLineChars="200"/>
        <w:rPr>
          <w:rFonts w:ascii="宋体" w:hAnsi="宋体"/>
          <w:sz w:val="24"/>
          <w:szCs w:val="24"/>
        </w:rPr>
      </w:pPr>
      <w:r>
        <w:rPr>
          <w:rFonts w:hint="eastAsia" w:ascii="宋体" w:hAnsi="宋体"/>
          <w:sz w:val="24"/>
          <w:szCs w:val="24"/>
        </w:rPr>
        <w:t>我公司在参加</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b/>
          <w:sz w:val="24"/>
          <w:szCs w:val="24"/>
          <w:u w:val="single"/>
        </w:rPr>
        <w:t>xxxxxxxxxxxxxxxx</w:t>
      </w:r>
      <w:r>
        <w:rPr>
          <w:rFonts w:hint="eastAsia" w:ascii="宋体" w:hAnsi="宋体"/>
          <w:sz w:val="24"/>
          <w:szCs w:val="24"/>
          <w:u w:val="single"/>
        </w:rPr>
        <w:t>（完整项目</w:t>
      </w:r>
      <w:r>
        <w:rPr>
          <w:rFonts w:ascii="宋体" w:hAnsi="宋体"/>
          <w:sz w:val="24"/>
          <w:szCs w:val="24"/>
          <w:u w:val="single"/>
        </w:rPr>
        <w:t>名称</w:t>
      </w:r>
      <w:r>
        <w:rPr>
          <w:rFonts w:hint="eastAsia" w:ascii="宋体" w:hAnsi="宋体"/>
          <w:sz w:val="24"/>
          <w:szCs w:val="24"/>
          <w:u w:val="single"/>
        </w:rPr>
        <w:t xml:space="preserve">） </w:t>
      </w:r>
      <w:r>
        <w:rPr>
          <w:rFonts w:hint="eastAsia" w:ascii="宋体" w:hAnsi="宋体"/>
          <w:sz w:val="24"/>
          <w:szCs w:val="24"/>
        </w:rPr>
        <w:t>项目的政采云</w:t>
      </w:r>
      <w:r>
        <w:rPr>
          <w:rFonts w:ascii="宋体" w:hAnsi="宋体"/>
          <w:sz w:val="24"/>
          <w:szCs w:val="24"/>
        </w:rPr>
        <w:t>竞价（</w:t>
      </w:r>
      <w:r>
        <w:rPr>
          <w:rFonts w:hint="eastAsia" w:ascii="宋体" w:hAnsi="宋体"/>
          <w:sz w:val="24"/>
          <w:szCs w:val="24"/>
        </w:rPr>
        <w:t>询价</w:t>
      </w:r>
      <w:r>
        <w:rPr>
          <w:rFonts w:ascii="宋体" w:hAnsi="宋体"/>
          <w:sz w:val="24"/>
          <w:szCs w:val="24"/>
        </w:rPr>
        <w:t>）</w:t>
      </w:r>
      <w:r>
        <w:rPr>
          <w:rFonts w:hint="eastAsia" w:ascii="宋体" w:hAnsi="宋体"/>
          <w:sz w:val="24"/>
          <w:szCs w:val="24"/>
        </w:rPr>
        <w:t>采购活动中，郑重承诺如下：</w:t>
      </w:r>
    </w:p>
    <w:p>
      <w:pPr>
        <w:pStyle w:val="8"/>
        <w:widowControl/>
        <w:spacing w:line="312" w:lineRule="auto"/>
        <w:ind w:firstLine="480" w:firstLineChars="200"/>
        <w:rPr>
          <w:rFonts w:ascii="宋体" w:hAnsi="宋体"/>
          <w:sz w:val="24"/>
          <w:szCs w:val="24"/>
        </w:rPr>
      </w:pPr>
      <w:r>
        <w:rPr>
          <w:rFonts w:hint="eastAsia" w:ascii="宋体" w:hAnsi="宋体"/>
          <w:sz w:val="24"/>
          <w:szCs w:val="24"/>
        </w:rPr>
        <w:t>1.</w:t>
      </w:r>
      <w:r>
        <w:rPr>
          <w:rFonts w:hint="eastAsia"/>
        </w:rPr>
        <w:t xml:space="preserve"> </w:t>
      </w:r>
      <w:r>
        <w:rPr>
          <w:rFonts w:hint="eastAsia" w:ascii="宋体" w:hAnsi="宋体"/>
          <w:sz w:val="24"/>
          <w:szCs w:val="24"/>
        </w:rPr>
        <w:t>承诺遵守《中华人民共和国招标投标法》《中华人民共和国政府采购法》等法律法规及浙江海洋大学规章制度。</w:t>
      </w:r>
    </w:p>
    <w:p>
      <w:pPr>
        <w:pStyle w:val="8"/>
        <w:widowControl/>
        <w:spacing w:line="312"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完全接受</w:t>
      </w:r>
      <w:r>
        <w:rPr>
          <w:rFonts w:ascii="宋体" w:hAnsi="宋体"/>
          <w:sz w:val="24"/>
          <w:szCs w:val="24"/>
        </w:rPr>
        <w:t>和满足本项目采购文件中规定的实质性要求</w:t>
      </w:r>
      <w:r>
        <w:rPr>
          <w:rFonts w:hint="eastAsia" w:ascii="宋体" w:hAnsi="宋体"/>
          <w:sz w:val="24"/>
          <w:szCs w:val="24"/>
        </w:rPr>
        <w:t>。</w:t>
      </w:r>
    </w:p>
    <w:p>
      <w:pPr>
        <w:pStyle w:val="8"/>
        <w:widowControl/>
        <w:spacing w:line="312"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.我方承诺在本次</w:t>
      </w:r>
      <w:r>
        <w:rPr>
          <w:rFonts w:ascii="宋体" w:hAnsi="宋体"/>
          <w:sz w:val="24"/>
          <w:szCs w:val="24"/>
        </w:rPr>
        <w:t>竞价（</w:t>
      </w:r>
      <w:r>
        <w:rPr>
          <w:rFonts w:hint="eastAsia" w:ascii="宋体" w:hAnsi="宋体"/>
          <w:sz w:val="24"/>
          <w:szCs w:val="24"/>
        </w:rPr>
        <w:t>询价</w:t>
      </w:r>
      <w:r>
        <w:rPr>
          <w:rFonts w:ascii="宋体" w:hAnsi="宋体"/>
          <w:sz w:val="24"/>
          <w:szCs w:val="24"/>
        </w:rPr>
        <w:t>）</w:t>
      </w:r>
      <w:r>
        <w:rPr>
          <w:rFonts w:hint="eastAsia" w:ascii="宋体" w:hAnsi="宋体"/>
          <w:sz w:val="24"/>
          <w:szCs w:val="24"/>
        </w:rPr>
        <w:t>活动，</w:t>
      </w:r>
      <w:r>
        <w:rPr>
          <w:rFonts w:ascii="宋体" w:hAnsi="宋体"/>
          <w:sz w:val="24"/>
          <w:szCs w:val="24"/>
        </w:rPr>
        <w:t>不存在</w:t>
      </w:r>
      <w:r>
        <w:rPr>
          <w:rFonts w:hint="eastAsia" w:ascii="宋体" w:hAnsi="宋体"/>
          <w:sz w:val="24"/>
          <w:szCs w:val="24"/>
        </w:rPr>
        <w:t>以下情况：</w:t>
      </w:r>
    </w:p>
    <w:p>
      <w:pPr>
        <w:pStyle w:val="8"/>
        <w:widowControl/>
        <w:spacing w:line="312"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和其他供应商</w:t>
      </w:r>
      <w:r>
        <w:rPr>
          <w:rFonts w:hint="eastAsia" w:ascii="宋体" w:hAnsi="宋体"/>
          <w:sz w:val="24"/>
          <w:szCs w:val="24"/>
        </w:rPr>
        <w:t>存</w:t>
      </w:r>
      <w:r>
        <w:rPr>
          <w:rFonts w:ascii="宋体" w:hAnsi="宋体"/>
          <w:sz w:val="24"/>
          <w:szCs w:val="24"/>
        </w:rPr>
        <w:t>在同一人或者直接控股、管理、利益</w:t>
      </w:r>
      <w:r>
        <w:rPr>
          <w:rFonts w:hint="eastAsia" w:ascii="宋体" w:hAnsi="宋体"/>
          <w:sz w:val="24"/>
          <w:szCs w:val="24"/>
        </w:rPr>
        <w:t>等</w:t>
      </w:r>
      <w:r>
        <w:rPr>
          <w:rFonts w:ascii="宋体" w:hAnsi="宋体"/>
          <w:sz w:val="24"/>
          <w:szCs w:val="24"/>
        </w:rPr>
        <w:t>有关联的</w:t>
      </w:r>
      <w:r>
        <w:rPr>
          <w:rFonts w:hint="eastAsia" w:ascii="宋体" w:hAnsi="宋体"/>
          <w:sz w:val="24"/>
          <w:szCs w:val="24"/>
        </w:rPr>
        <w:t>，</w:t>
      </w:r>
      <w:r>
        <w:rPr>
          <w:rFonts w:ascii="宋体" w:hAnsi="宋体"/>
          <w:sz w:val="24"/>
          <w:szCs w:val="24"/>
        </w:rPr>
        <w:t>其他供应商参与同一合同项下的政府采购活动的行为。</w:t>
      </w:r>
    </w:p>
    <w:p>
      <w:pPr>
        <w:pStyle w:val="8"/>
        <w:widowControl/>
        <w:spacing w:line="312" w:lineRule="auto"/>
        <w:ind w:firstLine="480" w:firstLineChars="200"/>
        <w:rPr>
          <w:rFonts w:ascii="宋体" w:hAnsi="宋体"/>
          <w:sz w:val="24"/>
          <w:szCs w:val="24"/>
        </w:rPr>
      </w:pPr>
      <w:r>
        <w:rPr>
          <w:rFonts w:hint="eastAsia" w:ascii="宋体" w:hAnsi="宋体"/>
          <w:sz w:val="24"/>
          <w:szCs w:val="24"/>
        </w:rPr>
        <w:t>（2）承诺绝对没有也不会向生产厂家提前报备本项目采购内容等影响本项目顺利实施的行为，且绝对不会直接或间接干预中标供应商的供货或服务。</w:t>
      </w:r>
    </w:p>
    <w:p>
      <w:pPr>
        <w:pStyle w:val="8"/>
        <w:widowControl/>
        <w:spacing w:line="312" w:lineRule="auto"/>
        <w:ind w:firstLine="480" w:firstLineChars="200"/>
        <w:rPr>
          <w:rFonts w:ascii="宋体" w:hAnsi="宋体"/>
          <w:sz w:val="24"/>
          <w:szCs w:val="24"/>
        </w:rPr>
      </w:pPr>
      <w:r>
        <w:rPr>
          <w:rFonts w:hint="eastAsia" w:ascii="宋体" w:hAnsi="宋体"/>
          <w:sz w:val="24"/>
          <w:szCs w:val="24"/>
        </w:rPr>
        <w:t>若经贵方查出有上述情况，立即取消我方</w:t>
      </w:r>
      <w:r>
        <w:rPr>
          <w:rFonts w:ascii="宋体" w:hAnsi="宋体"/>
          <w:sz w:val="24"/>
          <w:szCs w:val="24"/>
        </w:rPr>
        <w:t>竞价（</w:t>
      </w:r>
      <w:r>
        <w:rPr>
          <w:rFonts w:hint="eastAsia" w:ascii="宋体" w:hAnsi="宋体"/>
          <w:sz w:val="24"/>
          <w:szCs w:val="24"/>
        </w:rPr>
        <w:t>询价</w:t>
      </w:r>
      <w:r>
        <w:rPr>
          <w:rFonts w:ascii="宋体" w:hAnsi="宋体"/>
          <w:sz w:val="24"/>
          <w:szCs w:val="24"/>
        </w:rPr>
        <w:t>）</w:t>
      </w:r>
      <w:r>
        <w:rPr>
          <w:rFonts w:hint="eastAsia" w:ascii="宋体" w:hAnsi="宋体"/>
          <w:sz w:val="24"/>
          <w:szCs w:val="24"/>
        </w:rPr>
        <w:t>资格并承担相应的法律职责，自愿同意在此后一年内不参与学校的采购活动。</w:t>
      </w:r>
    </w:p>
    <w:p>
      <w:pPr>
        <w:pStyle w:val="8"/>
        <w:widowControl/>
        <w:spacing w:line="312"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.我方一旦中标，将按规定及时与采购单位签订合同。承诺严格执行合同条款，凡进入浙江海洋大学的货物、服务项目等均有完备的手续。</w:t>
      </w:r>
    </w:p>
    <w:p>
      <w:pPr>
        <w:pStyle w:val="8"/>
        <w:widowControl/>
        <w:spacing w:line="312" w:lineRule="auto"/>
        <w:ind w:firstLine="482" w:firstLineChars="200"/>
        <w:rPr>
          <w:rFonts w:ascii="宋体" w:hAnsi="宋体"/>
          <w:b/>
          <w:color w:val="FF0000"/>
          <w:sz w:val="24"/>
          <w:szCs w:val="24"/>
        </w:rPr>
      </w:pPr>
      <w:r>
        <w:rPr>
          <w:rFonts w:hint="eastAsia" w:ascii="宋体" w:hAnsi="宋体"/>
          <w:b/>
          <w:color w:val="FF0000"/>
          <w:sz w:val="24"/>
          <w:szCs w:val="24"/>
        </w:rPr>
        <w:t>我方保证本项目提交</w:t>
      </w:r>
      <w:r>
        <w:rPr>
          <w:rFonts w:ascii="宋体" w:hAnsi="宋体"/>
          <w:b/>
          <w:color w:val="FF0000"/>
          <w:sz w:val="24"/>
          <w:szCs w:val="24"/>
        </w:rPr>
        <w:t>的承诺内容真实</w:t>
      </w:r>
      <w:r>
        <w:rPr>
          <w:rFonts w:hint="eastAsia" w:ascii="宋体" w:hAnsi="宋体"/>
          <w:b/>
          <w:color w:val="FF0000"/>
          <w:sz w:val="24"/>
          <w:szCs w:val="24"/>
        </w:rPr>
        <w:t>可靠，如因存在虚假响应、</w:t>
      </w:r>
      <w:r>
        <w:rPr>
          <w:rFonts w:ascii="宋体" w:hAnsi="宋体"/>
          <w:b/>
          <w:color w:val="FF0000"/>
          <w:sz w:val="24"/>
          <w:szCs w:val="24"/>
        </w:rPr>
        <w:t>提供虚假材料</w:t>
      </w:r>
      <w:r>
        <w:rPr>
          <w:rFonts w:hint="eastAsia" w:ascii="宋体" w:hAnsi="宋体"/>
          <w:b/>
          <w:color w:val="FF0000"/>
          <w:sz w:val="24"/>
          <w:szCs w:val="24"/>
        </w:rPr>
        <w:t>等</w:t>
      </w:r>
      <w:r>
        <w:rPr>
          <w:rFonts w:ascii="宋体" w:hAnsi="宋体"/>
          <w:b/>
          <w:color w:val="FF0000"/>
          <w:sz w:val="24"/>
          <w:szCs w:val="24"/>
        </w:rPr>
        <w:t>恶意</w:t>
      </w:r>
      <w:r>
        <w:rPr>
          <w:rFonts w:hint="eastAsia" w:ascii="宋体" w:hAnsi="宋体"/>
          <w:b/>
          <w:color w:val="FF0000"/>
          <w:sz w:val="24"/>
          <w:szCs w:val="24"/>
        </w:rPr>
        <w:t>报价的</w:t>
      </w:r>
      <w:r>
        <w:rPr>
          <w:rFonts w:ascii="宋体" w:hAnsi="宋体"/>
          <w:b/>
          <w:color w:val="FF0000"/>
          <w:sz w:val="24"/>
          <w:szCs w:val="24"/>
        </w:rPr>
        <w:t>情况，</w:t>
      </w:r>
      <w:r>
        <w:rPr>
          <w:rFonts w:hint="eastAsia" w:ascii="宋体" w:hAnsi="宋体"/>
          <w:b/>
          <w:color w:val="FF0000"/>
          <w:sz w:val="24"/>
          <w:szCs w:val="24"/>
        </w:rPr>
        <w:t>或</w:t>
      </w:r>
      <w:r>
        <w:rPr>
          <w:rFonts w:ascii="宋体" w:hAnsi="宋体"/>
          <w:b/>
          <w:color w:val="FF0000"/>
          <w:sz w:val="24"/>
          <w:szCs w:val="24"/>
        </w:rPr>
        <w:t>中标后</w:t>
      </w:r>
      <w:r>
        <w:rPr>
          <w:rFonts w:hint="eastAsia" w:ascii="宋体" w:hAnsi="宋体"/>
          <w:b/>
          <w:color w:val="FF0000"/>
          <w:sz w:val="24"/>
          <w:szCs w:val="24"/>
        </w:rPr>
        <w:t>却无法</w:t>
      </w:r>
      <w:r>
        <w:rPr>
          <w:rFonts w:ascii="宋体" w:hAnsi="宋体"/>
          <w:b/>
          <w:color w:val="FF0000"/>
          <w:sz w:val="24"/>
          <w:szCs w:val="24"/>
        </w:rPr>
        <w:t>履</w:t>
      </w:r>
      <w:r>
        <w:rPr>
          <w:rFonts w:hint="eastAsia" w:ascii="宋体" w:hAnsi="宋体"/>
          <w:b/>
          <w:color w:val="FF0000"/>
          <w:sz w:val="24"/>
          <w:szCs w:val="24"/>
        </w:rPr>
        <w:t>行</w:t>
      </w:r>
      <w:r>
        <w:rPr>
          <w:rFonts w:ascii="宋体" w:hAnsi="宋体"/>
          <w:b/>
          <w:color w:val="FF0000"/>
          <w:sz w:val="24"/>
          <w:szCs w:val="24"/>
        </w:rPr>
        <w:t>合约</w:t>
      </w:r>
      <w:r>
        <w:rPr>
          <w:rFonts w:hint="eastAsia" w:ascii="宋体" w:hAnsi="宋体"/>
          <w:b/>
          <w:color w:val="FF0000"/>
          <w:sz w:val="24"/>
          <w:szCs w:val="24"/>
        </w:rPr>
        <w:t>等情况</w:t>
      </w:r>
      <w:r>
        <w:rPr>
          <w:rFonts w:ascii="宋体" w:hAnsi="宋体"/>
          <w:b/>
          <w:color w:val="FF0000"/>
          <w:sz w:val="24"/>
          <w:szCs w:val="24"/>
        </w:rPr>
        <w:t>，愿意承担</w:t>
      </w:r>
      <w:r>
        <w:rPr>
          <w:rFonts w:hint="eastAsia" w:ascii="宋体" w:hAnsi="宋体"/>
          <w:b/>
          <w:color w:val="FF0000"/>
          <w:sz w:val="24"/>
          <w:szCs w:val="24"/>
        </w:rPr>
        <w:t>由此引起</w:t>
      </w:r>
      <w:r>
        <w:rPr>
          <w:rFonts w:ascii="宋体" w:hAnsi="宋体"/>
          <w:b/>
          <w:color w:val="FF0000"/>
          <w:sz w:val="24"/>
          <w:szCs w:val="24"/>
        </w:rPr>
        <w:t>的一切后果和相应的法律责任。</w:t>
      </w:r>
    </w:p>
    <w:p>
      <w:pPr>
        <w:pStyle w:val="8"/>
        <w:widowControl/>
        <w:spacing w:line="312" w:lineRule="auto"/>
        <w:ind w:firstLine="480" w:firstLineChars="200"/>
        <w:rPr>
          <w:rFonts w:ascii="宋体" w:hAnsi="宋体"/>
          <w:sz w:val="24"/>
          <w:szCs w:val="24"/>
        </w:rPr>
      </w:pPr>
    </w:p>
    <w:p>
      <w:pPr>
        <w:pStyle w:val="8"/>
        <w:widowControl/>
        <w:spacing w:line="312" w:lineRule="auto"/>
        <w:ind w:firstLine="480" w:firstLineChars="200"/>
        <w:rPr>
          <w:rFonts w:ascii="宋体" w:hAnsi="宋体"/>
          <w:sz w:val="24"/>
          <w:szCs w:val="24"/>
        </w:rPr>
      </w:pPr>
      <w:r>
        <w:rPr>
          <w:rFonts w:hint="eastAsia" w:ascii="宋体" w:hAnsi="宋体"/>
          <w:sz w:val="24"/>
          <w:szCs w:val="24"/>
        </w:rPr>
        <w:t>报价</w:t>
      </w:r>
      <w:r>
        <w:rPr>
          <w:rFonts w:hint="eastAsia" w:ascii="宋体" w:hAnsi="宋体"/>
          <w:sz w:val="24"/>
          <w:szCs w:val="24"/>
          <w:lang w:val="en-US" w:eastAsia="zh-CN"/>
        </w:rPr>
        <w:t>单位</w:t>
      </w:r>
      <w:r>
        <w:rPr>
          <w:rFonts w:hint="eastAsia" w:ascii="宋体" w:hAnsi="宋体"/>
          <w:sz w:val="24"/>
          <w:szCs w:val="24"/>
        </w:rPr>
        <w:t xml:space="preserve">名称： </w:t>
      </w:r>
      <w:r>
        <w:rPr>
          <w:rFonts w:ascii="宋体" w:hAnsi="宋体"/>
          <w:sz w:val="24"/>
          <w:szCs w:val="24"/>
        </w:rPr>
        <w:t xml:space="preserve">                                        </w:t>
      </w:r>
      <w:r>
        <w:rPr>
          <w:rFonts w:hint="eastAsia" w:ascii="宋体" w:hAnsi="宋体"/>
          <w:sz w:val="24"/>
          <w:szCs w:val="24"/>
        </w:rPr>
        <w:t>（加盖公章）</w:t>
      </w:r>
    </w:p>
    <w:p>
      <w:pPr>
        <w:pStyle w:val="8"/>
        <w:widowControl/>
        <w:spacing w:line="312" w:lineRule="auto"/>
        <w:ind w:firstLine="480" w:firstLineChars="200"/>
        <w:rPr>
          <w:rFonts w:ascii="宋体" w:hAnsi="宋体"/>
          <w:sz w:val="24"/>
          <w:szCs w:val="24"/>
        </w:rPr>
      </w:pPr>
      <w:r>
        <w:rPr>
          <w:rFonts w:hint="eastAsia" w:ascii="宋体" w:hAnsi="宋体"/>
          <w:sz w:val="24"/>
          <w:szCs w:val="24"/>
        </w:rPr>
        <w:t xml:space="preserve">联系人：               </w:t>
      </w:r>
      <w:r>
        <w:rPr>
          <w:rFonts w:ascii="宋体" w:hAnsi="宋体"/>
          <w:sz w:val="24"/>
          <w:szCs w:val="24"/>
        </w:rPr>
        <w:t xml:space="preserve">                            </w:t>
      </w:r>
      <w:r>
        <w:rPr>
          <w:rFonts w:hint="eastAsia" w:ascii="宋体" w:hAnsi="宋体"/>
          <w:sz w:val="24"/>
          <w:szCs w:val="24"/>
        </w:rPr>
        <w:t xml:space="preserve">  （签    字）</w:t>
      </w:r>
    </w:p>
    <w:p>
      <w:pPr>
        <w:pStyle w:val="8"/>
        <w:widowControl/>
        <w:spacing w:line="312" w:lineRule="auto"/>
        <w:ind w:firstLine="480" w:firstLineChars="200"/>
        <w:rPr>
          <w:rFonts w:ascii="宋体" w:hAnsi="宋体"/>
          <w:sz w:val="24"/>
          <w:szCs w:val="24"/>
        </w:rPr>
      </w:pPr>
      <w:r>
        <w:rPr>
          <w:rFonts w:hint="eastAsia" w:ascii="宋体" w:hAnsi="宋体"/>
          <w:sz w:val="24"/>
          <w:szCs w:val="24"/>
        </w:rPr>
        <w:t>联系</w:t>
      </w:r>
      <w:r>
        <w:rPr>
          <w:rFonts w:ascii="宋体" w:hAnsi="宋体"/>
          <w:sz w:val="24"/>
          <w:szCs w:val="24"/>
        </w:rPr>
        <w:t>电话：</w:t>
      </w:r>
    </w:p>
    <w:p>
      <w:pPr>
        <w:pStyle w:val="8"/>
        <w:widowControl/>
        <w:spacing w:line="312" w:lineRule="auto"/>
        <w:ind w:firstLine="480" w:firstLineChars="200"/>
        <w:jc w:val="right"/>
        <w:rPr>
          <w:rFonts w:ascii="宋体" w:hAnsi="宋体"/>
          <w:sz w:val="24"/>
          <w:szCs w:val="24"/>
        </w:rPr>
      </w:pPr>
    </w:p>
    <w:p>
      <w:pPr>
        <w:pStyle w:val="8"/>
        <w:widowControl/>
        <w:spacing w:line="312" w:lineRule="auto"/>
        <w:ind w:firstLine="480" w:firstLineChars="200"/>
        <w:jc w:val="right"/>
        <w:rPr>
          <w:rFonts w:hint="eastAsia" w:ascii="宋体" w:hAnsi="宋体"/>
          <w:sz w:val="24"/>
          <w:szCs w:val="24"/>
        </w:rPr>
      </w:pPr>
    </w:p>
    <w:p>
      <w:pPr>
        <w:pStyle w:val="8"/>
        <w:widowControl/>
        <w:spacing w:line="312" w:lineRule="auto"/>
        <w:ind w:firstLine="480" w:firstLineChars="200"/>
        <w:jc w:val="right"/>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年     月     日</w:t>
      </w:r>
    </w:p>
    <w:sectPr>
      <w:pgSz w:w="11906" w:h="16838"/>
      <w:pgMar w:top="1440" w:right="1531" w:bottom="1440"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222123C1">
      <w:pPr>
        <w:pStyle w:val="7"/>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092C2A7B">
      <w:pPr>
        <w:pStyle w:val="7"/>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2C2A7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B2013"/>
    <w:multiLevelType w:val="multilevel"/>
    <w:tmpl w:val="FE1B2013"/>
    <w:lvl w:ilvl="0" w:tentative="0">
      <w:start w:val="1"/>
      <w:numFmt w:val="decimal"/>
      <w:pStyle w:val="26"/>
      <w:lvlText w:val="%1)"/>
      <w:lvlJc w:val="left"/>
      <w:pPr>
        <w:ind w:left="425"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
    <w:nsid w:val="3B363D98"/>
    <w:multiLevelType w:val="multilevel"/>
    <w:tmpl w:val="3B363D98"/>
    <w:lvl w:ilvl="0" w:tentative="0">
      <w:start w:val="1"/>
      <w:numFmt w:val="decimal"/>
      <w:pStyle w:val="6"/>
      <w:lvlText w:val="图%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2">
    <w:nsid w:val="5900A658"/>
    <w:multiLevelType w:val="singleLevel"/>
    <w:tmpl w:val="5900A658"/>
    <w:lvl w:ilvl="0" w:tentative="0">
      <w:start w:val="1"/>
      <w:numFmt w:val="decimal"/>
      <w:suff w:val="nothing"/>
      <w:lvlText w:val="%1、"/>
      <w:lvlJc w:val="left"/>
    </w:lvl>
  </w:abstractNum>
  <w:abstractNum w:abstractNumId="3">
    <w:nsid w:val="6608F89A"/>
    <w:multiLevelType w:val="singleLevel"/>
    <w:tmpl w:val="6608F89A"/>
    <w:lvl w:ilvl="0" w:tentative="0">
      <w:start w:val="1"/>
      <w:numFmt w:val="decimal"/>
      <w:suff w:val="space"/>
      <w:lvlText w:val="%1."/>
      <w:lvlJc w:val="left"/>
      <w:rPr>
        <w:rFonts w:hint="default"/>
        <w:b/>
        <w:bCs/>
      </w:rPr>
    </w:lvl>
  </w:abstractNum>
  <w:abstractNum w:abstractNumId="4">
    <w:nsid w:val="69803115"/>
    <w:multiLevelType w:val="multilevel"/>
    <w:tmpl w:val="69803115"/>
    <w:lvl w:ilvl="0" w:tentative="0">
      <w:start w:val="1"/>
      <w:numFmt w:val="japaneseCounting"/>
      <w:lvlText w:val="%1、"/>
      <w:lvlJc w:val="left"/>
      <w:pPr>
        <w:ind w:left="600" w:hanging="60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GVjM2Y5MGIwOTVhYmJkNWYzZjU0ZjRlY2NlOGY2NDIifQ=="/>
    <w:docVar w:name="KSO_WPS_MARK_KEY" w:val="4a0afc67-3a2b-45d7-961e-5a1b6f8b1213"/>
  </w:docVars>
  <w:rsids>
    <w:rsidRoot w:val="00000000"/>
    <w:rsid w:val="322515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20"/>
    <w:qFormat/>
    <w:uiPriority w:val="0"/>
    <w:pPr>
      <w:keepNext/>
      <w:keepLines/>
      <w:spacing w:before="100" w:after="100" w:line="578" w:lineRule="auto"/>
      <w:ind w:firstLine="200" w:firstLineChars="200"/>
      <w:outlineLvl w:val="0"/>
    </w:pPr>
    <w:rPr>
      <w:rFonts w:eastAsia="宋体"/>
      <w:b/>
      <w:bCs/>
      <w:kern w:val="44"/>
      <w:sz w:val="30"/>
      <w:szCs w:val="44"/>
    </w:rPr>
  </w:style>
  <w:style w:type="paragraph" w:styleId="3">
    <w:name w:val="heading 2"/>
    <w:basedOn w:val="1"/>
    <w:next w:val="1"/>
    <w:link w:val="21"/>
    <w:qFormat/>
    <w:uiPriority w:val="0"/>
    <w:pPr>
      <w:keepNext/>
      <w:keepLines/>
      <w:spacing w:line="415" w:lineRule="auto"/>
      <w:ind w:firstLine="200" w:firstLineChars="200"/>
      <w:outlineLvl w:val="1"/>
    </w:pPr>
    <w:rPr>
      <w:rFonts w:ascii="Cambria" w:hAnsi="Cambria" w:eastAsia="宋体" w:cs="Times New Roman"/>
      <w:b/>
      <w:bCs/>
      <w:sz w:val="32"/>
      <w:szCs w:val="32"/>
    </w:rPr>
  </w:style>
  <w:style w:type="paragraph" w:styleId="4">
    <w:name w:val="heading 3"/>
    <w:basedOn w:val="1"/>
    <w:next w:val="1"/>
    <w:link w:val="22"/>
    <w:qFormat/>
    <w:uiPriority w:val="0"/>
    <w:pPr>
      <w:spacing w:beforeAutospacing="1" w:afterAutospacing="1"/>
      <w:jc w:val="left"/>
      <w:outlineLvl w:val="2"/>
    </w:pPr>
    <w:rPr>
      <w:rFonts w:ascii="宋体" w:hAnsi="宋体" w:eastAsia="宋体" w:cs="Times New Roman"/>
      <w:b/>
      <w:bCs/>
      <w:kern w:val="0"/>
      <w:sz w:val="27"/>
      <w:szCs w:val="27"/>
    </w:rPr>
  </w:style>
  <w:style w:type="paragraph" w:styleId="5">
    <w:name w:val="heading 4"/>
    <w:basedOn w:val="1"/>
    <w:next w:val="1"/>
    <w:link w:val="23"/>
    <w:qFormat/>
    <w:uiPriority w:val="0"/>
    <w:pPr>
      <w:keepNext/>
      <w:keepLines/>
      <w:spacing w:before="120" w:after="120" w:line="377" w:lineRule="auto"/>
      <w:outlineLvl w:val="3"/>
    </w:pPr>
    <w:rPr>
      <w:rFonts w:ascii="Cambria" w:hAnsi="Cambria" w:eastAsia="宋体" w:cs="Times New Roman"/>
      <w:b/>
      <w:bCs/>
      <w:sz w:val="28"/>
      <w:szCs w:val="28"/>
    </w:rPr>
  </w:style>
  <w:style w:type="character" w:default="1" w:styleId="16">
    <w:name w:val="Default Paragraph Font"/>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6">
    <w:name w:val="caption"/>
    <w:basedOn w:val="1"/>
    <w:next w:val="1"/>
    <w:qFormat/>
    <w:uiPriority w:val="0"/>
    <w:pPr>
      <w:numPr>
        <w:ilvl w:val="0"/>
        <w:numId w:val="1"/>
      </w:numPr>
      <w:spacing w:line="360" w:lineRule="auto"/>
      <w:ind w:left="420" w:firstLine="0"/>
      <w:jc w:val="center"/>
    </w:pPr>
    <w:rPr>
      <w:rFonts w:ascii="Arial Unicode MS" w:hAnsi="Arial Unicode MS" w:eastAsia="宋体" w:cs="Times New Roman"/>
      <w:szCs w:val="20"/>
      <w:lang w:val="zh-CN"/>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Plain Text"/>
    <w:basedOn w:val="1"/>
    <w:next w:val="1"/>
    <w:qFormat/>
    <w:uiPriority w:val="0"/>
    <w:rPr>
      <w:rFonts w:ascii="宋体" w:hAnsi="Courier New"/>
      <w:szCs w:val="20"/>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7"/>
    <w:next w:val="7"/>
    <w:qFormat/>
    <w:uiPriority w:val="0"/>
    <w:rPr>
      <w:b/>
      <w:bCs/>
    </w:rPr>
  </w:style>
  <w:style w:type="character" w:styleId="17">
    <w:name w:val="Emphasis"/>
    <w:basedOn w:val="16"/>
    <w:qFormat/>
    <w:uiPriority w:val="0"/>
    <w:rPr>
      <w:i/>
    </w:rPr>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character" w:customStyle="1" w:styleId="20">
    <w:name w:val="heading 1 Char"/>
    <w:basedOn w:val="16"/>
    <w:link w:val="2"/>
    <w:uiPriority w:val="0"/>
    <w:rPr>
      <w:rFonts w:ascii="Calibri" w:hAnsi="Calibri" w:eastAsia="宋体" w:cs="Arial"/>
      <w:b/>
      <w:bCs/>
      <w:kern w:val="44"/>
      <w:sz w:val="30"/>
      <w:szCs w:val="44"/>
      <w:lang w:val="en-US" w:eastAsia="zh-CN" w:bidi="ar-SA"/>
    </w:rPr>
  </w:style>
  <w:style w:type="character" w:customStyle="1" w:styleId="21">
    <w:name w:val="heading 2 Char"/>
    <w:basedOn w:val="16"/>
    <w:link w:val="3"/>
    <w:uiPriority w:val="0"/>
    <w:rPr>
      <w:rFonts w:ascii="Cambria" w:hAnsi="Cambria" w:eastAsia="宋体" w:cs="Times New Roman"/>
      <w:b/>
      <w:bCs/>
      <w:kern w:val="2"/>
      <w:sz w:val="32"/>
      <w:szCs w:val="32"/>
      <w:lang w:val="en-US" w:eastAsia="zh-CN" w:bidi="ar-SA"/>
    </w:rPr>
  </w:style>
  <w:style w:type="character" w:customStyle="1" w:styleId="22">
    <w:name w:val="heading 3 Char"/>
    <w:basedOn w:val="16"/>
    <w:link w:val="4"/>
    <w:uiPriority w:val="0"/>
    <w:rPr>
      <w:rFonts w:ascii="宋体" w:hAnsi="宋体" w:eastAsia="宋体" w:cs="Times New Roman"/>
      <w:b/>
      <w:bCs/>
      <w:kern w:val="0"/>
      <w:sz w:val="27"/>
      <w:szCs w:val="27"/>
      <w:lang w:val="en-US" w:eastAsia="zh-CN" w:bidi="ar-SA"/>
    </w:rPr>
  </w:style>
  <w:style w:type="character" w:customStyle="1" w:styleId="23">
    <w:name w:val="heading 4 Char"/>
    <w:basedOn w:val="16"/>
    <w:link w:val="5"/>
    <w:uiPriority w:val="0"/>
    <w:rPr>
      <w:rFonts w:ascii="Cambria" w:hAnsi="Cambria" w:eastAsia="宋体" w:cs="Times New Roman"/>
      <w:b/>
      <w:bCs/>
      <w:kern w:val="2"/>
      <w:sz w:val="28"/>
      <w:szCs w:val="28"/>
      <w:lang w:val="en-US" w:eastAsia="zh-CN" w:bidi="ar-SA"/>
    </w:rPr>
  </w:style>
  <w:style w:type="paragraph" w:styleId="24">
    <w:name w:val="List Paragraph"/>
    <w:basedOn w:val="1"/>
    <w:qFormat/>
    <w:uiPriority w:val="0"/>
    <w:pPr>
      <w:ind w:firstLine="200" w:firstLineChars="200"/>
    </w:pPr>
  </w:style>
  <w:style w:type="paragraph" w:customStyle="1" w:styleId="25">
    <w:name w:val="样式 首行缩进:  0 字符"/>
    <w:basedOn w:val="1"/>
    <w:qFormat/>
    <w:uiPriority w:val="0"/>
    <w:pPr>
      <w:spacing w:line="360" w:lineRule="auto"/>
      <w:ind w:firstLine="200" w:firstLineChars="200"/>
    </w:pPr>
    <w:rPr>
      <w:rFonts w:ascii="Times New Roman" w:hAnsi="Times New Roman" w:eastAsia="宋体" w:cs="宋体"/>
      <w:sz w:val="24"/>
      <w:szCs w:val="20"/>
    </w:rPr>
  </w:style>
  <w:style w:type="paragraph" w:customStyle="1" w:styleId="26">
    <w:name w:val="编号，小四"/>
    <w:basedOn w:val="1"/>
    <w:qFormat/>
    <w:uiPriority w:val="0"/>
    <w:pPr>
      <w:numPr>
        <w:ilvl w:val="0"/>
        <w:numId w:val="2"/>
      </w:numPr>
      <w:spacing w:line="360" w:lineRule="auto"/>
    </w:pPr>
    <w:rPr>
      <w:rFonts w:ascii="Times New Roman" w:hAnsi="Times New Roman" w:eastAsia="宋体" w:cs="宋体"/>
      <w:sz w:val="24"/>
      <w:szCs w:val="20"/>
    </w:rPr>
  </w:style>
  <w:style w:type="paragraph" w:customStyle="1" w:styleId="27">
    <w:name w:val="*正文"/>
    <w:basedOn w:val="1"/>
    <w:next w:val="1"/>
    <w:qFormat/>
    <w:uiPriority w:val="0"/>
    <w:pPr>
      <w:spacing w:line="360" w:lineRule="auto"/>
      <w:ind w:firstLine="200" w:firstLineChars="200"/>
    </w:pPr>
    <w:rPr>
      <w:rFonts w:ascii="等线" w:hAnsi="等线" w:eastAsia="等线" w:cs="黑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7A9CE-D843-462B-8191-B48BC1D318D0}">
  <ds:schemaRefs/>
</ds:datastoreItem>
</file>

<file path=docProps/app.xml><?xml version="1.0" encoding="utf-8"?>
<Properties xmlns="http://schemas.openxmlformats.org/officeDocument/2006/extended-properties" xmlns:vt="http://schemas.openxmlformats.org/officeDocument/2006/docPropsVTypes">
  <Template>Normal.eit</Template>
  <Company>Www.SangSan.Cn</Company>
  <Pages>5</Pages>
  <Words>2811</Words>
  <Characters>2935</Characters>
  <Lines>0</Lines>
  <Paragraphs>76</Paragraphs>
  <TotalTime>5</TotalTime>
  <ScaleCrop>false</ScaleCrop>
  <LinksUpToDate>false</LinksUpToDate>
  <CharactersWithSpaces>3724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2021-07-13T03:47:00Z</dcterms:created>
  <dc:creator>chh</dc:creator>
  <cp:lastModifiedBy>洁儿</cp:lastModifiedBy>
  <cp:lastPrinted>2021-03-24T07:58:00Z</cp:lastPrinted>
  <dcterms:modified xsi:type="dcterms:W3CDTF">2025-06-13T06:32:55Z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973A1DF5D267412F81A51E6C9B165397</vt:lpwstr>
  </property>
</Properties>
</file>