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 w:eastAsia="仿宋" w:hAnsi="仿宋"/>
          <w:b/>
          <w:sz w:val="72"/>
          <w:szCs w:val="72"/>
        </w:rPr>
      </w:pPr>
    </w:p>
    <w:p>
      <w:pPr>
        <w:jc w:val="center"/>
        <w:rPr>
          <w:rFonts w:ascii="仿宋" w:eastAsia="仿宋" w:hAnsi="仿宋"/>
          <w:b/>
          <w:sz w:val="72"/>
          <w:szCs w:val="72"/>
        </w:rPr>
      </w:pPr>
    </w:p>
    <w:p>
      <w:pPr>
        <w:spacing w:beforeLines="100" w:before="312" w:afterLines="100" w:after="312"/>
        <w:jc w:val="center"/>
        <w:rPr>
          <w:rFonts w:ascii="宋体" w:eastAsia="宋体" w:cs="宋体" w:hAnsi="宋体"/>
          <w:b/>
          <w:color w:val="auto"/>
          <w:sz w:val="72"/>
          <w:szCs w:val="72"/>
        </w:rPr>
      </w:pPr>
      <w:r>
        <w:rPr>
          <w:rFonts w:ascii="宋体" w:eastAsia="宋体" w:cs="宋体" w:hAnsi="宋体" w:hint="eastAsia"/>
          <w:b/>
          <w:color w:val="auto"/>
          <w:sz w:val="72"/>
          <w:szCs w:val="72"/>
        </w:rPr>
        <w:t>浙江海洋大学宣传部融媒体管理平台运维服务项目</w:t>
      </w:r>
    </w:p>
    <w:p>
      <w:pPr>
        <w:spacing w:beforeLines="100" w:before="312" w:afterLines="100" w:after="312"/>
        <w:jc w:val="center"/>
        <w:rPr>
          <w:rFonts w:ascii="宋体" w:eastAsia="宋体" w:cs="宋体" w:hAnsi="宋体"/>
          <w:b/>
          <w:sz w:val="72"/>
          <w:szCs w:val="72"/>
        </w:rPr>
      </w:pPr>
      <w:r>
        <w:rPr>
          <w:rFonts w:ascii="宋体" w:eastAsia="宋体" w:cs="宋体" w:hAnsi="宋体" w:hint="eastAsia"/>
          <w:b/>
          <w:sz w:val="72"/>
          <w:szCs w:val="72"/>
        </w:rPr>
        <w:t>采购（报价）文件</w:t>
      </w:r>
    </w:p>
    <w:p>
      <w:pPr>
        <w:spacing w:beforeLines="100" w:before="312" w:afterLines="100" w:after="312"/>
        <w:jc w:val="center"/>
        <w:rPr>
          <w:rFonts w:ascii="仿宋" w:eastAsia="仿宋" w:hAnsi="仿宋"/>
          <w:b/>
          <w:sz w:val="72"/>
          <w:szCs w:val="72"/>
        </w:rPr>
      </w:pPr>
      <w:r>
        <w:rPr>
          <w:rFonts w:ascii="宋体" w:eastAsia="宋体" w:cs="宋体" w:hAnsi="宋体" w:hint="eastAsia"/>
          <w:b/>
          <w:sz w:val="44"/>
          <w:szCs w:val="44"/>
        </w:rPr>
        <w:t>（竞价采购）</w:t>
      </w:r>
    </w:p>
    <w:p>
      <w:pPr>
        <w:spacing w:beforeLines="100" w:before="312" w:afterLines="100" w:after="312"/>
        <w:jc w:val="center"/>
        <w:rPr>
          <w:rFonts w:ascii="仿宋" w:eastAsia="仿宋" w:hAnsi="仿宋"/>
          <w:b/>
          <w:sz w:val="72"/>
          <w:szCs w:val="72"/>
        </w:rPr>
      </w:pPr>
    </w:p>
    <w:p>
      <w:pPr>
        <w:spacing w:beforeLines="50" w:before="156"/>
        <w:ind w:firstLineChars="300" w:firstLine="1320"/>
        <w:rPr>
          <w:rFonts w:ascii="仿宋" w:hAnsi="仿宋"/>
          <w:b/>
          <w:sz w:val="72"/>
          <w:szCs w:val="72"/>
        </w:rPr>
      </w:pPr>
      <w:r>
        <w:rPr>
          <w:rFonts w:ascii="宋体" w:hAnsi="宋体" w:hint="eastAsia"/>
          <w:b/>
          <w:sz w:val="44"/>
        </w:rPr>
        <w:t>竞价编号：</w:t>
      </w:r>
      <w:r>
        <w:rPr>
          <w:rFonts w:ascii="宋体" w:hAnsi="宋体" w:hint="eastAsia"/>
          <w:b/>
          <w:color w:val="FF0000"/>
          <w:sz w:val="44"/>
          <w:u w:val="single"/>
        </w:rPr>
        <w:t>******</w:t>
      </w:r>
      <w:r>
        <w:rPr>
          <w:rFonts w:ascii="宋体" w:hint="eastAsia"/>
          <w:b/>
          <w:color w:val="FF0000"/>
          <w:sz w:val="44"/>
          <w:u w:val="single"/>
        </w:rPr>
        <w:t>**</w:t>
      </w:r>
      <w:r>
        <w:rPr>
          <w:rFonts w:ascii="宋体" w:hAnsi="宋体" w:hint="eastAsia"/>
          <w:b/>
          <w:color w:val="FF0000"/>
          <w:sz w:val="44"/>
          <w:u w:val="single"/>
        </w:rPr>
        <w:t>****</w:t>
      </w:r>
    </w:p>
    <w:p>
      <w:pPr>
        <w:spacing w:beforeLines="50" w:before="156"/>
        <w:ind w:firstLineChars="300" w:firstLine="1320"/>
        <w:rPr>
          <w:rFonts w:ascii="宋体"/>
          <w:b/>
        </w:rPr>
      </w:pPr>
      <w:r>
        <w:rPr>
          <w:rFonts w:ascii="宋体" w:hint="eastAsia"/>
          <w:b/>
          <w:sz w:val="44"/>
        </w:rPr>
        <w:t>报价单位：</w:t>
      </w:r>
      <w:r>
        <w:rPr>
          <w:rFonts w:ascii="宋体" w:hint="eastAsia"/>
          <w:b/>
          <w:color w:val="FF0000"/>
          <w:sz w:val="44"/>
          <w:u w:val="single"/>
        </w:rPr>
        <w:t>************</w:t>
      </w:r>
    </w:p>
    <w:p>
      <w:pPr>
        <w:spacing w:beforeLines="50" w:before="156" w:line="360" w:lineRule="auto"/>
        <w:ind w:firstLineChars="300" w:firstLine="1320"/>
        <w:rPr>
          <w:rStyle w:val="26"/>
        </w:rPr>
      </w:pPr>
      <w:r>
        <w:rPr>
          <w:rFonts w:ascii="宋体" w:hAnsi="宋体" w:hint="eastAsia"/>
          <w:b/>
          <w:sz w:val="44"/>
        </w:rPr>
        <w:t>联 系 人：</w:t>
      </w:r>
      <w:r>
        <w:rPr>
          <w:rFonts w:ascii="宋体" w:hint="eastAsia"/>
          <w:b/>
          <w:color w:val="FF0000"/>
          <w:sz w:val="44"/>
          <w:u w:val="single"/>
        </w:rPr>
        <w:t>************</w:t>
      </w:r>
    </w:p>
    <w:p>
      <w:pPr>
        <w:spacing w:beforeLines="50" w:before="156"/>
        <w:ind w:firstLineChars="300" w:firstLine="1320"/>
        <w:rPr>
          <w:rFonts w:ascii="宋体"/>
          <w:b/>
          <w:sz w:val="44"/>
          <w:lang w:val="en-US" w:eastAsia="zh-CN"/>
        </w:rPr>
      </w:pPr>
      <w:r>
        <w:rPr>
          <w:rFonts w:ascii="宋体" w:hint="eastAsia"/>
          <w:b/>
          <w:sz w:val="44"/>
          <w:lang w:val="en-US" w:eastAsia="zh-CN"/>
        </w:rPr>
        <w:t>联系电话</w:t>
      </w:r>
      <w:r>
        <w:rPr>
          <w:rFonts w:ascii="宋体" w:hAnsi="宋体" w:hint="eastAsia"/>
          <w:b/>
          <w:sz w:val="44"/>
        </w:rPr>
        <w:t>：</w:t>
      </w:r>
      <w:r>
        <w:rPr>
          <w:rFonts w:ascii="宋体" w:hint="eastAsia"/>
          <w:b/>
          <w:color w:val="FF0000"/>
          <w:sz w:val="44"/>
          <w:u w:val="single"/>
        </w:rPr>
        <w:t>************</w:t>
      </w:r>
      <w:r>
        <w:rPr>
          <w:rStyle w:val="26"/>
        </w:rPr>
        <w:commentReference w:id="0"/>
      </w:r>
    </w:p>
    <w:p>
      <w:pPr>
        <w:spacing w:beforeLines="50" w:before="156" w:line="360" w:lineRule="auto"/>
        <w:ind w:firstLineChars="300" w:firstLine="1320"/>
        <w:rPr>
          <w:rFonts w:ascii="宋体" w:hAnsi="宋体"/>
          <w:b/>
          <w:sz w:val="44"/>
        </w:rPr>
      </w:pPr>
      <w:r>
        <w:rPr>
          <w:rFonts w:ascii="宋体" w:hAnsi="宋体" w:hint="eastAsia"/>
          <w:b/>
          <w:sz w:val="44"/>
        </w:rPr>
        <w:t>日    期：</w:t>
      </w:r>
      <w:r>
        <w:rPr>
          <w:rFonts w:ascii="宋体" w:hint="eastAsia"/>
          <w:b/>
          <w:color w:val="FF0000"/>
          <w:sz w:val="44"/>
          <w:u w:val="none"/>
          <w:lang w:val="en-US" w:eastAsia="zh-CN"/>
        </w:rPr>
        <w:t>202</w:t>
      </w:r>
      <w:r>
        <w:rPr>
          <w:rFonts w:ascii="宋体"/>
          <w:b/>
          <w:color w:val="FF0000"/>
          <w:sz w:val="44"/>
          <w:u w:val="none"/>
          <w:lang w:val="en-US" w:eastAsia="zh-CN"/>
        </w:rPr>
        <w:t>5</w:t>
      </w:r>
      <w:r>
        <w:rPr>
          <w:rFonts w:ascii="宋体" w:hint="eastAsia"/>
          <w:b/>
          <w:color w:val="FF0000"/>
          <w:sz w:val="44"/>
          <w:u w:val="none"/>
        </w:rPr>
        <w:t>年</w:t>
      </w:r>
      <w:r>
        <w:rPr>
          <w:rFonts w:ascii="宋体" w:hint="eastAsia"/>
          <w:b/>
          <w:color w:val="FF0000"/>
          <w:sz w:val="44"/>
          <w:u w:val="single"/>
        </w:rPr>
        <w:t>**</w:t>
      </w:r>
      <w:r>
        <w:rPr>
          <w:rFonts w:ascii="宋体" w:hint="eastAsia"/>
          <w:b/>
          <w:color w:val="FF0000"/>
          <w:sz w:val="44"/>
          <w:u w:val="none"/>
        </w:rPr>
        <w:t>月</w:t>
      </w:r>
      <w:r>
        <w:rPr>
          <w:rFonts w:ascii="宋体" w:hint="eastAsia"/>
          <w:b/>
          <w:color w:val="FF0000"/>
          <w:sz w:val="44"/>
          <w:u w:val="single"/>
        </w:rPr>
        <w:t>**</w:t>
      </w:r>
      <w:r>
        <w:rPr>
          <w:rFonts w:ascii="宋体" w:hint="eastAsia"/>
          <w:b/>
          <w:color w:val="FF0000"/>
          <w:sz w:val="44"/>
          <w:u w:val="none"/>
        </w:rPr>
        <w:t>日</w:t>
      </w:r>
    </w:p>
    <w:p>
      <w:pPr>
        <w:rPr>
          <w:rFonts w:ascii="仿宋" w:eastAsia="仿宋" w:hAnsi="仿宋"/>
          <w:b/>
          <w:sz w:val="72"/>
          <w:szCs w:val="72"/>
        </w:rPr>
      </w:pPr>
    </w:p>
    <w:p>
      <w:pPr>
        <w:spacing w:beforeLines="100" w:before="312"/>
        <w:ind w:right="120"/>
        <w:jc w:val="right"/>
        <w:rPr>
          <w:rFonts w:ascii="宋体" w:eastAsia="宋体" w:cs="Times New Roman" w:hAnsi="Times New Roman"/>
          <w:sz w:val="24"/>
          <w:szCs w:val="24"/>
        </w:rPr>
      </w:pPr>
    </w:p>
    <w:p>
      <w:pPr>
        <w:spacing w:beforeLines="100" w:before="312"/>
        <w:ind w:right="120"/>
        <w:jc w:val="right"/>
        <w:rPr>
          <w:rFonts w:ascii="宋体" w:eastAsia="宋体" w:cs="Times New Roman" w:hAnsi="Times New Roman"/>
          <w:sz w:val="24"/>
          <w:szCs w:val="24"/>
        </w:rPr>
      </w:pPr>
      <w:r>
        <w:rPr>
          <w:rFonts w:ascii="宋体" w:eastAsia="宋体" w:cs="Times New Roman" w:hAnsi="Times New Roman" w:hint="eastAsia"/>
          <w:sz w:val="24"/>
          <w:szCs w:val="24"/>
        </w:rPr>
        <w:t>编制</w:t>
      </w:r>
      <w:r>
        <w:rPr>
          <w:rFonts w:ascii="宋体" w:eastAsia="宋体" w:cs="Times New Roman" w:hAnsi="Times New Roman"/>
          <w:sz w:val="24"/>
          <w:szCs w:val="24"/>
        </w:rPr>
        <w:t>：</w:t>
      </w:r>
      <w:r>
        <w:rPr>
          <w:rFonts w:ascii="宋体" w:eastAsia="宋体" w:cs="Times New Roman" w:hAnsi="Times New Roman" w:hint="eastAsia"/>
          <w:sz w:val="24"/>
          <w:szCs w:val="24"/>
        </w:rPr>
        <w:t>浙江海洋大学采购中心</w:t>
      </w:r>
    </w:p>
    <w:p>
      <w:pPr>
        <w:rPr>
          <w:rFonts w:ascii="仿宋" w:eastAsia="仿宋" w:hAnsi="仿宋"/>
          <w:b/>
          <w:sz w:val="36"/>
          <w:szCs w:val="36"/>
        </w:rPr>
      </w:pPr>
      <w:r>
        <w:rPr>
          <w:rFonts w:ascii="仿宋" w:eastAsia="仿宋" w:hAnsi="仿宋" w:hint="eastAsia"/>
          <w:b/>
          <w:sz w:val="36"/>
          <w:szCs w:val="36"/>
        </w:rPr>
        <w:br w:type="page"/>
      </w:r>
    </w:p>
    <w:p>
      <w:pPr>
        <w:pStyle w:val="27"/>
        <w:spacing w:beforeLines="50" w:before="156" w:afterLines="50" w:after="156"/>
        <w:ind w:firstLineChars="0" w:firstLine="0"/>
        <w:jc w:val="center"/>
        <w:rPr>
          <w:rFonts w:ascii="仿宋" w:eastAsia="仿宋" w:hAnsi="仿宋"/>
          <w:b/>
          <w:sz w:val="36"/>
          <w:szCs w:val="36"/>
        </w:rPr>
      </w:pPr>
      <w:r>
        <w:rPr>
          <w:rFonts w:ascii="仿宋" w:eastAsia="仿宋" w:hAnsi="仿宋" w:hint="eastAsia"/>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lang w:val="en-US" w:eastAsia="zh-CN"/>
        </w:rPr>
        <w:t>沈</w:t>
      </w:r>
      <w:r>
        <w:rPr>
          <w:rFonts w:hint="eastAsia"/>
          <w:lang w:val="en-US" w:eastAsia="zh-CN"/>
        </w:rPr>
        <w:t>老师18268733116</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w:t>
      </w:r>
      <w:r>
        <w:t>180378</w:t>
      </w:r>
      <w:r>
        <w:rPr>
          <w:rFonts w:hint="eastAsia"/>
        </w:rPr>
        <w:t>；邮箱：627195050@qq.com；地址：浙江舟山市定海区临城街道海大南路1号。</w:t>
      </w:r>
    </w:p>
    <w:p>
      <w:pPr>
        <w:rPr>
          <w:rFonts w:ascii="仿宋" w:eastAsia="仿宋" w:hAnsi="仿宋"/>
          <w:b/>
          <w:sz w:val="28"/>
          <w:szCs w:val="28"/>
        </w:rPr>
      </w:pPr>
      <w:r>
        <w:rPr>
          <w:sz w:val="28"/>
        </w:rPr>
        <mc:AlternateContent>
          <mc:Choice Requires="wps">
            <w:drawing>
              <wp:anchor distT="0" distB="0" distL="114300" distR="114300" simplePos="0" relativeHeight="12" behindDoc="0" locked="0" layoutInCell="1" hidden="0" allowOverlap="1">
                <wp:simplePos x="0" y="0"/>
                <wp:positionH relativeFrom="column">
                  <wp:posOffset>-80645</wp:posOffset>
                </wp:positionH>
                <wp:positionV relativeFrom="paragraph">
                  <wp:posOffset>49530</wp:posOffset>
                </wp:positionV>
                <wp:extent cx="5850888" cy="1564638"/>
                <wp:effectExtent l="13970" t="13970" r="21590" b="21590"/>
                <wp:wrapNone/>
                <wp:docPr id="5" name="组合 5"/>
                <wp:cNvGraphicFramePr>
                  <a:graphicFrameLocks noChangeAspect="0"/>
                </wp:cNvGraphicFramePr>
                <a:graphic>
                  <a:graphicData uri="http://schemas.microsoft.com/office/word/2010/wordprocessingGroup">
                    <wpg:wgp>
                      <wpg:cNvPr id="1" name="组合 1"/>
                      <wpg:cNvGrpSpPr/>
                      <wpg:grpSpPr>
                        <a:xfrm rot="0">
                          <a:off x="0" y="0"/>
                          <a:ext cx="5850888" cy="1564638"/>
                          <a:chOff x="0" y="0"/>
                          <a:chExt cx="5850888" cy="1564638"/>
                        </a:xfrm>
                        <a:prstGeom prst="rect"/>
                        <a:solidFill>
                          <a:srgbClr val="FFFFFF"/>
                        </a:solidFill>
                        <a:ln w="9525" cmpd="sng" cap="flat">
                          <a:solidFill>
                            <a:srgbClr val="000000"/>
                          </a:solidFill>
                          <a:prstDash val="solid"/>
                          <a:miter/>
                        </a:ln>
                      </wpg:grpSpPr>
                      <wps:wsp>
                        <wps:cNvPr id="2" name="文本框 1 2 2 2 2"/>
                        <wps:cNvSpPr/>
                        <wps:spPr>
                          <a:xfrm rot="0">
                            <a:off x="0" y="304354"/>
                            <a:ext cx="5850256" cy="1260285"/>
                          </a:xfrm>
                          <a:prstGeom prst="rect"/>
                          <a:noFill/>
                          <a:ln w="28575" cmpd="sng" cap="flat">
                            <a:solidFill>
                              <a:srgbClr val="000000"/>
                            </a:solidFill>
                            <a:prstDash val="solid"/>
                            <a:round/>
                          </a:ln>
                        </wps:spPr>
                        <wps:txbx id="3">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5"/>
                                  <w:rFonts w:ascii="Times New Roman" w:eastAsia="宋体" w:cs="Times New Roman" w:hAnsi="Times New Roman" w:hint="eastAsia"/>
                                  <w:b/>
                                  <w:bCs/>
                                  <w:color w:val="auto"/>
                                  <w:u w:val="none"/>
                                  <w:lang w:val="en-US" w:eastAsia="zh-CN"/>
                                </w:rPr>
                                <w:t>www.zcygov.cn</w:t>
                              </w:r>
                              <w:r>
                                <w:rPr>
                                  <w:rStyle w:val="25"/>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5"/>
                                  <w:rFonts w:ascii="Times New Roman" w:eastAsia="宋体" w:cs="Times New Roman" w:hAnsi="Times New Roman" w:hint="eastAsia"/>
                                  <w:b w:val="0"/>
                                  <w:bCs w:val="0"/>
                                  <w:color w:val="auto"/>
                                  <w:u w:val="none"/>
                                  <w:lang w:val="en-US" w:eastAsia="zh-CN"/>
                                </w:rPr>
                                <w:t>通</w:t>
                              </w:r>
                              <w:r>
                                <w:rPr>
                                  <w:rStyle w:val="25"/>
                                  <w:rFonts w:hint="eastAsia"/>
                                  <w:b w:val="0"/>
                                  <w:bCs w:val="0"/>
                                  <w:color w:val="auto"/>
                                  <w:u w:val="none"/>
                                  <w:lang w:val="en-US" w:eastAsia="zh-CN"/>
                                </w:rPr>
                                <w:t>过</w:t>
                              </w:r>
                              <w:r>
                                <w:rPr>
                                  <w:rStyle w:val="25"/>
                                  <w:rFonts w:hint="eastAsia"/>
                                  <w:b/>
                                  <w:bCs/>
                                  <w:color w:val="auto"/>
                                  <w:u w:val="none"/>
                                  <w:lang w:val="en-US" w:eastAsia="zh-CN"/>
                                </w:rPr>
                                <w:t>浙江政府采购网（https://zfcg.czt.zj.gov.cn/）</w:t>
                              </w:r>
                              <w:r>
                                <w:rPr>
                                  <w:rStyle w:val="25"/>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4 4"/>
                        <wps:cNvSpPr/>
                        <wps:spPr>
                          <a:xfrm rot="0">
                            <a:off x="1904" y="0"/>
                            <a:ext cx="5848984" cy="302514"/>
                          </a:xfrm>
                          <a:prstGeom prst="rect"/>
                          <a:noFill/>
                          <a:ln w="28575" cmpd="sng" cap="flat">
                            <a:solidFill>
                              <a:srgbClr val="000000"/>
                            </a:solidFill>
                            <a:prstDash val="solid"/>
                            <a:round/>
                          </a:ln>
                        </wps:spPr>
                        <wps:txbx id="5">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s:bodyPr vert="horz" wrap="square" lIns="91440" tIns="45720" rIns="91440" bIns="45720" anchor="t" anchorCtr="0" upright="1">
                        <a:noAutofit/>
                      </wps:bodyPr>
                    </wpg:wgp>
                  </a:graphicData>
                </a:graphic>
              </wp:anchor>
            </w:drawing>
          </mc:Choice>
          <mc:Fallback>
            <w:pict>
              <v:group type="#_x0000_t1" id="组合 5" o:spid="_x0000_s6" coordorigin="1404,12906" coordsize="9213,2463" style="position:absolute;margin-left:-6.3500004pt;margin-top:3.9pt;width:460.69986pt;height:123.19991pt;z-index:12;mso-position-horizontal:absolute;mso-position-vertical:absolute;">
                <v:rect type="#_x0000_t1" id="_s7" o:spid="_x0000_s7" style="position:absolute;left:1404;top:13385;width:9213;height:1984;mso-wrap-style:square;" filled="f" stroked="t" strokeweight="2.25pt">
                  <v:textbox id="848" inset="2.54mm,1.27mm,2.54mm,1.27mm" o:insetmode="custom" style="layout-flow:horizontal;v-text-anchor:top;">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5"/>
                            <w:rFonts w:ascii="Times New Roman" w:eastAsia="宋体" w:cs="Times New Roman" w:hAnsi="Times New Roman" w:hint="eastAsia"/>
                            <w:b/>
                            <w:bCs/>
                            <w:color w:val="auto"/>
                            <w:u w:val="none"/>
                            <w:lang w:val="en-US" w:eastAsia="zh-CN"/>
                          </w:rPr>
                          <w:t>www.zcygov.cn</w:t>
                        </w:r>
                        <w:r>
                          <w:rPr>
                            <w:rStyle w:val="25"/>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5"/>
                            <w:rFonts w:ascii="Times New Roman" w:eastAsia="宋体" w:cs="Times New Roman" w:hAnsi="Times New Roman" w:hint="eastAsia"/>
                            <w:b w:val="0"/>
                            <w:bCs w:val="0"/>
                            <w:color w:val="auto"/>
                            <w:u w:val="none"/>
                            <w:lang w:val="en-US" w:eastAsia="zh-CN"/>
                          </w:rPr>
                          <w:t>通</w:t>
                        </w:r>
                        <w:r>
                          <w:rPr>
                            <w:rStyle w:val="25"/>
                            <w:rFonts w:hint="eastAsia"/>
                            <w:b w:val="0"/>
                            <w:bCs w:val="0"/>
                            <w:color w:val="auto"/>
                            <w:u w:val="none"/>
                            <w:lang w:val="en-US" w:eastAsia="zh-CN"/>
                          </w:rPr>
                          <w:t>过</w:t>
                        </w:r>
                        <w:r>
                          <w:rPr>
                            <w:rStyle w:val="25"/>
                            <w:rFonts w:hint="eastAsia"/>
                            <w:b/>
                            <w:bCs/>
                            <w:color w:val="auto"/>
                            <w:u w:val="none"/>
                            <w:lang w:val="en-US" w:eastAsia="zh-CN"/>
                          </w:rPr>
                          <w:t>浙江政府采购网（https://zfcg.czt.zj.gov.cn/）</w:t>
                        </w:r>
                        <w:r>
                          <w:rPr>
                            <w:rStyle w:val="25"/>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troke color="#000000"/>
                </v:rect>
                <v:rect type="#_x0000_t1" id="_s8" o:spid="_x0000_s8" style="position:absolute;left:1406;top:12906;width:9210;height:476;mso-wrap-style:square;" filled="f" stroked="t" strokeweight="2.25pt">
                  <v:textbox id="849" inset="2.54mm,1.27mm,2.54mm,1.27mm" o:insetmode="custom" style="layout-flow:horizontal;v-text-anchor:top;">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v:textbox>
                  <v:stroke color="#000000"/>
                </v:rect>
              </v:group>
            </w:pict>
          </mc:Fallback>
        </mc:AlternateContent>
      </w:r>
    </w:p>
    <w:p>
      <w:pPr>
        <w:rPr>
          <w:rFonts w:ascii="仿宋" w:eastAsia="仿宋" w:hAnsi="仿宋"/>
          <w:b/>
          <w:sz w:val="28"/>
          <w:szCs w:val="28"/>
        </w:rPr>
      </w:pPr>
      <w:r>
        <w:rPr>
          <w:rFonts w:ascii="仿宋" w:eastAsia="仿宋" w:hAnsi="仿宋" w:hint="eastAsia"/>
          <w:b/>
          <w:sz w:val="28"/>
          <w:szCs w:val="28"/>
        </w:rPr>
        <w:br w:type="page"/>
      </w:r>
    </w:p>
    <w:p>
      <w:pPr>
        <w:pStyle w:val="27"/>
        <w:numPr>
          <w:ilvl w:val="0"/>
          <w:numId w:val="2"/>
        </w:numPr>
        <w:spacing w:beforeLines="50" w:before="156"/>
        <w:ind w:left="601" w:firstLineChars="0" w:hanging="601"/>
        <w:rPr>
          <w:rFonts w:ascii="仿宋" w:eastAsia="仿宋" w:hAnsi="仿宋"/>
          <w:b/>
          <w:color w:val="000000"/>
          <w:sz w:val="28"/>
          <w:szCs w:val="28"/>
        </w:rPr>
      </w:pPr>
      <w:r>
        <w:rPr>
          <w:rFonts w:ascii="仿宋" w:eastAsia="仿宋" w:hAnsi="仿宋" w:hint="eastAsia"/>
          <w:b/>
          <w:color w:val="000000"/>
          <w:sz w:val="28"/>
          <w:szCs w:val="28"/>
        </w:rPr>
        <w:t>商品（服务）类型和报价</w:t>
      </w:r>
    </w:p>
    <w:tbl>
      <w:tblPr>
        <w:jc w:val="center"/>
        <w:tblW w:w="93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56"/>
        <w:gridCol w:w="2844"/>
        <w:gridCol w:w="2154"/>
        <w:gridCol w:w="1920"/>
        <w:gridCol w:w="1455"/>
      </w:tblGrid>
      <w:tr>
        <w:trPr>
          <w:trHeight w:val="475"/>
          <w:tblHeader/>
        </w:trPr>
        <w:tc>
          <w:tcPr>
            <w:tcW w:w="956"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2844"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商品名称</w:t>
            </w:r>
          </w:p>
        </w:tc>
        <w:tc>
          <w:tcPr>
            <w:tcW w:w="2154"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b/>
                <w:bCs/>
                <w:kern w:val="0"/>
                <w:sz w:val="24"/>
                <w:szCs w:val="24"/>
              </w:rPr>
              <w:t>服务商名称</w:t>
            </w:r>
            <w:bookmarkStart w:id="1" w:name="_GoBack"/>
            <w:bookmarkEnd w:id="1"/>
          </w:p>
        </w:tc>
        <w:tc>
          <w:tcPr>
            <w:tcW w:w="1920"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数量/单位</w:t>
            </w:r>
          </w:p>
        </w:tc>
        <w:tc>
          <w:tcPr>
            <w:tcW w:w="1455"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金额（元）</w:t>
            </w:r>
          </w:p>
        </w:tc>
      </w:tr>
      <w:tr>
        <w:trPr>
          <w:trHeight w:val="509"/>
        </w:trPr>
        <w:tc>
          <w:tcPr>
            <w:tcW w:w="956" w:type="dxa"/>
            <w:tcBorders>
              <w:tl2br w:val="nil"/>
              <w:tr2bl w:val="nil"/>
            </w:tcBorders>
            <w:vAlign w:val="center"/>
          </w:tcPr>
          <w:p>
            <w:pPr>
              <w:jc w:val="center"/>
              <w:rPr>
                <w:rFonts w:ascii="Times New Roman" w:eastAsia="宋体" w:cs="Times New Roman" w:hAnsi="Times New Roman"/>
                <w:kern w:val="0"/>
                <w:szCs w:val="21"/>
              </w:rPr>
            </w:pPr>
            <w:r>
              <w:rPr>
                <w:rFonts w:ascii="Times New Roman" w:eastAsia="宋体" w:cs="Times New Roman" w:hAnsi="Times New Roman" w:hint="eastAsia"/>
                <w:kern w:val="0"/>
                <w:szCs w:val="21"/>
              </w:rPr>
              <w:t>（一）</w:t>
            </w:r>
          </w:p>
        </w:tc>
        <w:tc>
          <w:tcPr>
            <w:tcW w:w="2844" w:type="dxa"/>
            <w:tcBorders>
              <w:tl2br w:val="nil"/>
              <w:tr2bl w:val="nil"/>
            </w:tcBorders>
            <w:vAlign w:val="center"/>
          </w:tcPr>
          <w:p>
            <w:pPr>
              <w:jc w:val="center"/>
              <w:rPr>
                <w:rFonts w:ascii="Times New Roman" w:eastAsia="宋体" w:cs="Times New Roman" w:hAnsi="Times New Roman"/>
                <w:kern w:val="0"/>
                <w:szCs w:val="21"/>
              </w:rPr>
            </w:pPr>
            <w:r>
              <w:rPr>
                <w:rFonts w:hint="eastAsia"/>
              </w:rPr>
              <w:t>融媒体系统维保服务</w:t>
            </w:r>
          </w:p>
        </w:tc>
        <w:tc>
          <w:tcPr>
            <w:tcW w:w="2154" w:type="dxa"/>
            <w:tcBorders>
              <w:tl2br w:val="nil"/>
              <w:tr2bl w:val="nil"/>
            </w:tcBorders>
            <w:vAlign w:val="center"/>
          </w:tcPr>
          <w:p>
            <w:pPr>
              <w:jc w:val="center"/>
              <w:rPr>
                <w:rFonts w:ascii="Times New Roman" w:eastAsia="宋体" w:cs="Times New Roman" w:hAnsi="Times New Roman"/>
                <w:kern w:val="0"/>
                <w:szCs w:val="21"/>
              </w:rPr>
            </w:pPr>
          </w:p>
        </w:tc>
        <w:tc>
          <w:tcPr>
            <w:tcW w:w="1920" w:type="dxa"/>
            <w:tcBorders>
              <w:tl2br w:val="nil"/>
              <w:tr2bl w:val="nil"/>
            </w:tcBorders>
            <w:vAlign w:val="center"/>
          </w:tcPr>
          <w:p>
            <w:pPr>
              <w:jc w:val="center"/>
              <w:rPr>
                <w:rFonts w:ascii="Times New Roman" w:eastAsia="宋体" w:cs="Times New Roman" w:hAnsi="Times New Roman"/>
                <w:kern w:val="0"/>
                <w:szCs w:val="21"/>
              </w:rPr>
            </w:pPr>
            <w:r>
              <w:t xml:space="preserve">1 </w:t>
            </w:r>
            <w:r>
              <w:rPr>
                <w:rFonts w:hint="eastAsia"/>
              </w:rPr>
              <w:t>/</w:t>
            </w:r>
            <w:r>
              <w:t>年</w:t>
            </w:r>
          </w:p>
        </w:tc>
        <w:tc>
          <w:tcPr>
            <w:tcW w:w="1455" w:type="dxa"/>
            <w:tcBorders>
              <w:tl2br w:val="nil"/>
              <w:tr2bl w:val="nil"/>
            </w:tcBorders>
            <w:vAlign w:val="center"/>
          </w:tcPr>
          <w:p>
            <w:pPr>
              <w:jc w:val="center"/>
              <w:rPr>
                <w:rFonts w:ascii="Times New Roman" w:eastAsia="宋体" w:cs="Times New Roman" w:hAnsi="Times New Roman"/>
                <w:kern w:val="0"/>
                <w:sz w:val="20"/>
                <w:szCs w:val="21"/>
              </w:rPr>
            </w:pPr>
          </w:p>
        </w:tc>
      </w:tr>
      <w:tr>
        <w:trPr>
          <w:trHeight w:val="614"/>
        </w:trPr>
        <w:tc>
          <w:tcPr>
            <w:tcW w:w="9329" w:type="dxa"/>
            <w:gridSpan w:val="5"/>
            <w:tcBorders>
              <w:tl2br w:val="nil"/>
              <w:tr2bl w:val="nil"/>
            </w:tcBorders>
          </w:tcPr>
          <w:p>
            <w:pPr>
              <w:pStyle w:val="1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s="仿宋_GB2312" w:hAnsi="仿宋_GB2312"/>
                <w:b/>
                <w:bCs/>
                <w:sz w:val="24"/>
                <w:szCs w:val="24"/>
              </w:rPr>
            </w:pPr>
          </w:p>
          <w:p>
            <w:pPr>
              <w:pStyle w:val="1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_GB2312" w:cs="仿宋_GB2312" w:hAnsi="仿宋_GB2312"/>
                <w:sz w:val="24"/>
                <w:szCs w:val="24"/>
              </w:rPr>
            </w:pPr>
            <w:r>
              <w:rPr>
                <w:rFonts w:ascii="仿宋_GB2312" w:eastAsia="仿宋_GB2312" w:cs="仿宋_GB2312" w:hAnsi="仿宋_GB2312" w:hint="eastAsia"/>
                <w:b/>
                <w:bCs/>
                <w:sz w:val="24"/>
                <w:szCs w:val="24"/>
              </w:rPr>
              <w:t>合计总价：小写</w:t>
            </w:r>
            <w:r>
              <w:rPr>
                <w:rFonts w:ascii="仿宋_GB2312" w:eastAsia="仿宋_GB2312" w:cs="仿宋_GB2312" w:hAnsi="仿宋_GB2312" w:hint="eastAsia"/>
                <w:b/>
                <w:bCs/>
                <w:sz w:val="24"/>
                <w:szCs w:val="24"/>
                <w:u w:val="single"/>
              </w:rPr>
              <w:t xml:space="preserve">          </w:t>
            </w:r>
            <w:r>
              <w:rPr>
                <w:rFonts w:ascii="仿宋_GB2312" w:eastAsia="仿宋_GB2312" w:cs="仿宋_GB2312" w:hAnsi="仿宋_GB2312" w:hint="eastAsia"/>
                <w:b/>
                <w:bCs/>
                <w:sz w:val="24"/>
                <w:szCs w:val="24"/>
              </w:rPr>
              <w:t>元，大写</w:t>
            </w:r>
            <w:r>
              <w:rPr>
                <w:rFonts w:ascii="仿宋_GB2312" w:eastAsia="仿宋_GB2312" w:cs="仿宋_GB2312" w:hAnsi="仿宋_GB2312" w:hint="eastAsia"/>
                <w:b/>
                <w:bCs/>
                <w:sz w:val="24"/>
                <w:szCs w:val="24"/>
                <w:u w:val="single"/>
              </w:rPr>
              <w:t xml:space="preserve">                       </w:t>
            </w:r>
            <w:r>
              <w:rPr>
                <w:rFonts w:ascii="仿宋_GB2312" w:eastAsia="仿宋_GB2312" w:cs="仿宋_GB2312" w:hAnsi="仿宋_GB2312" w:hint="eastAsia"/>
                <w:b/>
                <w:bCs/>
                <w:sz w:val="24"/>
                <w:szCs w:val="24"/>
              </w:rPr>
              <w:t>圆整。</w:t>
            </w:r>
          </w:p>
        </w:tc>
      </w:tr>
    </w:tbl>
    <w:p>
      <w:pPr>
        <w:pStyle w:val="27"/>
        <w:numPr>
          <w:ilvl w:val="0"/>
          <w:numId w:val="2"/>
        </w:numPr>
        <w:spacing w:beforeLines="50" w:before="156"/>
        <w:ind w:left="0" w:firstLineChars="0" w:firstLine="0"/>
        <w:rPr>
          <w:rFonts w:ascii="仿宋" w:eastAsia="仿宋" w:hAnsi="仿宋"/>
          <w:b/>
          <w:sz w:val="28"/>
          <w:szCs w:val="28"/>
        </w:rPr>
      </w:pPr>
      <w:r>
        <w:rPr>
          <w:rFonts w:ascii="仿宋" w:eastAsia="仿宋" w:hAnsi="仿宋" w:hint="eastAsia"/>
          <w:b/>
          <w:sz w:val="28"/>
          <w:szCs w:val="28"/>
        </w:rPr>
        <w:t>技术参数要求</w:t>
      </w:r>
    </w:p>
    <w:tbl>
      <w:tblPr>
        <w:jc w:val="center"/>
        <w:tblW w:w="9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02"/>
        <w:gridCol w:w="1005"/>
        <w:gridCol w:w="6225"/>
        <w:gridCol w:w="1233"/>
      </w:tblGrid>
      <w:tr>
        <w:trPr>
          <w:trHeight w:val="598"/>
          <w:tblHeader/>
        </w:trPr>
        <w:tc>
          <w:tcPr>
            <w:tcW w:w="902"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1005"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b/>
                <w:bCs/>
                <w:kern w:val="0"/>
                <w:sz w:val="24"/>
                <w:szCs w:val="24"/>
              </w:rPr>
              <w:t>服务产品</w:t>
            </w:r>
          </w:p>
        </w:tc>
        <w:tc>
          <w:tcPr>
            <w:tcW w:w="6225"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b/>
                <w:bCs/>
                <w:kern w:val="0"/>
                <w:sz w:val="24"/>
                <w:szCs w:val="24"/>
              </w:rPr>
              <w:t>服务要求</w:t>
            </w:r>
          </w:p>
        </w:tc>
        <w:tc>
          <w:tcPr>
            <w:tcW w:w="1233" w:type="dxa"/>
            <w:tcBorders>
              <w:tl2br w:val="nil"/>
              <w:tr2bl w:val="nil"/>
            </w:tcBorders>
            <w:vAlign w:val="center"/>
          </w:tcPr>
          <w:p>
            <w:pPr>
              <w:spacing w:line="240" w:lineRule="exact"/>
              <w:jc w:val="center"/>
              <w:rPr>
                <w:rFonts w:ascii="仿宋" w:eastAsia="仿宋" w:cs="仿宋" w:hAnsi="仿宋" w:hint="eastAsia"/>
                <w:b/>
                <w:bCs/>
                <w:color w:val="000000"/>
                <w:kern w:val="0"/>
                <w:sz w:val="24"/>
                <w:szCs w:val="24"/>
              </w:rPr>
            </w:pPr>
            <w:r>
              <w:rPr>
                <w:rFonts w:ascii="仿宋" w:eastAsia="仿宋" w:cs="仿宋" w:hAnsi="仿宋" w:hint="eastAsia"/>
                <w:b/>
                <w:bCs/>
                <w:color w:val="000000"/>
                <w:kern w:val="0"/>
                <w:sz w:val="24"/>
                <w:szCs w:val="24"/>
              </w:rPr>
              <w:t>供方响应</w:t>
            </w:r>
          </w:p>
        </w:tc>
      </w:tr>
      <w:tr>
        <w:tc>
          <w:tcPr>
            <w:tcW w:w="902" w:type="dxa"/>
            <w:vMerge w:val="restart"/>
            <w:tcBorders>
              <w:tl2br w:val="nil"/>
              <w:tr2bl w:val="nil"/>
            </w:tcBorders>
            <w:vAlign w:val="center"/>
          </w:tcPr>
          <w:p>
            <w:pPr>
              <w:jc w:val="center"/>
              <w:rPr>
                <w:rFonts w:ascii="宋体" w:cs="宋体" w:hAnsi="宋体" w:hint="eastAsia"/>
                <w:kern w:val="0"/>
                <w:szCs w:val="21"/>
              </w:rPr>
            </w:pPr>
            <w:r>
              <w:rPr>
                <w:rFonts w:ascii="宋体" w:cs="宋体" w:hAnsi="宋体" w:hint="eastAsia"/>
                <w:kern w:val="0"/>
                <w:szCs w:val="21"/>
              </w:rPr>
              <w:t>（一）</w:t>
            </w:r>
          </w:p>
          <w:p>
            <w:pPr>
              <w:jc w:val="center"/>
              <w:rPr>
                <w:rFonts w:ascii="宋体" w:cs="宋体" w:hAnsi="宋体" w:hint="eastAsia"/>
                <w:kern w:val="0"/>
                <w:szCs w:val="21"/>
              </w:rPr>
            </w:pPr>
            <w:r>
              <w:rPr>
                <w:rFonts w:ascii="宋体" w:cs="宋体" w:hAnsi="宋体" w:hint="eastAsia"/>
                <w:kern w:val="0"/>
                <w:szCs w:val="21"/>
              </w:rPr>
              <w:t>融媒体系统维保服务</w:t>
            </w:r>
          </w:p>
        </w:tc>
        <w:tc>
          <w:tcPr>
            <w:tcW w:w="1005" w:type="dxa"/>
            <w:vMerge w:val="restart"/>
            <w:tcBorders>
              <w:tl2br w:val="nil"/>
              <w:tr2bl w:val="nil"/>
            </w:tcBorders>
            <w:vAlign w:val="center"/>
          </w:tcPr>
          <w:p>
            <w:pPr>
              <w:jc w:val="both"/>
              <w:rPr>
                <w:rFonts w:ascii="宋体" w:cs="宋体" w:hAnsi="宋体"/>
                <w:kern w:val="0"/>
                <w:szCs w:val="21"/>
              </w:rPr>
            </w:pPr>
            <w:r>
              <w:rPr>
                <w:rFonts w:ascii="宋体" w:cs="宋体" w:hAnsi="宋体" w:hint="eastAsia"/>
                <w:kern w:val="0"/>
                <w:szCs w:val="21"/>
              </w:rPr>
              <w:t>响应支</w:t>
            </w:r>
          </w:p>
          <w:p>
            <w:pPr>
              <w:jc w:val="both"/>
              <w:rPr>
                <w:rFonts w:ascii="宋体" w:cs="宋体" w:hAnsi="宋体" w:hint="eastAsia"/>
                <w:kern w:val="0"/>
                <w:szCs w:val="21"/>
              </w:rPr>
            </w:pPr>
            <w:r>
              <w:rPr>
                <w:rFonts w:ascii="宋体" w:cs="宋体" w:hAnsi="宋体" w:hint="eastAsia"/>
                <w:kern w:val="0"/>
                <w:szCs w:val="21"/>
              </w:rPr>
              <w:t>持服务</w:t>
            </w:r>
          </w:p>
        </w:tc>
        <w:tc>
          <w:tcPr>
            <w:tcW w:w="6225" w:type="dxa"/>
            <w:tcBorders>
              <w:tl2br w:val="nil"/>
              <w:tr2bl w:val="nil"/>
            </w:tcBorders>
            <w:vAlign w:val="center"/>
          </w:tcPr>
          <w:p>
            <w:pPr>
              <w:jc w:val="left"/>
              <w:rPr>
                <w:rFonts w:ascii="宋体" w:cs="宋体" w:hAnsi="宋体" w:hint="eastAsia"/>
                <w:kern w:val="0"/>
                <w:szCs w:val="21"/>
              </w:rPr>
            </w:pPr>
            <w:r>
              <w:rPr>
                <w:rFonts w:ascii="宋体" w:cs="宋体" w:hAnsi="宋体" w:hint="eastAsia"/>
                <w:kern w:val="0"/>
                <w:szCs w:val="21"/>
              </w:rPr>
              <w:t>7*24小时技术支持服务：提供7天×24小时×365天的电话支持服务，包括节假日，非工作时间均可通过电话进行各类常见问题或疑难问题的解答，问题咨询，产品使用指导等。</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vAlign w:val="center"/>
          </w:tcPr>
          <w:p>
            <w:pPr>
              <w:jc w:val="left"/>
              <w:rPr>
                <w:rFonts w:ascii="宋体" w:cs="宋体" w:hAnsi="宋体" w:hint="eastAsia"/>
                <w:kern w:val="0"/>
                <w:szCs w:val="21"/>
              </w:rPr>
            </w:pPr>
            <w:r>
              <w:rPr>
                <w:rFonts w:ascii="宋体" w:cs="宋体" w:hAnsi="宋体" w:hint="eastAsia"/>
                <w:kern w:val="0"/>
                <w:szCs w:val="21"/>
              </w:rPr>
              <w:t>产品bug修改：对产品bug进行修复。</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平台故障诊断：当系统无法访问，或出现故障无法使用时，由工程师介入诊断问题点，并给出修复方案。</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平台故障修复：对平台在运行过程中出现的故障进行修复服务，确保平台稳定，正常运维。</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故障问题数据修复：因操作不当、电脑网络、VPN影响、环境因素等，导致以往正常业务无法使用或使用后出现BUG的问题数据修复处理工作。</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平台与已对接的第三方系统问题处理：平台与已对接的第三方系统问题处理。比如已对接的单点登录、办事大厅、企业微信、校园APP等，在使用的过程中出现异常，无法使用等问题的定位和处理工作。</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远程操作支持服务：主要包含当进行疑难问题解答，问题咨询等服务时，通过线上远程软件进行辅助，对客户进行一对一操作解答服务。</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kern w:val="0"/>
                <w:szCs w:val="21"/>
              </w:rPr>
            </w:pPr>
            <w:r>
              <w:rPr>
                <w:rFonts w:ascii="宋体" w:cs="宋体" w:hAnsi="宋体" w:hint="eastAsia"/>
                <w:kern w:val="0"/>
                <w:szCs w:val="21"/>
              </w:rPr>
              <w:t>安全漏洞修复：对安全厂商、上级部门的漏扫报告进行一对一资深技术分析、处理，并提供书面的正式处理回复报告。</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005" w:type="dxa"/>
            <w:vMerge w:val="restart"/>
            <w:tcBorders>
              <w:tl2br w:val="nil"/>
              <w:tr2bl w:val="nil"/>
            </w:tcBorders>
            <w:vAlign w:val="center"/>
          </w:tcPr>
          <w:p>
            <w:pPr>
              <w:jc w:val="center"/>
              <w:rPr>
                <w:rFonts w:ascii="宋体" w:cs="宋体" w:hAnsi="宋体"/>
                <w:szCs w:val="21"/>
              </w:rPr>
            </w:pPr>
            <w:r>
              <w:rPr>
                <w:rFonts w:ascii="宋体" w:cs="宋体" w:hAnsi="宋体" w:hint="eastAsia"/>
                <w:szCs w:val="21"/>
              </w:rPr>
              <w:t>融媒体</w:t>
            </w:r>
          </w:p>
          <w:p>
            <w:pPr>
              <w:jc w:val="center"/>
              <w:rPr>
                <w:rFonts w:ascii="宋体" w:cs="宋体" w:hAnsi="宋体"/>
                <w:szCs w:val="21"/>
              </w:rPr>
            </w:pPr>
            <w:r>
              <w:rPr>
                <w:rFonts w:ascii="宋体" w:cs="宋体" w:hAnsi="宋体" w:hint="eastAsia"/>
                <w:szCs w:val="21"/>
              </w:rPr>
              <w:t>实施服</w:t>
            </w:r>
          </w:p>
          <w:p>
            <w:pPr>
              <w:jc w:val="center"/>
              <w:rPr>
                <w:rFonts w:ascii="宋体" w:cs="宋体" w:hAnsi="宋体" w:hint="eastAsia"/>
                <w:szCs w:val="21"/>
              </w:rPr>
            </w:pPr>
            <w:r>
              <w:rPr>
                <w:rFonts w:ascii="宋体" w:cs="宋体" w:hAnsi="宋体" w:hint="eastAsia"/>
                <w:szCs w:val="21"/>
              </w:rPr>
              <w:t>务</w:t>
            </w:r>
          </w:p>
          <w:p>
            <w:pPr>
              <w:jc w:val="center"/>
              <w:rPr>
                <w:rFonts w:ascii="宋体" w:cs="宋体" w:hAnsi="宋体" w:hint="eastAsia"/>
                <w:szCs w:val="21"/>
              </w:rPr>
            </w:pPr>
            <w:r>
              <w:rPr>
                <w:rFonts w:ascii="宋体" w:cs="宋体" w:hAnsi="宋体" w:hint="eastAsia"/>
                <w:szCs w:val="21"/>
              </w:rPr>
              <w:t>（对宣传部服务）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配合站点对栏目调整服务：根据客户要求对融媒体对接站点的栏目进行同步调整。</w:t>
            </w:r>
          </w:p>
        </w:tc>
        <w:tc>
          <w:tcPr>
            <w:tcW w:w="1233" w:type="dxa"/>
            <w:tcBorders>
              <w:tl2br w:val="nil"/>
              <w:tr2bl w:val="nil"/>
            </w:tcBorders>
            <w:vAlign w:val="center"/>
          </w:tcPr>
          <w:p>
            <w:pPr>
              <w:jc w:val="both"/>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配合网站对稿件字段调整服务：根据客户要求对融媒体对接站群的稿件字段进行同步调整。</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业务流程修改：根据客户要求，帮助其实现投稿流程或业务流程的变更操作。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业务变更（可通过配置项实施）：可以通过修改配置项完成业务功能的变更操作。平台在设计之初，为了便于扩展和适配，系统内设置了可变的数据字典或配置项参数。通过数据字典和配置项的调整，可以实现业务的调整。比如：投稿端资源是否可直接下载，稿件水印开关，密码强度调整等。</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配合站点对栏目调整服务：根据客户要求对融媒体对接站点的栏目进行同步调整。</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005" w:type="dxa"/>
            <w:vMerge w:val="restart"/>
            <w:tcBorders>
              <w:tl2br w:val="nil"/>
              <w:tr2bl w:val="nil"/>
            </w:tcBorders>
            <w:vAlign w:val="center"/>
          </w:tcPr>
          <w:p>
            <w:pPr>
              <w:jc w:val="center"/>
              <w:rPr>
                <w:rFonts w:ascii="宋体" w:cs="宋体" w:hAnsi="宋体"/>
                <w:szCs w:val="21"/>
              </w:rPr>
            </w:pPr>
            <w:r>
              <w:rPr>
                <w:rFonts w:ascii="宋体" w:cs="宋体" w:hAnsi="宋体" w:hint="eastAsia"/>
                <w:szCs w:val="21"/>
              </w:rPr>
              <w:t>技术支</w:t>
            </w:r>
          </w:p>
          <w:p>
            <w:pPr>
              <w:jc w:val="center"/>
              <w:rPr>
                <w:rFonts w:ascii="宋体" w:cs="宋体" w:hAnsi="宋体" w:hint="eastAsia"/>
                <w:szCs w:val="21"/>
              </w:rPr>
            </w:pPr>
            <w:r>
              <w:rPr>
                <w:rFonts w:ascii="宋体" w:cs="宋体" w:hAnsi="宋体" w:hint="eastAsia"/>
                <w:szCs w:val="21"/>
              </w:rPr>
              <w:t>持服务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页面兼容性优化：当页面出现变形等视觉差异问题时，确保页面在主流浏览器版本下正常显示。</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配合已对接的第三方系统升级改造：因第三方系统升级或改造，在不改变原有对接API的情况下，重新配合完成系统对接工作。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域名变更：融媒体登录地址需要变更域名时，帮助客户变更对应地址的域名。</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服务器扩容：配合校方完成服务器内存或磁盘的扩容操作。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K8S容器平台技术支持：帮助或指导客户运维融媒体平台的运行平台K8S容器平台的技术支持工作。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定制化解决方案：根据客户的特定需求，提供定制化的解决方案，帮助客户更好地实现其业务目标。</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远程培训与知识传输服务：每年可为客户提供远程培训服务两次，使客户能够充分了解和使用融媒体系统。培训内容可以包括系统操作指南、最佳实践、故障排除等。</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定期沟通和反馈：与客户保持定期的沟通和交流，了解他们的需求和反馈。定期进行客户满意度调查，收集客户意见和建议，以持续改进和提升服务质量。</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005" w:type="dxa"/>
            <w:tcBorders>
              <w:tl2br w:val="nil"/>
              <w:tr2bl w:val="nil"/>
            </w:tcBorders>
            <w:vAlign w:val="center"/>
          </w:tcPr>
          <w:p>
            <w:pPr>
              <w:jc w:val="center"/>
              <w:rPr>
                <w:rFonts w:ascii="宋体" w:cs="宋体" w:hAnsi="宋体"/>
                <w:szCs w:val="21"/>
                <w:lang w:val="en-US" w:eastAsia="zh-CN"/>
              </w:rPr>
            </w:pPr>
            <w:r>
              <w:rPr>
                <w:rFonts w:ascii="宋体" w:cs="宋体" w:hAnsi="宋体" w:hint="eastAsia"/>
                <w:szCs w:val="21"/>
                <w:lang w:val="en-US" w:eastAsia="zh-CN"/>
              </w:rPr>
              <w:t>例行检</w:t>
            </w:r>
          </w:p>
          <w:p>
            <w:pPr>
              <w:jc w:val="center"/>
              <w:rPr>
                <w:rFonts w:ascii="宋体" w:cs="宋体" w:hAnsi="宋体" w:hint="eastAsia"/>
                <w:b/>
                <w:szCs w:val="21"/>
                <w:vertAlign w:val="baseline"/>
              </w:rPr>
            </w:pPr>
            <w:r>
              <w:rPr>
                <w:rFonts w:ascii="宋体" w:cs="宋体" w:hAnsi="宋体" w:hint="eastAsia"/>
                <w:szCs w:val="21"/>
                <w:lang w:val="en-US" w:eastAsia="zh-CN"/>
              </w:rPr>
              <w:t>查服务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平台巡检2次/年：对融媒体平台环境，进行全面检查、对各项日志进行人工分析，及时发现各项隐患，并生成巡检记录报告。</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005" w:type="dxa"/>
            <w:vMerge w:val="restart"/>
            <w:tcBorders>
              <w:tl2br w:val="nil"/>
              <w:tr2bl w:val="nil"/>
            </w:tcBorders>
            <w:vAlign w:val="center"/>
          </w:tcPr>
          <w:p>
            <w:pPr>
              <w:jc w:val="center"/>
              <w:rPr>
                <w:rFonts w:ascii="宋体" w:cs="宋体" w:hAnsi="宋体"/>
                <w:szCs w:val="21"/>
              </w:rPr>
            </w:pPr>
            <w:r>
              <w:rPr>
                <w:rFonts w:ascii="宋体" w:cs="宋体" w:hAnsi="宋体" w:hint="eastAsia"/>
                <w:szCs w:val="21"/>
              </w:rPr>
              <w:t>业务运</w:t>
            </w:r>
          </w:p>
          <w:p>
            <w:pPr>
              <w:jc w:val="center"/>
              <w:rPr>
                <w:rFonts w:ascii="宋体" w:cs="宋体" w:hAnsi="宋体" w:hint="eastAsia"/>
                <w:szCs w:val="21"/>
              </w:rPr>
            </w:pPr>
            <w:r>
              <w:rPr>
                <w:rFonts w:ascii="宋体" w:cs="宋体" w:hAnsi="宋体" w:hint="eastAsia"/>
                <w:szCs w:val="21"/>
              </w:rPr>
              <w:t>维服务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添加或批量添加账号及授权：当客户需要新增人员账号时，配合客户要求完成对应授，按照客户要求增加对应账号。</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账号权限变更或批量权限变更：对应人员权限需要变更时，根据客户要求将对应人员权限进行调整。</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添加或修改部门信息：校方组织架构调整，需要调整平台部门结构以适配，帮其完成。</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媒体权限变更：平台账户绑定网站管理员，添加媒体，媒体角色变更，媒体角色权限变更等。</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系统LOGO或水印图处理：系统LOGO加背景或透明化处理。系统水印图尺寸、颜色、背景等处理工作。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005" w:type="dxa"/>
            <w:vMerge w:val="restart"/>
            <w:tcBorders>
              <w:tl2br w:val="nil"/>
              <w:tr2bl w:val="nil"/>
            </w:tcBorders>
            <w:vAlign w:val="center"/>
          </w:tcPr>
          <w:p>
            <w:pPr>
              <w:rPr>
                <w:rFonts w:ascii="宋体" w:cs="宋体" w:hAnsi="宋体"/>
                <w:szCs w:val="21"/>
              </w:rPr>
            </w:pPr>
            <w:r>
              <w:rPr>
                <w:rFonts w:ascii="宋体" w:cs="宋体" w:hAnsi="宋体" w:hint="eastAsia"/>
                <w:szCs w:val="21"/>
              </w:rPr>
              <w:t>数据统</w:t>
            </w:r>
          </w:p>
          <w:p>
            <w:pPr>
              <w:rPr>
                <w:rFonts w:ascii="宋体" w:cs="宋体" w:hAnsi="宋体" w:hint="eastAsia"/>
                <w:b/>
                <w:szCs w:val="21"/>
                <w:vertAlign w:val="baseline"/>
              </w:rPr>
            </w:pPr>
            <w:r>
              <w:rPr>
                <w:rFonts w:ascii="宋体" w:cs="宋体" w:hAnsi="宋体" w:hint="eastAsia"/>
                <w:szCs w:val="21"/>
              </w:rPr>
              <w:t>计服务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售后问题统计：帮助客户收集和记录每个月的售后问题。包括客户报告的问题、故障类型、解决方案、处理时间等信息。</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售后问题分析：对每个月的售后问题进行分析，帮助客户识别常见问题和趋势。</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投稿发稿数量统计：协助客户统计投稿、发稿数量等。包括客户提交的稿件数量、稿件类型、学科领域等信息。</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005" w:type="dxa"/>
            <w:vMerge w:val="restart"/>
            <w:tcBorders>
              <w:tl2br w:val="nil"/>
              <w:tr2bl w:val="nil"/>
            </w:tcBorders>
            <w:vAlign w:val="center"/>
          </w:tcPr>
          <w:p>
            <w:pPr>
              <w:jc w:val="center"/>
              <w:rPr>
                <w:rFonts w:ascii="宋体" w:cs="宋体" w:hAnsi="宋体"/>
                <w:szCs w:val="21"/>
              </w:rPr>
            </w:pPr>
            <w:r>
              <w:rPr>
                <w:rFonts w:ascii="宋体" w:cs="宋体" w:hAnsi="宋体" w:hint="eastAsia"/>
                <w:szCs w:val="21"/>
              </w:rPr>
              <w:t>安全</w:t>
            </w:r>
          </w:p>
          <w:p>
            <w:pPr>
              <w:jc w:val="center"/>
              <w:rPr>
                <w:rFonts w:ascii="宋体" w:cs="宋体" w:hAnsi="宋体" w:hint="eastAsia"/>
                <w:szCs w:val="21"/>
              </w:rPr>
            </w:pPr>
            <w:r>
              <w:rPr>
                <w:rFonts w:ascii="宋体" w:cs="宋体" w:hAnsi="宋体" w:hint="eastAsia"/>
                <w:szCs w:val="21"/>
              </w:rPr>
              <w:t>服务</w:t>
            </w: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服务器断电前平台保护：服务器断电前平台保护操作。系统平稳关闭，确保数据安全。供电后系统正常。</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HTTPS安全改造支持：平台HTTPS适配服务（证书单独购买），SSL证书过期更新处理工作。</w:t>
            </w:r>
          </w:p>
        </w:tc>
        <w:tc>
          <w:tcPr>
            <w:tcW w:w="1233" w:type="dxa"/>
            <w:tcBorders>
              <w:tl2br w:val="nil"/>
              <w:tr2bl w:val="nil"/>
            </w:tcBorders>
            <w:vAlign w:val="center"/>
          </w:tcPr>
          <w:p>
            <w:pPr>
              <w:rPr>
                <w:rFonts w:ascii="宋体" w:cs="宋体" w:hAnsi="宋体" w:hint="eastAsia"/>
                <w:kern w:val="0"/>
                <w:szCs w:val="21"/>
              </w:rPr>
            </w:pPr>
          </w:p>
        </w:tc>
      </w:tr>
      <w:tr>
        <w:tc>
          <w:tcPr>
            <w:tcW w:w="1098" w:type="dxa"/>
            <w:vMerge/>
            <w:tcBorders>
              <w:tl2br w:val="nil"/>
              <w:tr2bl w:val="nil"/>
            </w:tcBorders>
            <w:vAlign w:val="center"/>
          </w:tcPr>
          <w:p/>
        </w:tc>
        <w:tc>
          <w:tcPr>
            <w:tcW w:w="1186" w:type="dxa"/>
            <w:vMerge/>
            <w:tcBorders>
              <w:tl2br w:val="nil"/>
              <w:tr2bl w:val="nil"/>
            </w:tcBorders>
            <w:vAlign w:val="center"/>
          </w:tcPr>
          <w:p/>
        </w:tc>
        <w:tc>
          <w:tcPr>
            <w:tcW w:w="6225" w:type="dxa"/>
            <w:tcBorders>
              <w:tl2br w:val="nil"/>
              <w:tr2bl w:val="nil"/>
            </w:tcBorders>
          </w:tcPr>
          <w:p>
            <w:pPr>
              <w:jc w:val="left"/>
              <w:rPr>
                <w:rFonts w:ascii="宋体" w:cs="宋体" w:hAnsi="宋体" w:hint="eastAsia"/>
                <w:szCs w:val="21"/>
              </w:rPr>
            </w:pPr>
            <w:r>
              <w:rPr>
                <w:rFonts w:ascii="宋体" w:cs="宋体" w:hAnsi="宋体" w:hint="eastAsia"/>
                <w:szCs w:val="21"/>
              </w:rPr>
              <w:t>等保评测整改服务：等级保护期间的技术支持服务包含：应用安全配置整改。</w:t>
            </w:r>
          </w:p>
        </w:tc>
        <w:tc>
          <w:tcPr>
            <w:tcW w:w="1233" w:type="dxa"/>
            <w:tcBorders>
              <w:tl2br w:val="nil"/>
              <w:tr2bl w:val="nil"/>
            </w:tcBorders>
            <w:vAlign w:val="center"/>
          </w:tcPr>
          <w:p>
            <w:pPr>
              <w:rPr>
                <w:rFonts w:ascii="宋体" w:cs="宋体" w:hAnsi="宋体" w:hint="eastAsia"/>
                <w:kern w:val="0"/>
                <w:szCs w:val="21"/>
              </w:rPr>
            </w:pPr>
          </w:p>
        </w:tc>
      </w:tr>
    </w:tbl>
    <w:p>
      <w:pPr>
        <w:pStyle w:val="27"/>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商品价格及售后服务</w:t>
      </w:r>
    </w:p>
    <w:p>
      <w:pPr>
        <w:pStyle w:val="27"/>
        <w:numPr>
          <w:ilvl w:val="0"/>
          <w:numId w:val="3"/>
        </w:numPr>
        <w:spacing w:line="360" w:lineRule="auto"/>
        <w:ind w:firstLineChars="0"/>
      </w:pPr>
      <w:r>
        <w:rPr>
          <w:rFonts w:hint="eastAsia"/>
        </w:rPr>
        <w:t xml:space="preserve"> 本采购项目属交钥匙工程项目，供商报价含设备、运输（含装卸和吊装）、安装、调试培训等全部费用，采购方不再额外支付其他费用。</w:t>
      </w:r>
    </w:p>
    <w:p>
      <w:pPr>
        <w:numPr>
          <w:ilvl w:val="0"/>
          <w:numId w:val="3"/>
        </w:numPr>
        <w:spacing w:line="360" w:lineRule="auto"/>
        <w:ind w:left="0" w:firstLineChars="200" w:firstLine="480"/>
      </w:pPr>
      <w:r>
        <w:rPr>
          <w:rFonts w:ascii="宋体" w:cs="宋体" w:hAnsi="宋体"/>
          <w:b/>
          <w:bCs/>
          <w:kern w:val="0"/>
          <w:sz w:val="24"/>
          <w:szCs w:val="24"/>
        </w:rPr>
        <w:t xml:space="preserve"> </w:t>
      </w:r>
      <w:r>
        <w:rPr>
          <w:rFonts w:ascii="宋体" w:cs="宋体" w:hAnsi="宋体" w:hint="eastAsia"/>
          <w:b/>
          <w:bCs/>
          <w:kern w:val="0"/>
          <w:sz w:val="24"/>
          <w:szCs w:val="24"/>
        </w:rPr>
        <w:t>质量保证期（或保修期）服务</w:t>
      </w:r>
      <w:r>
        <w:rPr>
          <w:rFonts w:ascii="宋体" w:cs="宋体" w:hAnsi="宋体" w:hint="eastAsia"/>
          <w:kern w:val="0"/>
          <w:sz w:val="24"/>
          <w:szCs w:val="24"/>
        </w:rPr>
        <w:t>：</w:t>
      </w:r>
      <w:r>
        <w:rPr>
          <w:rFonts w:hint="eastAsia"/>
        </w:rPr>
        <w:t>自合同签订生效，设备（或软件或服务）安装调试完毕并经甲方验收合格之日起免费</w:t>
      </w:r>
      <w:r>
        <w:rPr>
          <w:rFonts w:hint="eastAsia"/>
          <w:color w:val="FF0000"/>
        </w:rPr>
        <w:t>质保</w:t>
      </w:r>
      <w:r>
        <w:rPr>
          <w:rFonts w:hint="eastAsia"/>
          <w:color w:val="FF0000"/>
          <w:u w:val="single"/>
        </w:rPr>
        <w:t xml:space="preserve"> </w:t>
      </w:r>
      <w:r>
        <w:rPr>
          <w:color w:val="FF0000"/>
          <w:u w:val="single"/>
        </w:rPr>
        <w:t>1</w:t>
      </w:r>
      <w:r>
        <w:rPr>
          <w:rFonts w:hint="eastAsia"/>
          <w:color w:val="FF0000"/>
          <w:u w:val="single"/>
        </w:rPr>
        <w:t xml:space="preserve"> </w:t>
      </w:r>
      <w:r>
        <w:rPr>
          <w:rFonts w:hint="eastAsia"/>
          <w:color w:val="FF0000"/>
        </w:rPr>
        <w:t>年</w:t>
      </w:r>
      <w:r>
        <w:rPr>
          <w:rFonts w:hint="eastAsia"/>
        </w:rPr>
        <w:t>，质保期内上门对损坏的设备（或软件）进行安装、升级、更换、调试，包括配件费、材料费、软件升级费、人工费等全部免费。质保期内被免费更换的零部件质量保证期再</w:t>
      </w:r>
      <w:r>
        <w:rPr>
          <w:rFonts w:hint="eastAsia"/>
          <w:color w:val="FF0000"/>
        </w:rPr>
        <w:t>延续</w:t>
      </w:r>
      <w:r>
        <w:rPr>
          <w:rFonts w:hint="eastAsia"/>
          <w:color w:val="FF0000"/>
          <w:u w:val="single"/>
        </w:rPr>
        <w:t xml:space="preserve"> </w:t>
      </w:r>
      <w:r>
        <w:rPr>
          <w:color w:val="FF0000"/>
          <w:u w:val="single"/>
        </w:rPr>
        <w:t>1</w:t>
      </w:r>
      <w:r>
        <w:rPr>
          <w:rFonts w:hint="eastAsia"/>
          <w:color w:val="FF0000"/>
          <w:u w:val="single"/>
        </w:rPr>
        <w:t xml:space="preserve"> </w:t>
      </w:r>
      <w:r>
        <w:rPr>
          <w:rFonts w:hint="eastAsia"/>
          <w:color w:val="FF0000"/>
        </w:rPr>
        <w:t>年</w:t>
      </w:r>
      <w:r>
        <w:rPr>
          <w:rFonts w:hint="eastAsia"/>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27"/>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安装及交付时间</w:t>
      </w:r>
    </w:p>
    <w:p>
      <w:pPr>
        <w:ind w:firstLineChars="200" w:firstLine="420"/>
      </w:pPr>
      <w:r>
        <w:rPr>
          <w:rFonts w:hint="eastAsia"/>
        </w:rPr>
        <w:t>交付和安装时间为</w:t>
      </w:r>
      <w:r>
        <w:rPr>
          <w:rFonts w:hint="eastAsia"/>
          <w:color w:val="FF0000"/>
        </w:rPr>
        <w:t>合同签订</w:t>
      </w:r>
      <w:r>
        <w:rPr>
          <w:rFonts w:hint="eastAsia"/>
          <w:color w:val="FF0000"/>
          <w:u w:val="single"/>
        </w:rPr>
        <w:t xml:space="preserve">  </w:t>
      </w:r>
      <w:r>
        <w:rPr>
          <w:color w:val="FF0000"/>
          <w:u w:val="single"/>
        </w:rPr>
        <w:t>7</w:t>
      </w:r>
      <w:r>
        <w:rPr>
          <w:rFonts w:hint="eastAsia"/>
          <w:color w:val="FF0000"/>
          <w:u w:val="single"/>
        </w:rPr>
        <w:t xml:space="preserve">  </w:t>
      </w:r>
      <w:r>
        <w:rPr>
          <w:rFonts w:hint="eastAsia"/>
          <w:color w:val="FF0000"/>
        </w:rPr>
        <w:t>日之内</w:t>
      </w:r>
      <w:r>
        <w:rPr>
          <w:rFonts w:hint="eastAsia"/>
        </w:rPr>
        <w:t>。</w:t>
      </w:r>
    </w:p>
    <w:p>
      <w:pPr>
        <w:pStyle w:val="27"/>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付款方式和要求</w:t>
      </w:r>
    </w:p>
    <w:p>
      <w:pPr>
        <w:spacing w:line="360" w:lineRule="auto"/>
        <w:ind w:firstLineChars="200" w:firstLine="420"/>
        <w:rPr>
          <w:rFonts w:ascii="宋体" w:eastAsia="宋体" w:hAnsi="宋体"/>
        </w:rPr>
      </w:pPr>
      <w:r>
        <w:rPr>
          <w:rFonts w:ascii="宋体" w:eastAsia="宋体" w:hAnsi="宋体"/>
        </w:rPr>
        <w:t>在项目验收合格后一次性全额支付货款。</w:t>
      </w:r>
    </w:p>
    <w:p>
      <w:pPr>
        <w:pStyle w:val="27"/>
        <w:numPr>
          <w:ilvl w:val="0"/>
          <w:numId w:val="2"/>
        </w:numPr>
        <w:spacing w:beforeLines="50" w:before="156" w:line="360" w:lineRule="auto"/>
        <w:ind w:left="601" w:firstLineChars="0" w:hanging="601"/>
        <w:rPr>
          <w:rFonts w:ascii="仿宋" w:eastAsia="仿宋" w:hAnsi="仿宋"/>
          <w:b/>
          <w:sz w:val="28"/>
          <w:szCs w:val="28"/>
        </w:rPr>
      </w:pPr>
      <w:r>
        <w:rPr>
          <w:rFonts w:ascii="仿宋" w:eastAsia="仿宋" w:hAnsi="仿宋" w:hint="eastAsia"/>
          <w:b/>
          <w:sz w:val="28"/>
          <w:szCs w:val="28"/>
        </w:rPr>
        <w:t>其他事项</w:t>
      </w:r>
    </w:p>
    <w:p>
      <w:pPr>
        <w:pStyle w:val="27"/>
        <w:adjustRightInd w:val="0"/>
        <w:snapToGrid w:val="0"/>
        <w:spacing w:beforeLines="50" w:before="156"/>
        <w:ind w:firstLineChars="0" w:firstLine="0"/>
      </w:pPr>
      <w:r>
        <w:rPr>
          <w:rFonts w:ascii="仿宋" w:eastAsia="仿宋" w:hAnsi="仿宋" w:hint="eastAsia"/>
          <w:bCs/>
          <w:sz w:val="28"/>
          <w:szCs w:val="28"/>
        </w:rPr>
        <w:t>（</w:t>
      </w:r>
      <w:r>
        <w:rPr>
          <w:rFonts w:hint="eastAsia"/>
        </w:rPr>
        <w:t>此处仅填写供应商额外提供需方的服务承诺，与本采购文件询价要求相左条款的其他说明视作无效说明。若无其他服务承诺的请填写“无”</w:t>
      </w:r>
      <w:r>
        <w:rPr>
          <w:rFonts w:ascii="仿宋" w:eastAsia="仿宋" w:hAnsi="仿宋" w:hint="eastAsia"/>
          <w:bCs/>
          <w:sz w:val="28"/>
          <w:szCs w:val="28"/>
        </w:rPr>
        <w:t>）</w:t>
      </w:r>
    </w:p>
    <w:p>
      <w:pPr>
        <w:pStyle w:val="17"/>
        <w:rPr>
          <w:u w:val="single"/>
        </w:rPr>
      </w:pPr>
      <w:r>
        <w:rPr>
          <w:rFonts w:hint="eastAsia"/>
          <w:u w:val="single"/>
        </w:rPr>
        <w:t xml:space="preserve">                                                                                    </w:t>
      </w:r>
    </w:p>
    <w:p>
      <w:pPr>
        <w:pStyle w:val="27"/>
        <w:numPr>
          <w:ilvl w:val="0"/>
          <w:numId w:val="2"/>
        </w:numPr>
        <w:spacing w:beforeLines="50" w:before="156" w:line="360" w:lineRule="auto"/>
        <w:ind w:left="601" w:firstLineChars="0" w:hanging="601"/>
      </w:pPr>
      <w:r>
        <w:rPr>
          <w:rFonts w:hint="eastAsia"/>
          <w:b/>
          <w:bCs/>
          <w:sz w:val="28"/>
          <w:szCs w:val="28"/>
        </w:rPr>
        <w:t>附件</w:t>
      </w:r>
      <w:r>
        <w:rPr>
          <w:rFonts w:hint="eastAsia"/>
        </w:rPr>
        <w:t>（填写附件名称，如企业营业执照、资质文件等另行要求的附加的附件名称。）</w:t>
      </w:r>
    </w:p>
    <w:p>
      <w:pPr>
        <w:pStyle w:val="17"/>
        <w:ind w:firstLineChars="100" w:firstLine="21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17"/>
        <w:ind w:firstLineChars="100" w:firstLine="210"/>
        <w:rPr>
          <w:u w:val="single"/>
        </w:rPr>
      </w:pPr>
      <w:r>
        <w:t>2</w:t>
      </w:r>
      <w:r>
        <w:rPr>
          <w:rFonts w:hint="eastAsia"/>
        </w:rPr>
        <w:t>．</w:t>
      </w:r>
      <w:r>
        <w:rPr>
          <w:rFonts w:hint="eastAsia"/>
          <w:u w:val="single"/>
        </w:rPr>
        <w:t>承诺</w:t>
      </w:r>
      <w:r>
        <w:rPr>
          <w:u w:val="single"/>
        </w:rPr>
        <w:t>书</w:t>
      </w:r>
      <w:r>
        <w:rPr>
          <w:rFonts w:hint="eastAsia"/>
          <w:u w:val="single"/>
        </w:rPr>
        <w:t xml:space="preserve">（见后附页）                                                              </w:t>
      </w:r>
    </w:p>
    <w:p>
      <w:pPr>
        <w:keepNext w:val="0"/>
        <w:keepLines w:val="0"/>
        <w:pageBreakBefore w:val="0"/>
        <w:widowControl w:val="0"/>
        <w:kinsoku/>
        <w:wordWrap/>
        <w:overflowPunct/>
        <w:topLinePunct w:val="0"/>
        <w:autoSpaceDE/>
        <w:autoSpaceDN/>
        <w:bidi w:val="0"/>
        <w:adjustRightInd/>
        <w:snapToGrid/>
        <w:spacing w:line="240" w:lineRule="auto"/>
        <w:ind w:firstLineChars="200" w:firstLine="42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17"/>
        <w:widowControl/>
        <w:spacing w:line="360" w:lineRule="auto"/>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pStyle w:val="17"/>
        <w:widowControl/>
        <w:spacing w:beforeLines="150" w:before="468" w:after="480" w:line="360" w:lineRule="auto"/>
        <w:jc w:val="center"/>
        <w:rPr>
          <w:rFonts w:ascii="宋体" w:hAnsi="宋体"/>
          <w:b/>
          <w:sz w:val="44"/>
          <w:szCs w:val="44"/>
        </w:rPr>
      </w:pPr>
      <w:r>
        <w:rPr>
          <w:rFonts w:ascii="宋体" w:hAnsi="宋体" w:hint="eastAsia"/>
          <w:b/>
          <w:sz w:val="44"/>
          <w:szCs w:val="44"/>
        </w:rPr>
        <w:t>承 诺 书</w:t>
      </w:r>
    </w:p>
    <w:p>
      <w:pPr>
        <w:pStyle w:val="17"/>
        <w:widowControl/>
        <w:spacing w:line="312" w:lineRule="auto"/>
        <w:ind w:firstLineChars="200" w:firstLine="480"/>
        <w:rPr>
          <w:rFonts w:ascii="宋体" w:hAnsi="宋体"/>
          <w:sz w:val="24"/>
          <w:szCs w:val="24"/>
        </w:rPr>
      </w:pPr>
      <w:r>
        <w:rPr>
          <w:rFonts w:ascii="宋体" w:hAnsi="宋体" w:hint="eastAsia"/>
          <w:sz w:val="24"/>
          <w:szCs w:val="24"/>
        </w:rPr>
        <w:t>我公司在参加</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b/>
          <w:sz w:val="24"/>
          <w:szCs w:val="24"/>
          <w:u w:val="single"/>
        </w:rPr>
        <w:t>xxxxxxxxxxxxxxxx</w:t>
      </w:r>
      <w:r>
        <w:rPr>
          <w:rFonts w:ascii="宋体" w:hAnsi="宋体" w:hint="eastAsia"/>
          <w:sz w:val="24"/>
          <w:szCs w:val="24"/>
          <w:u w:val="single"/>
        </w:rPr>
        <w:t>（完整项目</w:t>
      </w:r>
      <w:r>
        <w:rPr>
          <w:rFonts w:ascii="宋体" w:hAnsi="宋体"/>
          <w:sz w:val="24"/>
          <w:szCs w:val="24"/>
          <w:u w:val="single"/>
        </w:rPr>
        <w:t>名称</w:t>
      </w:r>
      <w:r>
        <w:rPr>
          <w:rFonts w:ascii="宋体" w:hAnsi="宋体" w:hint="eastAsia"/>
          <w:sz w:val="24"/>
          <w:szCs w:val="24"/>
          <w:u w:val="single"/>
        </w:rPr>
        <w:t xml:space="preserve">） </w:t>
      </w:r>
      <w:r>
        <w:rPr>
          <w:rFonts w:ascii="宋体" w:hAnsi="宋体" w:hint="eastAsia"/>
          <w:sz w:val="24"/>
          <w:szCs w:val="24"/>
        </w:rPr>
        <w:t>项目的政采云</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采购活动中，郑重承诺如下：</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hint="eastAsia"/>
        </w:rPr>
        <w:t xml:space="preserve"> </w:t>
      </w:r>
      <w:r>
        <w:rPr>
          <w:rFonts w:ascii="宋体" w:hAnsi="宋体" w:hint="eastAsia"/>
          <w:sz w:val="24"/>
          <w:szCs w:val="24"/>
        </w:rPr>
        <w:t>承诺遵守《中华人民共和国招标投标法》《中华人民共和国政府采购法》等法律法规及浙江海洋大学规章制度。</w:t>
      </w:r>
    </w:p>
    <w:p>
      <w:pPr>
        <w:pStyle w:val="17"/>
        <w:widowControl/>
        <w:spacing w:line="312"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完全接受</w:t>
      </w:r>
      <w:r>
        <w:rPr>
          <w:rFonts w:ascii="宋体" w:hAnsi="宋体"/>
          <w:sz w:val="24"/>
          <w:szCs w:val="24"/>
        </w:rPr>
        <w:t>和满足本项目采购文件中规定的实质性要求</w:t>
      </w:r>
      <w:r>
        <w:rPr>
          <w:rFonts w:ascii="宋体" w:hAnsi="宋体" w:hint="eastAsia"/>
          <w:sz w:val="24"/>
          <w:szCs w:val="24"/>
        </w:rPr>
        <w:t>。</w:t>
      </w:r>
    </w:p>
    <w:p>
      <w:pPr>
        <w:pStyle w:val="17"/>
        <w:widowControl/>
        <w:spacing w:line="312"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.我方承诺在本次</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活动，</w:t>
      </w:r>
      <w:r>
        <w:rPr>
          <w:rFonts w:ascii="宋体" w:hAnsi="宋体"/>
          <w:sz w:val="24"/>
          <w:szCs w:val="24"/>
        </w:rPr>
        <w:t>不存在</w:t>
      </w:r>
      <w:r>
        <w:rPr>
          <w:rFonts w:ascii="宋体" w:hAnsi="宋体" w:hint="eastAsia"/>
          <w:sz w:val="24"/>
          <w:szCs w:val="24"/>
        </w:rPr>
        <w:t>以下情况：</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和其他供应商</w:t>
      </w:r>
      <w:r>
        <w:rPr>
          <w:rFonts w:ascii="宋体" w:hAnsi="宋体" w:hint="eastAsia"/>
          <w:sz w:val="24"/>
          <w:szCs w:val="24"/>
        </w:rPr>
        <w:t>存</w:t>
      </w:r>
      <w:r>
        <w:rPr>
          <w:rFonts w:ascii="宋体" w:hAnsi="宋体"/>
          <w:sz w:val="24"/>
          <w:szCs w:val="24"/>
        </w:rPr>
        <w:t>在同一人或者直接控股、管理、利益</w:t>
      </w:r>
      <w:r>
        <w:rPr>
          <w:rFonts w:ascii="宋体" w:hAnsi="宋体" w:hint="eastAsia"/>
          <w:sz w:val="24"/>
          <w:szCs w:val="24"/>
        </w:rPr>
        <w:t>等</w:t>
      </w:r>
      <w:r>
        <w:rPr>
          <w:rFonts w:ascii="宋体" w:hAnsi="宋体"/>
          <w:sz w:val="24"/>
          <w:szCs w:val="24"/>
        </w:rPr>
        <w:t>有关联的</w:t>
      </w:r>
      <w:r>
        <w:rPr>
          <w:rFonts w:ascii="宋体" w:hAnsi="宋体" w:hint="eastAsia"/>
          <w:sz w:val="24"/>
          <w:szCs w:val="24"/>
        </w:rPr>
        <w:t>，</w:t>
      </w:r>
      <w:r>
        <w:rPr>
          <w:rFonts w:ascii="宋体" w:hAnsi="宋体"/>
          <w:sz w:val="24"/>
          <w:szCs w:val="24"/>
        </w:rPr>
        <w:t>其他供应商参与同一合同项下的政府采购活动的行为。</w:t>
      </w:r>
    </w:p>
    <w:p>
      <w:pPr>
        <w:pStyle w:val="17"/>
        <w:widowControl/>
        <w:spacing w:line="312" w:lineRule="auto"/>
        <w:ind w:firstLineChars="200" w:firstLine="480"/>
        <w:rPr>
          <w:rFonts w:ascii="宋体" w:hAnsi="宋体"/>
          <w:sz w:val="24"/>
          <w:szCs w:val="24"/>
        </w:rPr>
      </w:pPr>
      <w:r>
        <w:rPr>
          <w:rFonts w:ascii="宋体" w:hAnsi="宋体" w:hint="eastAsia"/>
          <w:sz w:val="24"/>
          <w:szCs w:val="24"/>
        </w:rPr>
        <w:t>（2）承诺绝对没有也不会向生产厂家提前报备本项目采购内容等影响本项目顺利实施的行为，且绝对不会直接或间接干预中标供应商的供货或服务。</w:t>
      </w:r>
    </w:p>
    <w:p>
      <w:pPr>
        <w:pStyle w:val="17"/>
        <w:widowControl/>
        <w:spacing w:line="312" w:lineRule="auto"/>
        <w:ind w:firstLineChars="200" w:firstLine="480"/>
        <w:rPr>
          <w:rFonts w:ascii="宋体" w:hAnsi="宋体"/>
          <w:sz w:val="24"/>
          <w:szCs w:val="24"/>
        </w:rPr>
      </w:pPr>
      <w:r>
        <w:rPr>
          <w:rFonts w:ascii="宋体" w:hAnsi="宋体" w:hint="eastAsia"/>
          <w:sz w:val="24"/>
          <w:szCs w:val="24"/>
        </w:rPr>
        <w:t>若经贵方查出有上述情况，立即取消我方</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资格并承担相应的法律职责，自愿同意在此后一年内不参与学校的采购活动。</w:t>
      </w:r>
    </w:p>
    <w:p>
      <w:pPr>
        <w:pStyle w:val="17"/>
        <w:widowControl/>
        <w:spacing w:line="312"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.我方一旦中标，将按规定及时与采购单位签订合同。承诺严格执行合同条款，凡进入浙江海洋大学的货物、服务项目等均有完备的手续。</w:t>
      </w:r>
    </w:p>
    <w:p>
      <w:pPr>
        <w:pStyle w:val="17"/>
        <w:widowControl/>
        <w:spacing w:line="312" w:lineRule="auto"/>
        <w:ind w:firstLineChars="200" w:firstLine="480"/>
        <w:rPr>
          <w:rFonts w:ascii="宋体" w:hAnsi="宋体"/>
          <w:b/>
          <w:color w:val="FF0000"/>
          <w:sz w:val="24"/>
          <w:szCs w:val="24"/>
        </w:rPr>
      </w:pPr>
      <w:r>
        <w:rPr>
          <w:rFonts w:ascii="宋体" w:hAnsi="宋体" w:hint="eastAsia"/>
          <w:b/>
          <w:color w:val="FF0000"/>
          <w:sz w:val="24"/>
          <w:szCs w:val="24"/>
        </w:rPr>
        <w:t>我方保证本项目提交</w:t>
      </w:r>
      <w:r>
        <w:rPr>
          <w:rFonts w:ascii="宋体" w:hAnsi="宋体"/>
          <w:b/>
          <w:color w:val="FF0000"/>
          <w:sz w:val="24"/>
          <w:szCs w:val="24"/>
        </w:rPr>
        <w:t>的承诺内容真实</w:t>
      </w:r>
      <w:r>
        <w:rPr>
          <w:rFonts w:ascii="宋体" w:hAnsi="宋体" w:hint="eastAsia"/>
          <w:b/>
          <w:color w:val="FF0000"/>
          <w:sz w:val="24"/>
          <w:szCs w:val="24"/>
        </w:rPr>
        <w:t>可靠，如因存在虚假响应、</w:t>
      </w:r>
      <w:r>
        <w:rPr>
          <w:rFonts w:ascii="宋体" w:hAnsi="宋体"/>
          <w:b/>
          <w:color w:val="FF0000"/>
          <w:sz w:val="24"/>
          <w:szCs w:val="24"/>
        </w:rPr>
        <w:t>提供虚假材料</w:t>
      </w:r>
      <w:r>
        <w:rPr>
          <w:rFonts w:ascii="宋体" w:hAnsi="宋体" w:hint="eastAsia"/>
          <w:b/>
          <w:color w:val="FF0000"/>
          <w:sz w:val="24"/>
          <w:szCs w:val="24"/>
        </w:rPr>
        <w:t>等</w:t>
      </w:r>
      <w:r>
        <w:rPr>
          <w:rFonts w:ascii="宋体" w:hAnsi="宋体"/>
          <w:b/>
          <w:color w:val="FF0000"/>
          <w:sz w:val="24"/>
          <w:szCs w:val="24"/>
        </w:rPr>
        <w:t>恶意</w:t>
      </w:r>
      <w:r>
        <w:rPr>
          <w:rFonts w:ascii="宋体" w:hAnsi="宋体" w:hint="eastAsia"/>
          <w:b/>
          <w:color w:val="FF0000"/>
          <w:sz w:val="24"/>
          <w:szCs w:val="24"/>
        </w:rPr>
        <w:t>报价的</w:t>
      </w:r>
      <w:r>
        <w:rPr>
          <w:rFonts w:ascii="宋体" w:hAnsi="宋体"/>
          <w:b/>
          <w:color w:val="FF0000"/>
          <w:sz w:val="24"/>
          <w:szCs w:val="24"/>
        </w:rPr>
        <w:t>情况，</w:t>
      </w:r>
      <w:r>
        <w:rPr>
          <w:rFonts w:ascii="宋体" w:hAnsi="宋体" w:hint="eastAsia"/>
          <w:b/>
          <w:color w:val="FF0000"/>
          <w:sz w:val="24"/>
          <w:szCs w:val="24"/>
        </w:rPr>
        <w:t>或</w:t>
      </w:r>
      <w:r>
        <w:rPr>
          <w:rFonts w:ascii="宋体" w:hAnsi="宋体"/>
          <w:b/>
          <w:color w:val="FF0000"/>
          <w:sz w:val="24"/>
          <w:szCs w:val="24"/>
        </w:rPr>
        <w:t>中标后</w:t>
      </w:r>
      <w:r>
        <w:rPr>
          <w:rFonts w:ascii="宋体" w:hAnsi="宋体" w:hint="eastAsia"/>
          <w:b/>
          <w:color w:val="FF0000"/>
          <w:sz w:val="24"/>
          <w:szCs w:val="24"/>
        </w:rPr>
        <w:t>却无法</w:t>
      </w:r>
      <w:r>
        <w:rPr>
          <w:rFonts w:ascii="宋体" w:hAnsi="宋体"/>
          <w:b/>
          <w:color w:val="FF0000"/>
          <w:sz w:val="24"/>
          <w:szCs w:val="24"/>
        </w:rPr>
        <w:t>履</w:t>
      </w:r>
      <w:r>
        <w:rPr>
          <w:rFonts w:ascii="宋体" w:hAnsi="宋体" w:hint="eastAsia"/>
          <w:b/>
          <w:color w:val="FF0000"/>
          <w:sz w:val="24"/>
          <w:szCs w:val="24"/>
        </w:rPr>
        <w:t>行</w:t>
      </w:r>
      <w:r>
        <w:rPr>
          <w:rFonts w:ascii="宋体" w:hAnsi="宋体"/>
          <w:b/>
          <w:color w:val="FF0000"/>
          <w:sz w:val="24"/>
          <w:szCs w:val="24"/>
        </w:rPr>
        <w:t>合约</w:t>
      </w:r>
      <w:r>
        <w:rPr>
          <w:rFonts w:ascii="宋体" w:hAnsi="宋体" w:hint="eastAsia"/>
          <w:b/>
          <w:color w:val="FF0000"/>
          <w:sz w:val="24"/>
          <w:szCs w:val="24"/>
        </w:rPr>
        <w:t>等情况</w:t>
      </w:r>
      <w:r>
        <w:rPr>
          <w:rFonts w:ascii="宋体" w:hAnsi="宋体"/>
          <w:b/>
          <w:color w:val="FF0000"/>
          <w:sz w:val="24"/>
          <w:szCs w:val="24"/>
        </w:rPr>
        <w:t>，愿意承担</w:t>
      </w:r>
      <w:r>
        <w:rPr>
          <w:rFonts w:ascii="宋体" w:hAnsi="宋体" w:hint="eastAsia"/>
          <w:b/>
          <w:color w:val="FF0000"/>
          <w:sz w:val="24"/>
          <w:szCs w:val="24"/>
        </w:rPr>
        <w:t>由此引起</w:t>
      </w:r>
      <w:r>
        <w:rPr>
          <w:rFonts w:ascii="宋体" w:hAnsi="宋体"/>
          <w:b/>
          <w:color w:val="FF0000"/>
          <w:sz w:val="24"/>
          <w:szCs w:val="24"/>
        </w:rPr>
        <w:t>的一切后果和相应的法律责任。</w:t>
      </w:r>
    </w:p>
    <w:p>
      <w:pPr>
        <w:pStyle w:val="17"/>
        <w:widowControl/>
        <w:spacing w:line="312" w:lineRule="auto"/>
        <w:ind w:firstLineChars="200" w:firstLine="480"/>
        <w:rPr>
          <w:rFonts w:ascii="宋体" w:hAnsi="宋体"/>
          <w:sz w:val="24"/>
          <w:szCs w:val="24"/>
        </w:rPr>
      </w:pPr>
    </w:p>
    <w:p>
      <w:pPr>
        <w:pStyle w:val="17"/>
        <w:widowControl/>
        <w:spacing w:line="312" w:lineRule="auto"/>
        <w:ind w:firstLineChars="200" w:firstLine="480"/>
        <w:rPr>
          <w:rFonts w:ascii="宋体" w:hAnsi="宋体"/>
          <w:sz w:val="24"/>
          <w:szCs w:val="24"/>
        </w:rPr>
      </w:pPr>
      <w:r>
        <w:rPr>
          <w:rFonts w:ascii="宋体" w:hAnsi="宋体" w:hint="eastAsia"/>
          <w:sz w:val="24"/>
          <w:szCs w:val="24"/>
        </w:rPr>
        <w:t>报价</w:t>
      </w:r>
      <w:r>
        <w:rPr>
          <w:rFonts w:ascii="宋体" w:hAnsi="宋体" w:hint="eastAsia"/>
          <w:sz w:val="24"/>
          <w:szCs w:val="24"/>
          <w:lang w:val="en-US" w:eastAsia="zh-CN"/>
        </w:rPr>
        <w:t>单位</w:t>
      </w:r>
      <w:r>
        <w:rPr>
          <w:rFonts w:ascii="宋体" w:hAnsi="宋体" w:hint="eastAsia"/>
          <w:sz w:val="24"/>
          <w:szCs w:val="24"/>
        </w:rPr>
        <w:t xml:space="preserve">名称： </w:t>
      </w:r>
      <w:r>
        <w:rPr>
          <w:rFonts w:ascii="宋体" w:hAnsi="宋体"/>
          <w:sz w:val="24"/>
          <w:szCs w:val="24"/>
        </w:rPr>
        <w:t xml:space="preserve">                                        </w:t>
      </w:r>
      <w:r>
        <w:rPr>
          <w:rFonts w:ascii="宋体" w:hAnsi="宋体" w:hint="eastAsia"/>
          <w:sz w:val="24"/>
          <w:szCs w:val="24"/>
        </w:rPr>
        <w:t>（加盖公章）</w:t>
      </w:r>
    </w:p>
    <w:p>
      <w:pPr>
        <w:pStyle w:val="17"/>
        <w:widowControl/>
        <w:spacing w:line="312" w:lineRule="auto"/>
        <w:ind w:firstLineChars="200" w:firstLine="480"/>
        <w:rPr>
          <w:rFonts w:ascii="宋体" w:hAnsi="宋体"/>
          <w:sz w:val="24"/>
          <w:szCs w:val="24"/>
        </w:rPr>
      </w:pPr>
      <w:r>
        <w:rPr>
          <w:rFonts w:ascii="宋体" w:hAnsi="宋体" w:hint="eastAsia"/>
          <w:sz w:val="24"/>
          <w:szCs w:val="24"/>
        </w:rPr>
        <w:t xml:space="preserve">联系人：               </w:t>
      </w:r>
      <w:r>
        <w:rPr>
          <w:rFonts w:ascii="宋体" w:hAnsi="宋体"/>
          <w:sz w:val="24"/>
          <w:szCs w:val="24"/>
        </w:rPr>
        <w:t xml:space="preserve">                            </w:t>
      </w:r>
      <w:r>
        <w:rPr>
          <w:rFonts w:ascii="宋体" w:hAnsi="宋体" w:hint="eastAsia"/>
          <w:sz w:val="24"/>
          <w:szCs w:val="24"/>
        </w:rPr>
        <w:t xml:space="preserve">  （签    字）</w:t>
      </w:r>
    </w:p>
    <w:p>
      <w:pPr>
        <w:pStyle w:val="17"/>
        <w:widowControl/>
        <w:spacing w:line="312" w:lineRule="auto"/>
        <w:ind w:firstLineChars="200" w:firstLine="480"/>
        <w:rPr>
          <w:rFonts w:ascii="宋体" w:hAnsi="宋体"/>
          <w:sz w:val="24"/>
          <w:szCs w:val="24"/>
        </w:rPr>
      </w:pPr>
      <w:r>
        <w:rPr>
          <w:rFonts w:ascii="宋体" w:hAnsi="宋体" w:hint="eastAsia"/>
          <w:sz w:val="24"/>
          <w:szCs w:val="24"/>
        </w:rPr>
        <w:t>联系</w:t>
      </w:r>
      <w:r>
        <w:rPr>
          <w:rFonts w:ascii="宋体" w:hAnsi="宋体"/>
          <w:sz w:val="24"/>
          <w:szCs w:val="24"/>
        </w:rPr>
        <w:t>电话：</w:t>
      </w:r>
    </w:p>
    <w:p>
      <w:pPr>
        <w:pStyle w:val="17"/>
        <w:widowControl/>
        <w:spacing w:line="312" w:lineRule="auto"/>
        <w:ind w:firstLineChars="200" w:firstLine="480"/>
        <w:jc w:val="right"/>
        <w:rPr>
          <w:rFonts w:ascii="宋体" w:hAnsi="宋体"/>
          <w:sz w:val="24"/>
          <w:szCs w:val="24"/>
        </w:rPr>
      </w:pPr>
    </w:p>
    <w:p>
      <w:pPr>
        <w:pStyle w:val="17"/>
        <w:widowControl/>
        <w:spacing w:line="312" w:lineRule="auto"/>
        <w:ind w:firstLineChars="200" w:firstLine="480"/>
        <w:jc w:val="right"/>
        <w:rPr>
          <w:rFonts w:ascii="宋体" w:hAnsi="宋体" w:hint="eastAsia"/>
          <w:sz w:val="24"/>
          <w:szCs w:val="24"/>
        </w:rPr>
      </w:pPr>
    </w:p>
    <w:p>
      <w:pPr>
        <w:pStyle w:val="17"/>
        <w:widowControl/>
        <w:spacing w:line="312" w:lineRule="auto"/>
        <w:ind w:firstLineChars="200" w:firstLine="480"/>
        <w:jc w:val="right"/>
        <w:rPr>
          <w:rFonts w:ascii="宋体" w:hAnsi="宋体"/>
          <w:sz w:val="24"/>
          <w:szCs w:val="24"/>
        </w:rPr>
      </w:pPr>
      <w:r>
        <w:rPr>
          <w:rFonts w:ascii="宋体" w:hAnsi="宋体" w:hint="eastAsia"/>
          <w:sz w:val="24"/>
          <w:szCs w:val="24"/>
        </w:rPr>
        <w:t xml:space="preserve">日  期： </w:t>
      </w:r>
      <w:r>
        <w:rPr>
          <w:rFonts w:ascii="宋体" w:hAnsi="宋体"/>
          <w:sz w:val="24"/>
          <w:szCs w:val="24"/>
        </w:rPr>
        <w:t xml:space="preserve">     </w:t>
      </w:r>
      <w:r>
        <w:rPr>
          <w:rFonts w:ascii="宋体" w:hAnsi="宋体" w:hint="eastAsia"/>
          <w:sz w:val="24"/>
          <w:szCs w:val="24"/>
        </w:rPr>
        <w:t>年     月     日</w:t>
      </w:r>
    </w:p>
    <w:sectPr>
      <w:pgSz w:w="11906" w:h="16838"/>
      <w:pgMar w:top="1440" w:right="1531" w:bottom="1440" w:left="1531" w:header="851" w:footer="992" w:gutter="0"/>
      <w:cols w:num="1" w:space="425"/>
      <w:docGrid w:type="lines"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comment w:id="0" w:author="ldj" w:date="2022-04-29T09:00:00Z" w:initials="l">
    <w:p w14:paraId="339C7400">
      <w:pPr>
        <w:pStyle w:val="16"/>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2F8F5085">
      <w:pPr>
        <w:pStyle w:val="16"/>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15="http://schemas.microsoft.com/office/word/2012/wordml">
  <w15:commentEx w15:paraId="2F8F5085" w15:done="0"/>
</w15:commentsEx>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Arial Unicode MS">
    <w:altName w:val="Malgun Gothic Semilight"/>
    <w:panose1 w:val="020B0604020202020204"/>
    <w:charset w:val="86"/>
    <w:family w:val="swiss"/>
    <w:pitch w:val="variable"/>
    <w:sig w:usb0="00000000" w:usb1="00000000" w:usb2="0000003F" w:usb3="00000000" w:csb0="603F01FF" w:csb1="FFFF0000"/>
  </w:font>
  <w:font w:name="Courier New">
    <w:panose1 w:val="02070309020205020404"/>
    <w:charset w:val="01"/>
    <w:family w:val="modern"/>
    <w:pitch w:val="variable"/>
    <w:sig w:usb0="E0002EFF" w:usb1="C0007843" w:usb2="00000009" w:usb3="00000000" w:csb0="400001FF" w:csb1="FFFF0000"/>
  </w:font>
  <w:font w:name="等线">
    <w:panose1 w:val="02010600030101010101"/>
    <w:charset w:val="86"/>
    <w:family w:val="auto"/>
    <w:pitch w:val="variable"/>
    <w:sig w:usb0="A00002BF" w:usb1="38CF7CFA"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08F89A"/>
    <w:multiLevelType w:val="singleLevel"/>
    <w:tmpl w:val="6608F89A"/>
    <w:lvl w:ilvl="0">
      <w:start w:val="1"/>
      <w:numFmt w:val="decimal"/>
      <w:lvlRestart w:val="0"/>
      <w:suff w:val="space"/>
      <w:lvlText w:val="%1."/>
      <w:lvlJc w:val="left"/>
      <w:pPr/>
      <w:rPr>
        <w:rFonts w:hint="default"/>
        <w:b/>
        <w:bCs/>
      </w:rPr>
    </w:lvl>
  </w:abstractNum>
  <w:abstractNum w:abstractNumId="1">
    <w:nsid w:val="69803115"/>
    <w:multiLevelType w:val="multilevel"/>
    <w:tmpl w:val="69803115"/>
    <w:lvl w:ilvl="0">
      <w:start w:val="1"/>
      <w:numFmt w:val="japaneseCounting"/>
      <w:lvlRestart w:val="0"/>
      <w:lvlText w:val="%1、"/>
      <w:lvlJc w:val="left"/>
      <w:pPr>
        <w:ind w:left="600" w:hanging="60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962671"/>
    <w:multiLevelType w:val="singleLevel"/>
    <w:tmpl w:val="18962671"/>
    <w:lvl w:ilvl="0">
      <w:start w:val="1"/>
      <w:numFmt w:val="decimal"/>
      <w:lvlRestart w:val="0"/>
      <w:suff w:val="nothing"/>
      <w:lvlText w:val="%1."/>
      <w:lvlJc w:val="left"/>
      <w:pPr/>
      <w:rPr>
        <w:rFonts w:ascii="Calibri" w:hAnsi="Calibri" w:eastAsia="宋体" w:cs="Arial"/>
      </w:rPr>
    </w:lvl>
  </w:abstractNum>
  <w:abstractNum w:abstractNumId="3">
    <w:nsid w:val="86C3D125"/>
    <w:multiLevelType w:val="multilevel"/>
    <w:tmpl w:val="3B363D98"/>
    <w:lvl w:ilvl="0">
      <w:start w:val="1"/>
      <w:numFmt w:val="decimal"/>
      <w:lvlRestart w:val="0"/>
      <w:pStyle w:val="15"/>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4">
    <w:nsid w:val="B1A686B0"/>
    <w:multiLevelType w:val="multilevel"/>
    <w:tmpl w:val="4CA75A52"/>
    <w:lvl w:ilvl="0">
      <w:start w:val="1"/>
      <w:numFmt w:val="decimal"/>
      <w:lvlRestart w:val="0"/>
      <w:pStyle w:val="29"/>
      <w:lvlText w:val="%1)"/>
      <w:lvlJc w:val="left"/>
      <w:pPr>
        <w:ind w:left="425" w:hanging="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15="http://schemas.microsoft.com/office/word/2012/wordml">
  <w15:person w15:author="ldj">
    <w15:presenceInfo w15:providerId="None" w15:userId="ldj"/>
  </w15:person>
</w15:people>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GYyYzY3YzA5NDFhOTBlOGU5ZDEwNGI5MzgzN2MxNGE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100" w:after="100" w:line="578" w:lineRule="auto"/>
      <w:ind w:firstLineChars="200" w:firstLine="200"/>
      <w:outlineLvl w:val="0"/>
    </w:pPr>
    <w:rPr>
      <w:rFonts w:eastAsia="宋体"/>
      <w:b/>
      <w:bCs/>
      <w:kern w:val="44"/>
      <w:sz w:val="30"/>
      <w:szCs w:val="44"/>
    </w:rPr>
  </w:style>
  <w:style w:type="character" w:customStyle="1" w:styleId="1Char">
    <w:name w:val="heading 1 Char"/>
    <w:basedOn w:val="10"/>
    <w:link w:val="1"/>
    <w:rPr>
      <w:rFonts w:ascii="Calibri" w:eastAsia="宋体" w:cs="Arial" w:hAnsi="Calibri"/>
      <w:b/>
      <w:bCs/>
      <w:kern w:val="44"/>
      <w:sz w:val="30"/>
      <w:szCs w:val="44"/>
      <w:lang w:val="en-US" w:eastAsia="zh-CN" w:bidi="ar-SA"/>
    </w:rPr>
  </w:style>
  <w:style w:type="paragraph" w:styleId="2">
    <w:name w:val="heading 2"/>
    <w:qFormat/>
    <w:basedOn w:val="0"/>
    <w:next w:val="0"/>
    <w:link w:val="2Char"/>
    <w:pPr>
      <w:keepNext/>
      <w:keepLines/>
      <w:spacing w:line="415" w:lineRule="auto"/>
      <w:ind w:firstLineChars="200" w:firstLine="200"/>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spacing w:beforeAutospacing="1" w:afterAutospacing="1"/>
      <w:jc w:val="left"/>
      <w:outlineLvl w:val="2"/>
    </w:pPr>
    <w:rPr>
      <w:rFonts w:ascii="宋体" w:eastAsia="宋体" w:cs="Times New Roman" w:hAnsi="宋体"/>
      <w:b/>
      <w:bCs/>
      <w:kern w:val="0"/>
      <w:sz w:val="27"/>
      <w:szCs w:val="27"/>
    </w:rPr>
  </w:style>
  <w:style w:type="character" w:customStyle="1" w:styleId="3Char">
    <w:name w:val="heading 3 Char"/>
    <w:basedOn w:val="10"/>
    <w:link w:val="3"/>
    <w:rPr>
      <w:rFonts w:ascii="宋体" w:eastAsia="宋体" w:cs="Times New Roman" w:hAnsi="宋体"/>
      <w:b/>
      <w:bCs/>
      <w:kern w:val="0"/>
      <w:sz w:val="27"/>
      <w:szCs w:val="27"/>
      <w:lang w:val="en-US" w:eastAsia="zh-CN" w:bidi="ar-SA"/>
    </w:rPr>
  </w:style>
  <w:style w:type="paragraph" w:styleId="4">
    <w:name w:val="heading 4"/>
    <w:qFormat/>
    <w:basedOn w:val="0"/>
    <w:next w:val="0"/>
    <w:link w:val="4Char"/>
    <w:pPr>
      <w:keepNext/>
      <w:keepLines/>
      <w:spacing w:before="120" w:after="120" w:line="377" w:lineRule="auto"/>
      <w:outlineLvl w:val="3"/>
    </w:pPr>
    <w:rPr>
      <w:rFonts w:ascii="Cambria" w:eastAsia="宋体" w:cs="Times New Roman" w:hAnsi="Cambria"/>
      <w:b/>
      <w:bCs/>
      <w:sz w:val="28"/>
      <w:szCs w:val="28"/>
    </w:rPr>
  </w:style>
  <w:style w:type="character" w:customStyle="1" w:styleId="4Char">
    <w:name w:val="heading 4 Char"/>
    <w:basedOn w:val="10"/>
    <w:link w:val="4"/>
    <w:rPr>
      <w:rFonts w:ascii="Cambria" w:eastAsia="宋体" w:cs="Times New Roman" w:hAnsi="Cambria"/>
      <w:b/>
      <w:bCs/>
      <w:kern w:val="2"/>
      <w:sz w:val="28"/>
      <w:szCs w:val="28"/>
      <w:lang w:val="en-US" w:eastAsia="zh-CN" w:bidi="ar-SA"/>
    </w:rPr>
  </w:style>
  <w:style w:type="character" w:default="1" w:styleId="10">
    <w:name w:val="Default Paragraph Font"/>
    <w:qFormat/>
  </w:style>
  <w:style w:type="paragraph" w:styleId="15">
    <w:name w:val="caption"/>
    <w:qFormat/>
    <w:basedOn w:val="0"/>
    <w:next w:val="0"/>
    <w:pPr>
      <w:numPr>
        <w:ilvl w:val="0"/>
        <w:numId w:val="4"/>
      </w:numPr>
      <w:spacing w:line="360" w:lineRule="auto"/>
      <w:ind w:left="420" w:firstLine="0"/>
      <w:jc w:val="center"/>
    </w:pPr>
    <w:rPr>
      <w:rFonts w:ascii="Arial Unicode MS" w:eastAsia="宋体" w:cs="Times New Roman" w:hAnsi="Arial Unicode MS"/>
      <w:szCs w:val="20"/>
      <w:lang w:val="zh-CN"/>
    </w:rPr>
  </w:style>
  <w:style w:type="paragraph" w:styleId="16">
    <w:name w:val="annotation text"/>
    <w:qFormat/>
    <w:basedOn w:val="0"/>
    <w:pPr>
      <w:jc w:val="left"/>
    </w:pPr>
  </w:style>
  <w:style w:type="paragraph" w:styleId="17">
    <w:name w:val="Body Text"/>
    <w:qFormat/>
    <w:basedOn w:val="0"/>
    <w:pPr>
      <w:spacing w:after="120"/>
    </w:pPr>
  </w:style>
  <w:style w:type="paragraph" w:styleId="18">
    <w:name w:val="Plain Text"/>
    <w:qFormat/>
    <w:basedOn w:val="0"/>
    <w:next w:val="0"/>
    <w:rPr>
      <w:rFonts w:ascii="宋体" w:hAnsi="Courier New"/>
      <w:szCs w:val="20"/>
    </w:r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Normal (Web)"/>
    <w:qFormat/>
    <w:basedOn w:val="0"/>
    <w:pPr>
      <w:widowControl/>
      <w:spacing w:before="100" w:beforeAutospacing="1" w:after="100" w:afterAutospacing="1"/>
      <w:jc w:val="left"/>
    </w:pPr>
    <w:rPr>
      <w:rFonts w:ascii="宋体" w:eastAsia="宋体" w:cs="宋体" w:hAnsi="宋体"/>
      <w:kern w:val="0"/>
      <w:sz w:val="24"/>
      <w:szCs w:val="24"/>
    </w:rPr>
  </w:style>
  <w:style w:type="paragraph" w:styleId="23">
    <w:name w:val="annotation subject"/>
    <w:qFormat/>
    <w:basedOn w:val="16"/>
    <w:next w:val="16"/>
    <w:rPr>
      <w:b/>
      <w:bCs/>
    </w:rPr>
  </w:style>
  <w:style w:type="character" w:styleId="24">
    <w:name w:val="Emphasis"/>
    <w:qFormat/>
    <w:basedOn w:val="10"/>
    <w:rPr>
      <w:i/>
    </w:rPr>
  </w:style>
  <w:style w:type="character" w:styleId="25">
    <w:name w:val="Hyperlink"/>
    <w:qFormat/>
    <w:basedOn w:val="10"/>
    <w:rPr>
      <w:color w:val="0000FF"/>
      <w:u w:val="single"/>
    </w:rPr>
  </w:style>
  <w:style w:type="character" w:styleId="26">
    <w:name w:val="annotation reference"/>
    <w:qFormat/>
    <w:basedOn w:val="10"/>
    <w:rPr>
      <w:sz w:val="21"/>
      <w:szCs w:val="21"/>
    </w:rPr>
  </w:style>
  <w:style w:type="paragraph" w:styleId="27">
    <w:name w:val="List Paragraph"/>
    <w:qFormat/>
    <w:basedOn w:val="0"/>
    <w:pPr>
      <w:ind w:firstLineChars="200" w:firstLine="200"/>
    </w:pPr>
  </w:style>
  <w:style w:type="paragraph" w:customStyle="1" w:yozoId="4094" w:styleId="28">
    <w:name w:val="样式 首行缩进:  0 字符"/>
    <w:qFormat/>
    <w:basedOn w:val="0"/>
    <w:pPr>
      <w:spacing w:line="360" w:lineRule="auto"/>
      <w:ind w:firstLineChars="200" w:firstLine="200"/>
    </w:pPr>
    <w:rPr>
      <w:rFonts w:ascii="Times New Roman" w:eastAsia="宋体" w:cs="宋体" w:hAnsi="Times New Roman"/>
      <w:sz w:val="24"/>
      <w:szCs w:val="20"/>
    </w:rPr>
  </w:style>
  <w:style w:type="paragraph" w:customStyle="1" w:yozoId="4094" w:styleId="29">
    <w:name w:val="编号，小四"/>
    <w:qFormat/>
    <w:basedOn w:val="0"/>
    <w:pPr>
      <w:numPr>
        <w:ilvl w:val="0"/>
        <w:numId w:val="5"/>
      </w:numPr>
      <w:spacing w:line="360" w:lineRule="auto"/>
    </w:pPr>
    <w:rPr>
      <w:rFonts w:ascii="Times New Roman" w:eastAsia="宋体" w:cs="宋体" w:hAnsi="Times New Roman"/>
      <w:sz w:val="24"/>
      <w:szCs w:val="20"/>
    </w:rPr>
  </w:style>
  <w:style w:type="paragraph" w:customStyle="1" w:yozoId="4094" w:styleId="30">
    <w:name w:val="*正文"/>
    <w:qFormat/>
    <w:basedOn w:val="0"/>
    <w:next w:val="0"/>
    <w:pPr>
      <w:spacing w:line="360" w:lineRule="auto"/>
      <w:ind w:firstLineChars="200" w:firstLine="200"/>
    </w:pPr>
    <w:rPr>
      <w:rFonts w:ascii="等线" w:eastAsia="等线" w:cs="黑体" w:hAnsi="等线"/>
      <w:sz w:val="24"/>
      <w:szCs w:val="24"/>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microsoft.com/office/2011/relationships/commentsExtended" Target="commentsExtended.xml"/><Relationship Id="rId3" Type="http://schemas.microsoft.com/office/2011/relationships/people" Target="people.xml"/><Relationship Id="rId4" Type="http://schemas.openxmlformats.org/officeDocument/2006/relationships/settings" Target="settings.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6589954F-E6A4-4F11-A915-470DFC7C2FB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55</TotalTime>
  <Application>WPS_Yozo_Office9.0.5533.102ZH.ZJ03</Application>
  <Pages>6</Pages>
  <Words>0</Words>
  <Characters>3663</Characters>
  <Lines>0</Lines>
  <Paragraphs>69</Paragraphs>
  <CharactersWithSpaces>4885</CharactersWithSpaces>
  <Company>Www.SangSan.Cn</Company>
</Properties>
</file>

<file path=docProps/core.xml><?xml version="1.0" encoding="utf-8"?>
<cp:coreProperties xmlns:cp="http://schemas.openxmlformats.org/package/2006/metadata/core-properties" xmlns:dc="http://purl.org/dc/elements/1.1/" xmlns:dcterms="http://purl.org/dc/terms/" xmlns:xsi="http://www.w3.org/2001/XMLSchema-instance">
  <dc:creator>chh</dc:creator>
  <cp:lastModifiedBy>Lenovo</cp:lastModifiedBy>
  <cp:revision>75</cp:revision>
  <cp:lastPrinted>2021-03-24T07:58:00Z</cp:lastPrinted>
  <dcterms:created xsi:type="dcterms:W3CDTF">2021-07-13T03:47:00Z</dcterms:created>
  <dcterms:modified xsi:type="dcterms:W3CDTF">2025-03-12T04:02:04Z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973A1DF5D267412F81A51E6C9B165397</vt:lpwstr>
  </property>
</Properties>
</file>