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enter" w:pos="6979"/>
        </w:tabs>
        <w:spacing w:before="0" w:after="0" w:line="440" w:lineRule="exact"/>
        <w:jc w:val="center"/>
        <w:rPr>
          <w:rFonts w:ascii="宋体" w:hAnsi="宋体" w:eastAsia="宋体" w:cs="宋体"/>
          <w:sz w:val="40"/>
          <w:szCs w:val="36"/>
        </w:rPr>
      </w:pPr>
      <w:r>
        <w:rPr>
          <w:rFonts w:hint="eastAsia" w:ascii="宋体" w:hAnsi="宋体" w:eastAsia="宋体" w:cs="宋体"/>
          <w:sz w:val="40"/>
          <w:szCs w:val="36"/>
        </w:rPr>
        <w:t>中共浙江省委党校</w:t>
      </w:r>
      <w:r>
        <w:rPr>
          <w:rFonts w:hint="eastAsia" w:ascii="宋体" w:hAnsi="宋体" w:eastAsia="宋体" w:cs="宋体"/>
          <w:sz w:val="40"/>
          <w:szCs w:val="36"/>
          <w:lang w:eastAsia="zh-CN"/>
        </w:rPr>
        <w:t>办公用水采购及配送项目</w:t>
      </w:r>
      <w:r>
        <w:rPr>
          <w:rFonts w:hint="eastAsia" w:ascii="宋体" w:hAnsi="宋体" w:eastAsia="宋体" w:cs="宋体"/>
          <w:sz w:val="40"/>
          <w:szCs w:val="36"/>
        </w:rPr>
        <w:t>需求单</w:t>
      </w:r>
    </w:p>
    <w:p>
      <w:pPr>
        <w:rPr>
          <w:sz w:val="24"/>
          <w:szCs w:val="24"/>
        </w:rPr>
      </w:pPr>
    </w:p>
    <w:p>
      <w:pPr>
        <w:rPr>
          <w:sz w:val="24"/>
          <w:szCs w:val="24"/>
        </w:rPr>
      </w:pPr>
    </w:p>
    <w:p>
      <w:pPr>
        <w:spacing w:afterLines="50"/>
        <w:jc w:val="left"/>
        <w:rPr>
          <w:rFonts w:hint="eastAsia" w:ascii="宋体" w:hAnsi="宋体" w:eastAsia="宋体" w:cs="宋体"/>
          <w:b/>
          <w:sz w:val="22"/>
          <w:szCs w:val="24"/>
          <w:u w:val="single"/>
          <w:lang w:eastAsia="zh-CN"/>
        </w:rPr>
      </w:pPr>
      <w:r>
        <w:rPr>
          <w:rFonts w:hint="eastAsia" w:ascii="宋体" w:hAnsi="宋体" w:eastAsia="宋体" w:cs="宋体"/>
          <w:b/>
          <w:sz w:val="22"/>
          <w:szCs w:val="24"/>
          <w:u w:val="single"/>
        </w:rPr>
        <w:t>项目名称：省委党校</w:t>
      </w:r>
      <w:r>
        <w:rPr>
          <w:rFonts w:hint="eastAsia" w:ascii="宋体" w:hAnsi="宋体" w:eastAsia="宋体" w:cs="宋体"/>
          <w:b/>
          <w:sz w:val="22"/>
          <w:szCs w:val="24"/>
          <w:u w:val="single"/>
          <w:lang w:eastAsia="zh-CN"/>
        </w:rPr>
        <w:t>办公用水</w:t>
      </w:r>
      <w:r>
        <w:rPr>
          <w:rFonts w:hint="eastAsia" w:ascii="宋体" w:hAnsi="宋体" w:eastAsia="宋体" w:cs="宋体"/>
          <w:b/>
          <w:sz w:val="22"/>
          <w:szCs w:val="24"/>
          <w:u w:val="single"/>
        </w:rPr>
        <w:t>采购</w:t>
      </w:r>
      <w:r>
        <w:rPr>
          <w:rFonts w:hint="eastAsia" w:ascii="宋体" w:hAnsi="宋体" w:eastAsia="宋体" w:cs="宋体"/>
          <w:b/>
          <w:sz w:val="22"/>
          <w:szCs w:val="24"/>
          <w:u w:val="single"/>
          <w:lang w:eastAsia="zh-CN"/>
        </w:rPr>
        <w:t>及配送项目</w:t>
      </w:r>
      <w:bookmarkStart w:id="2" w:name="_GoBack"/>
      <w:bookmarkEnd w:id="2"/>
    </w:p>
    <w:p>
      <w:pPr>
        <w:spacing w:afterLines="50"/>
        <w:jc w:val="left"/>
        <w:rPr>
          <w:rFonts w:cs="宋体" w:asciiTheme="minorEastAsia" w:hAnsiTheme="minorEastAsia"/>
          <w:sz w:val="22"/>
          <w:szCs w:val="24"/>
          <w:u w:val="single"/>
        </w:rPr>
      </w:pPr>
      <w:r>
        <w:rPr>
          <w:rFonts w:hint="eastAsia" w:cs="宋体" w:asciiTheme="minorEastAsia" w:hAnsiTheme="minorEastAsia"/>
          <w:b/>
          <w:sz w:val="22"/>
          <w:szCs w:val="24"/>
          <w:u w:val="single"/>
        </w:rPr>
        <w:t>报价金额单位：（元）</w:t>
      </w:r>
    </w:p>
    <w:p>
      <w:pPr>
        <w:pStyle w:val="2"/>
        <w:rPr>
          <w:rFonts w:asciiTheme="minorEastAsia" w:hAnsiTheme="minorEastAsia" w:eastAsiaTheme="minorEastAsia"/>
          <w:sz w:val="24"/>
          <w:szCs w:val="24"/>
        </w:rPr>
      </w:pPr>
    </w:p>
    <w:tbl>
      <w:tblPr>
        <w:tblStyle w:val="9"/>
        <w:tblpPr w:leftFromText="180" w:rightFromText="180" w:vertAnchor="text" w:tblpXSpec="center" w:tblpY="1"/>
        <w:tblOverlap w:val="never"/>
        <w:tblW w:w="5000" w:type="pct"/>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937"/>
        <w:gridCol w:w="1412"/>
        <w:gridCol w:w="2586"/>
        <w:gridCol w:w="3258"/>
        <w:gridCol w:w="1059"/>
        <w:gridCol w:w="926"/>
        <w:gridCol w:w="1088"/>
        <w:gridCol w:w="1271"/>
        <w:gridCol w:w="2203"/>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Ex>
        <w:trPr>
          <w:trHeight w:val="781" w:hRule="atLeast"/>
        </w:trPr>
        <w:tc>
          <w:tcPr>
            <w:tcW w:w="318" w:type="pct"/>
            <w:vAlign w:val="center"/>
          </w:tcPr>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序号</w:t>
            </w:r>
          </w:p>
        </w:tc>
        <w:tc>
          <w:tcPr>
            <w:tcW w:w="479" w:type="pct"/>
            <w:vAlign w:val="center"/>
          </w:tcPr>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货物名称</w:t>
            </w:r>
          </w:p>
        </w:tc>
        <w:tc>
          <w:tcPr>
            <w:tcW w:w="875" w:type="pct"/>
            <w:vAlign w:val="center"/>
          </w:tcPr>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★规格型号、技术参数</w:t>
            </w:r>
          </w:p>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（需具体详细）</w:t>
            </w:r>
          </w:p>
        </w:tc>
        <w:tc>
          <w:tcPr>
            <w:tcW w:w="1105" w:type="pct"/>
            <w:vAlign w:val="center"/>
          </w:tcPr>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参考图片</w:t>
            </w:r>
          </w:p>
          <w:p>
            <w:pPr>
              <w:spacing w:line="240" w:lineRule="exact"/>
              <w:jc w:val="center"/>
              <w:rPr>
                <w:rFonts w:cs="宋体" w:asciiTheme="minorEastAsia" w:hAnsiTheme="minorEastAsia"/>
                <w:sz w:val="22"/>
                <w:szCs w:val="24"/>
              </w:rPr>
            </w:pPr>
          </w:p>
        </w:tc>
        <w:tc>
          <w:tcPr>
            <w:tcW w:w="359" w:type="pct"/>
            <w:tcBorders>
              <w:right w:val="single" w:color="auto" w:sz="4" w:space="0"/>
            </w:tcBorders>
            <w:vAlign w:val="center"/>
          </w:tcPr>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数量</w:t>
            </w:r>
          </w:p>
        </w:tc>
        <w:tc>
          <w:tcPr>
            <w:tcW w:w="314" w:type="pct"/>
            <w:tcBorders>
              <w:left w:val="single" w:color="auto" w:sz="4" w:space="0"/>
            </w:tcBorders>
            <w:vAlign w:val="center"/>
          </w:tcPr>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单位</w:t>
            </w:r>
          </w:p>
        </w:tc>
        <w:tc>
          <w:tcPr>
            <w:tcW w:w="369" w:type="pct"/>
            <w:vAlign w:val="center"/>
          </w:tcPr>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单价</w:t>
            </w:r>
          </w:p>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（元）</w:t>
            </w:r>
          </w:p>
        </w:tc>
        <w:tc>
          <w:tcPr>
            <w:tcW w:w="431" w:type="pct"/>
            <w:vAlign w:val="center"/>
          </w:tcPr>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总价</w:t>
            </w:r>
          </w:p>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（元）</w:t>
            </w:r>
          </w:p>
        </w:tc>
        <w:tc>
          <w:tcPr>
            <w:tcW w:w="745" w:type="pct"/>
            <w:tcBorders>
              <w:left w:val="single" w:color="auto" w:sz="4" w:space="0"/>
            </w:tcBorders>
            <w:vAlign w:val="center"/>
          </w:tcPr>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备注</w:t>
            </w:r>
          </w:p>
          <w:p>
            <w:pPr>
              <w:spacing w:line="240" w:lineRule="exact"/>
              <w:jc w:val="center"/>
              <w:rPr>
                <w:rFonts w:cs="宋体" w:asciiTheme="minorEastAsia" w:hAnsiTheme="minorEastAsia"/>
                <w:sz w:val="22"/>
                <w:szCs w:val="24"/>
              </w:rPr>
            </w:pPr>
            <w:r>
              <w:rPr>
                <w:rFonts w:hint="eastAsia" w:cs="宋体" w:asciiTheme="minorEastAsia" w:hAnsiTheme="minorEastAsia"/>
                <w:sz w:val="22"/>
                <w:szCs w:val="24"/>
              </w:rPr>
              <w:t>（送货地址）</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743" w:hRule="exact"/>
        </w:trPr>
        <w:tc>
          <w:tcPr>
            <w:tcW w:w="318" w:type="pct"/>
            <w:tcBorders>
              <w:top w:val="single" w:color="auto" w:sz="4" w:space="0"/>
            </w:tcBorders>
            <w:vAlign w:val="center"/>
          </w:tcPr>
          <w:p>
            <w:pPr>
              <w:spacing w:line="300" w:lineRule="auto"/>
              <w:jc w:val="center"/>
              <w:rPr>
                <w:rFonts w:hint="eastAsia" w:cs="宋体" w:asciiTheme="minorEastAsia" w:hAnsiTheme="minorEastAsia" w:eastAsiaTheme="minorEastAsia"/>
                <w:sz w:val="22"/>
                <w:szCs w:val="24"/>
                <w:lang w:val="en-US" w:eastAsia="zh-CN"/>
              </w:rPr>
            </w:pPr>
            <w:r>
              <w:rPr>
                <w:rFonts w:hint="eastAsia" w:cs="宋体" w:asciiTheme="minorEastAsia" w:hAnsiTheme="minorEastAsia"/>
                <w:sz w:val="22"/>
                <w:szCs w:val="24"/>
                <w:lang w:val="en-US" w:eastAsia="zh-CN"/>
              </w:rPr>
              <w:t>1</w:t>
            </w:r>
          </w:p>
        </w:tc>
        <w:tc>
          <w:tcPr>
            <w:tcW w:w="479" w:type="pct"/>
            <w:tcBorders>
              <w:top w:val="single" w:color="auto" w:sz="4" w:space="0"/>
            </w:tcBorders>
            <w:vAlign w:val="center"/>
          </w:tcPr>
          <w:p>
            <w:pPr>
              <w:spacing w:line="300" w:lineRule="auto"/>
              <w:jc w:val="center"/>
              <w:rPr>
                <w:rFonts w:cs="宋体" w:asciiTheme="minorEastAsia" w:hAnsiTheme="minorEastAsia"/>
                <w:sz w:val="22"/>
                <w:szCs w:val="24"/>
              </w:rPr>
            </w:pPr>
            <w:r>
              <w:rPr>
                <w:rFonts w:hint="eastAsia" w:cs="宋体" w:asciiTheme="minorEastAsia" w:hAnsiTheme="minorEastAsia"/>
                <w:sz w:val="22"/>
                <w:szCs w:val="24"/>
              </w:rPr>
              <w:t>农夫山泉</w:t>
            </w:r>
          </w:p>
        </w:tc>
        <w:tc>
          <w:tcPr>
            <w:tcW w:w="875" w:type="pct"/>
            <w:tcBorders>
              <w:top w:val="single" w:color="auto" w:sz="4" w:space="0"/>
            </w:tcBorders>
            <w:vAlign w:val="center"/>
          </w:tcPr>
          <w:p>
            <w:pPr>
              <w:pStyle w:val="2"/>
              <w:spacing w:line="300" w:lineRule="exact"/>
              <w:jc w:val="center"/>
              <w:rPr>
                <w:rFonts w:cs="宋体" w:asciiTheme="minorEastAsia" w:hAnsiTheme="minorEastAsia" w:eastAsiaTheme="minorEastAsia"/>
                <w:sz w:val="22"/>
                <w:szCs w:val="24"/>
              </w:rPr>
            </w:pPr>
            <w:r>
              <w:rPr>
                <w:rFonts w:hint="eastAsia" w:cs="宋体" w:asciiTheme="minorEastAsia" w:hAnsiTheme="minorEastAsia" w:eastAsiaTheme="minorEastAsia"/>
                <w:sz w:val="22"/>
                <w:szCs w:val="24"/>
              </w:rPr>
              <w:t>12L桶装水</w:t>
            </w:r>
          </w:p>
        </w:tc>
        <w:tc>
          <w:tcPr>
            <w:tcW w:w="1105" w:type="pct"/>
            <w:tcBorders>
              <w:top w:val="single" w:color="auto" w:sz="4" w:space="0"/>
            </w:tcBorders>
            <w:vAlign w:val="center"/>
          </w:tcPr>
          <w:p>
            <w:pPr>
              <w:spacing w:line="300" w:lineRule="auto"/>
              <w:jc w:val="center"/>
              <w:rPr>
                <w:rFonts w:cs="宋体" w:asciiTheme="minorEastAsia" w:hAnsiTheme="minorEastAsia"/>
                <w:sz w:val="22"/>
                <w:szCs w:val="24"/>
              </w:rPr>
            </w:pPr>
            <w:r>
              <w:rPr>
                <w:rFonts w:cs="宋体" w:asciiTheme="minorEastAsia" w:hAnsiTheme="minorEastAsia"/>
                <w:sz w:val="22"/>
                <w:szCs w:val="24"/>
              </w:rPr>
              <w:drawing>
                <wp:inline distT="0" distB="0" distL="0" distR="0">
                  <wp:extent cx="863600" cy="863600"/>
                  <wp:effectExtent l="19050" t="0" r="0" b="0"/>
                  <wp:docPr id="2" name="图片 0" descr="微信图片_2021053116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微信图片_20210531161453.jpg"/>
                          <pic:cNvPicPr>
                            <a:picLocks noChangeAspect="1"/>
                          </pic:cNvPicPr>
                        </pic:nvPicPr>
                        <pic:blipFill>
                          <a:blip r:embed="rId5" cstate="print"/>
                          <a:stretch>
                            <a:fillRect/>
                          </a:stretch>
                        </pic:blipFill>
                        <pic:spPr>
                          <a:xfrm flipH="1">
                            <a:off x="0" y="0"/>
                            <a:ext cx="863771" cy="863771"/>
                          </a:xfrm>
                          <a:prstGeom prst="rect">
                            <a:avLst/>
                          </a:prstGeom>
                        </pic:spPr>
                      </pic:pic>
                    </a:graphicData>
                  </a:graphic>
                </wp:inline>
              </w:drawing>
            </w:r>
          </w:p>
        </w:tc>
        <w:tc>
          <w:tcPr>
            <w:tcW w:w="359" w:type="pct"/>
            <w:tcBorders>
              <w:top w:val="single" w:color="auto" w:sz="4" w:space="0"/>
              <w:right w:val="single" w:color="auto" w:sz="4" w:space="0"/>
            </w:tcBorders>
            <w:vAlign w:val="center"/>
          </w:tcPr>
          <w:p>
            <w:pPr>
              <w:spacing w:line="300" w:lineRule="auto"/>
              <w:jc w:val="center"/>
              <w:rPr>
                <w:rFonts w:cs="宋体" w:asciiTheme="minorEastAsia" w:hAnsiTheme="minorEastAsia"/>
                <w:sz w:val="22"/>
                <w:szCs w:val="24"/>
              </w:rPr>
            </w:pPr>
            <w:r>
              <w:rPr>
                <w:rFonts w:hint="eastAsia" w:cs="宋体" w:asciiTheme="minorEastAsia" w:hAnsiTheme="minorEastAsia"/>
                <w:sz w:val="22"/>
                <w:szCs w:val="24"/>
                <w:lang w:val="en-US" w:eastAsia="zh-CN"/>
              </w:rPr>
              <w:t>80</w:t>
            </w:r>
            <w:r>
              <w:rPr>
                <w:rFonts w:hint="eastAsia" w:cs="宋体" w:asciiTheme="minorEastAsia" w:hAnsiTheme="minorEastAsia"/>
                <w:sz w:val="22"/>
                <w:szCs w:val="24"/>
              </w:rPr>
              <w:t>00</w:t>
            </w:r>
          </w:p>
        </w:tc>
        <w:tc>
          <w:tcPr>
            <w:tcW w:w="314" w:type="pct"/>
            <w:tcBorders>
              <w:top w:val="single" w:color="auto" w:sz="4" w:space="0"/>
              <w:left w:val="single" w:color="auto" w:sz="4" w:space="0"/>
            </w:tcBorders>
            <w:vAlign w:val="center"/>
          </w:tcPr>
          <w:p>
            <w:pPr>
              <w:spacing w:line="300" w:lineRule="auto"/>
              <w:jc w:val="center"/>
              <w:rPr>
                <w:rFonts w:cs="宋体" w:asciiTheme="minorEastAsia" w:hAnsiTheme="minorEastAsia"/>
                <w:sz w:val="22"/>
                <w:szCs w:val="24"/>
              </w:rPr>
            </w:pPr>
            <w:r>
              <w:rPr>
                <w:rFonts w:hint="eastAsia" w:cs="宋体" w:asciiTheme="minorEastAsia" w:hAnsiTheme="minorEastAsia"/>
                <w:sz w:val="22"/>
                <w:szCs w:val="24"/>
              </w:rPr>
              <w:t>桶</w:t>
            </w:r>
          </w:p>
        </w:tc>
        <w:tc>
          <w:tcPr>
            <w:tcW w:w="369" w:type="pct"/>
            <w:tcBorders>
              <w:top w:val="single" w:color="auto" w:sz="4" w:space="0"/>
            </w:tcBorders>
            <w:vAlign w:val="center"/>
          </w:tcPr>
          <w:p>
            <w:pPr>
              <w:spacing w:line="300" w:lineRule="auto"/>
              <w:jc w:val="center"/>
              <w:rPr>
                <w:rFonts w:cs="宋体" w:asciiTheme="minorEastAsia" w:hAnsiTheme="minorEastAsia"/>
                <w:sz w:val="22"/>
                <w:szCs w:val="24"/>
              </w:rPr>
            </w:pPr>
          </w:p>
        </w:tc>
        <w:tc>
          <w:tcPr>
            <w:tcW w:w="431" w:type="pct"/>
            <w:tcBorders>
              <w:top w:val="single" w:color="auto" w:sz="4" w:space="0"/>
            </w:tcBorders>
            <w:vAlign w:val="center"/>
          </w:tcPr>
          <w:p>
            <w:pPr>
              <w:spacing w:line="300" w:lineRule="auto"/>
              <w:jc w:val="center"/>
              <w:rPr>
                <w:rFonts w:cs="宋体" w:asciiTheme="minorEastAsia" w:hAnsiTheme="minorEastAsia"/>
                <w:sz w:val="22"/>
                <w:szCs w:val="24"/>
              </w:rPr>
            </w:pPr>
          </w:p>
        </w:tc>
        <w:tc>
          <w:tcPr>
            <w:tcW w:w="745" w:type="pct"/>
            <w:tcBorders>
              <w:top w:val="single" w:color="auto" w:sz="4" w:space="0"/>
              <w:left w:val="single" w:color="auto" w:sz="4" w:space="0"/>
            </w:tcBorders>
            <w:vAlign w:val="center"/>
          </w:tcPr>
          <w:p>
            <w:pPr>
              <w:spacing w:line="300" w:lineRule="auto"/>
              <w:rPr>
                <w:rFonts w:cs="宋体" w:asciiTheme="minorEastAsia" w:hAnsiTheme="minorEastAsia"/>
                <w:bCs/>
                <w:szCs w:val="21"/>
              </w:rPr>
            </w:pPr>
            <w:r>
              <w:rPr>
                <w:rFonts w:hint="eastAsia" w:cs="宋体" w:asciiTheme="minorEastAsia" w:hAnsiTheme="minorEastAsia"/>
                <w:bCs/>
                <w:szCs w:val="21"/>
              </w:rPr>
              <w:t>1.文一西路1</w:t>
            </w:r>
            <w:r>
              <w:rPr>
                <w:rFonts w:cs="宋体" w:asciiTheme="minorEastAsia" w:hAnsiTheme="minorEastAsia"/>
                <w:bCs/>
                <w:szCs w:val="21"/>
              </w:rPr>
              <w:t>000</w:t>
            </w:r>
            <w:r>
              <w:rPr>
                <w:rFonts w:hint="eastAsia" w:cs="宋体" w:asciiTheme="minorEastAsia" w:hAnsiTheme="minorEastAsia"/>
                <w:bCs/>
                <w:szCs w:val="21"/>
              </w:rPr>
              <w:t>号</w:t>
            </w:r>
            <w:r>
              <w:rPr>
                <w:rFonts w:hint="eastAsia" w:cs="宋体" w:asciiTheme="minorEastAsia" w:hAnsiTheme="minorEastAsia"/>
                <w:bCs/>
                <w:szCs w:val="21"/>
                <w:lang w:eastAsia="zh-CN"/>
              </w:rPr>
              <w:t>本部</w:t>
            </w:r>
            <w:r>
              <w:rPr>
                <w:rFonts w:hint="eastAsia" w:cs="宋体" w:asciiTheme="minorEastAsia" w:hAnsiTheme="minorEastAsia"/>
                <w:bCs/>
                <w:szCs w:val="21"/>
              </w:rPr>
              <w:t>校区各个办公室</w:t>
            </w:r>
          </w:p>
          <w:p>
            <w:pPr>
              <w:spacing w:line="300" w:lineRule="auto"/>
              <w:rPr>
                <w:rFonts w:cs="宋体" w:asciiTheme="minorEastAsia" w:hAnsiTheme="minorEastAsia"/>
                <w:bCs/>
                <w:szCs w:val="21"/>
              </w:rPr>
            </w:pPr>
            <w:r>
              <w:rPr>
                <w:rFonts w:hint="eastAsia" w:cs="宋体" w:asciiTheme="minorEastAsia" w:hAnsiTheme="minorEastAsia"/>
                <w:bCs/>
                <w:szCs w:val="21"/>
              </w:rPr>
              <w:t>2.余杭塘路69号</w:t>
            </w:r>
          </w:p>
          <w:p>
            <w:pPr>
              <w:spacing w:line="300" w:lineRule="auto"/>
              <w:rPr>
                <w:rFonts w:cs="宋体" w:asciiTheme="minorEastAsia" w:hAnsiTheme="minorEastAsia"/>
                <w:bCs/>
                <w:szCs w:val="21"/>
              </w:rPr>
            </w:pPr>
            <w:r>
              <w:rPr>
                <w:rFonts w:hint="eastAsia" w:cs="宋体" w:asciiTheme="minorEastAsia" w:hAnsiTheme="minorEastAsia"/>
                <w:bCs/>
                <w:szCs w:val="21"/>
              </w:rPr>
              <w:t>文欣校区各个办公室</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739" w:hRule="atLeast"/>
        </w:trPr>
        <w:tc>
          <w:tcPr>
            <w:tcW w:w="1674" w:type="pct"/>
            <w:gridSpan w:val="3"/>
            <w:tcBorders>
              <w:right w:val="single" w:color="auto" w:sz="4" w:space="0"/>
            </w:tcBorders>
            <w:vAlign w:val="center"/>
          </w:tcPr>
          <w:p>
            <w:pPr>
              <w:spacing w:line="336" w:lineRule="auto"/>
              <w:jc w:val="center"/>
              <w:rPr>
                <w:rFonts w:cs="宋体" w:asciiTheme="minorEastAsia" w:hAnsiTheme="minorEastAsia"/>
                <w:sz w:val="22"/>
                <w:szCs w:val="24"/>
              </w:rPr>
            </w:pPr>
            <w:r>
              <w:rPr>
                <w:rFonts w:hint="eastAsia" w:cs="宋体" w:asciiTheme="minorEastAsia" w:hAnsiTheme="minorEastAsia"/>
                <w:sz w:val="22"/>
                <w:szCs w:val="24"/>
              </w:rPr>
              <w:t>预算控制总价：</w:t>
            </w:r>
          </w:p>
        </w:tc>
        <w:tc>
          <w:tcPr>
            <w:tcW w:w="3325" w:type="pct"/>
            <w:gridSpan w:val="6"/>
            <w:tcBorders>
              <w:left w:val="single" w:color="auto" w:sz="4" w:space="0"/>
            </w:tcBorders>
            <w:vAlign w:val="center"/>
          </w:tcPr>
          <w:p>
            <w:pPr>
              <w:spacing w:line="336" w:lineRule="auto"/>
              <w:rPr>
                <w:rFonts w:cs="宋体" w:asciiTheme="minorEastAsia" w:hAnsiTheme="minorEastAsia"/>
                <w:b/>
                <w:sz w:val="22"/>
                <w:szCs w:val="24"/>
                <w:u w:val="single"/>
              </w:rPr>
            </w:pPr>
            <w:r>
              <w:rPr>
                <w:rFonts w:hint="eastAsia" w:cs="宋体" w:asciiTheme="minorEastAsia" w:hAnsiTheme="minorEastAsia"/>
                <w:b/>
                <w:sz w:val="22"/>
                <w:szCs w:val="24"/>
                <w:u w:val="single"/>
              </w:rPr>
              <w:t xml:space="preserve">小写：￥               </w:t>
            </w:r>
          </w:p>
          <w:p>
            <w:pPr>
              <w:spacing w:line="336" w:lineRule="auto"/>
              <w:rPr>
                <w:rFonts w:cs="宋体" w:asciiTheme="minorEastAsia" w:hAnsiTheme="minorEastAsia"/>
                <w:sz w:val="22"/>
                <w:szCs w:val="24"/>
              </w:rPr>
            </w:pPr>
            <w:r>
              <w:rPr>
                <w:rFonts w:hint="eastAsia" w:cs="宋体" w:asciiTheme="minorEastAsia" w:hAnsiTheme="minorEastAsia"/>
                <w:b/>
                <w:sz w:val="22"/>
                <w:szCs w:val="24"/>
                <w:u w:val="single"/>
              </w:rPr>
              <w:t>大写：人民币        元整</w:t>
            </w:r>
          </w:p>
        </w:tc>
      </w:tr>
    </w:tbl>
    <w:p>
      <w:pPr>
        <w:spacing w:line="400" w:lineRule="exact"/>
        <w:jc w:val="left"/>
        <w:rPr>
          <w:rFonts w:cs="宋体" w:asciiTheme="minorEastAsia" w:hAnsiTheme="minorEastAsia"/>
          <w:b/>
          <w:sz w:val="24"/>
          <w:szCs w:val="24"/>
        </w:rPr>
      </w:pPr>
    </w:p>
    <w:p>
      <w:pPr>
        <w:rPr>
          <w:rFonts w:cs="宋体" w:asciiTheme="minorEastAsia" w:hAnsiTheme="minorEastAsia"/>
          <w:sz w:val="24"/>
          <w:szCs w:val="24"/>
        </w:rPr>
      </w:pPr>
    </w:p>
    <w:p>
      <w:pPr>
        <w:rPr>
          <w:rFonts w:cs="宋体" w:asciiTheme="minorEastAsia" w:hAnsiTheme="minorEastAsia"/>
          <w:sz w:val="24"/>
          <w:szCs w:val="24"/>
        </w:rPr>
      </w:pPr>
    </w:p>
    <w:p>
      <w:pPr>
        <w:spacing w:line="400" w:lineRule="exact"/>
        <w:jc w:val="left"/>
        <w:rPr>
          <w:rFonts w:cs="宋体" w:asciiTheme="minorEastAsia" w:hAnsiTheme="minorEastAsia"/>
          <w:b/>
          <w:sz w:val="24"/>
          <w:szCs w:val="24"/>
        </w:rPr>
      </w:pPr>
      <w:r>
        <w:rPr>
          <w:rFonts w:hint="eastAsia" w:cs="宋体" w:asciiTheme="minorEastAsia" w:hAnsiTheme="minorEastAsia"/>
          <w:b/>
          <w:sz w:val="32"/>
          <w:szCs w:val="32"/>
        </w:rPr>
        <w:t>要求</w:t>
      </w:r>
      <w:r>
        <w:rPr>
          <w:rFonts w:hint="eastAsia" w:cs="宋体" w:asciiTheme="minorEastAsia" w:hAnsiTheme="minorEastAsia"/>
          <w:b/>
          <w:sz w:val="24"/>
          <w:szCs w:val="24"/>
        </w:rPr>
        <w:t>：</w:t>
      </w:r>
    </w:p>
    <w:p>
      <w:pPr>
        <w:pStyle w:val="2"/>
        <w:rPr>
          <w:rFonts w:asciiTheme="minorEastAsia" w:hAnsiTheme="minorEastAsia" w:eastAsiaTheme="minorEastAsia"/>
          <w:color w:val="FF0000"/>
          <w:sz w:val="24"/>
          <w:szCs w:val="24"/>
        </w:rPr>
      </w:pPr>
      <w:r>
        <w:rPr>
          <w:rFonts w:hint="eastAsia" w:cs="宋体" w:asciiTheme="minorEastAsia" w:hAnsiTheme="minorEastAsia"/>
          <w:b/>
          <w:color w:val="FF0000"/>
          <w:sz w:val="24"/>
          <w:szCs w:val="24"/>
        </w:rPr>
        <w:t>报价须知：</w:t>
      </w:r>
    </w:p>
    <w:p>
      <w:pPr>
        <w:pStyle w:val="2"/>
        <w:spacing w:line="360" w:lineRule="exact"/>
        <w:rPr>
          <w:rFonts w:asciiTheme="minorEastAsia" w:hAnsiTheme="minorEastAsia" w:eastAsiaTheme="minorEastAsia"/>
          <w:color w:val="44454D"/>
          <w:szCs w:val="21"/>
        </w:rPr>
      </w:pPr>
      <w:r>
        <w:rPr>
          <w:rFonts w:hint="eastAsia" w:asciiTheme="minorEastAsia" w:hAnsiTheme="minorEastAsia" w:eastAsiaTheme="minorEastAsia"/>
          <w:color w:val="000000" w:themeColor="text1"/>
          <w:szCs w:val="21"/>
        </w:rPr>
        <w:t>1、资质要求：供应商必须为农夫山泉公司特约经销商或指定代理商,</w:t>
      </w:r>
      <w:r>
        <w:rPr>
          <w:rFonts w:hint="eastAsia" w:asciiTheme="minorEastAsia" w:hAnsiTheme="minorEastAsia" w:eastAsiaTheme="minorEastAsia"/>
          <w:color w:val="44454D"/>
          <w:szCs w:val="21"/>
        </w:rPr>
        <w:t>要求成交供应商提供农夫山泉公司销售授权书、定时的检测报告、提供桶装水架和水嘴，因供方原因造成检测不合格、无法准时供水、无法送至供水点的，采购人可终止采购合同。</w:t>
      </w:r>
    </w:p>
    <w:p>
      <w:pPr>
        <w:pStyle w:val="7"/>
        <w:shd w:val="clear" w:color="auto" w:fill="FFFFFF"/>
        <w:spacing w:before="0" w:beforeAutospacing="0" w:after="0" w:afterAutospacing="0" w:line="360" w:lineRule="exact"/>
        <w:rPr>
          <w:rFonts w:cs="Arial"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2、质量要求：供应商所</w:t>
      </w:r>
      <w:r>
        <w:rPr>
          <w:rFonts w:hint="eastAsia" w:cs="Arial" w:asciiTheme="minorEastAsia" w:hAnsiTheme="minorEastAsia" w:eastAsiaTheme="minorEastAsia"/>
          <w:color w:val="000000" w:themeColor="text1"/>
          <w:sz w:val="21"/>
          <w:szCs w:val="21"/>
        </w:rPr>
        <w:t>提</w:t>
      </w:r>
      <w:r>
        <w:rPr>
          <w:rFonts w:hint="eastAsia" w:cs="Times New Roman" w:asciiTheme="minorEastAsia" w:hAnsiTheme="minorEastAsia" w:eastAsiaTheme="minorEastAsia"/>
          <w:color w:val="000000" w:themeColor="text1"/>
          <w:sz w:val="21"/>
          <w:szCs w:val="21"/>
        </w:rPr>
        <w:t>供产品，必须符合</w:t>
      </w:r>
      <w:r>
        <w:rPr>
          <w:rFonts w:hint="eastAsia" w:cs="Arial" w:asciiTheme="minorEastAsia" w:hAnsiTheme="minorEastAsia" w:eastAsiaTheme="minorEastAsia"/>
          <w:color w:val="000000" w:themeColor="text1"/>
          <w:sz w:val="21"/>
          <w:szCs w:val="21"/>
        </w:rPr>
        <w:t>国家饮用水</w:t>
      </w:r>
      <w:r>
        <w:rPr>
          <w:rFonts w:hint="eastAsia" w:cs="Times New Roman" w:asciiTheme="minorEastAsia" w:hAnsiTheme="minorEastAsia" w:eastAsiaTheme="minorEastAsia"/>
          <w:color w:val="000000" w:themeColor="text1"/>
          <w:sz w:val="21"/>
          <w:szCs w:val="21"/>
        </w:rPr>
        <w:t>产品质量标准</w:t>
      </w:r>
      <w:r>
        <w:rPr>
          <w:rFonts w:hint="eastAsia" w:cs="Arial" w:asciiTheme="minorEastAsia" w:hAnsiTheme="minorEastAsia" w:eastAsiaTheme="minorEastAsia"/>
          <w:color w:val="000000" w:themeColor="text1"/>
          <w:sz w:val="21"/>
          <w:szCs w:val="21"/>
        </w:rPr>
        <w:t>；每季度提供有效桶装水检验合格报告复印件一份。</w:t>
      </w:r>
    </w:p>
    <w:p>
      <w:pPr>
        <w:pStyle w:val="7"/>
        <w:shd w:val="clear" w:color="auto" w:fill="FFFFFF"/>
        <w:spacing w:before="0" w:beforeAutospacing="0" w:after="0" w:afterAutospacing="0" w:line="360" w:lineRule="exact"/>
        <w:rPr>
          <w:rFonts w:cs="Arial"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3、品种要求：</w:t>
      </w:r>
      <w:r>
        <w:rPr>
          <w:rFonts w:hint="eastAsia" w:cs="Arial" w:asciiTheme="minorEastAsia" w:hAnsiTheme="minorEastAsia" w:eastAsiaTheme="minorEastAsia"/>
          <w:color w:val="000000" w:themeColor="text1"/>
          <w:sz w:val="21"/>
          <w:szCs w:val="21"/>
        </w:rPr>
        <w:t>12L农夫山泉水</w:t>
      </w:r>
      <w:r>
        <w:rPr>
          <w:rFonts w:hint="eastAsia" w:cs="Times New Roman" w:asciiTheme="minorEastAsia" w:hAnsiTheme="minorEastAsia" w:eastAsiaTheme="minorEastAsia"/>
          <w:color w:val="000000" w:themeColor="text1"/>
          <w:sz w:val="21"/>
          <w:szCs w:val="21"/>
        </w:rPr>
        <w:t>，合同期内不得超范围供应其他品牌桶装水和桶装水以外的商品</w:t>
      </w:r>
      <w:r>
        <w:rPr>
          <w:rFonts w:hint="eastAsia" w:cs="Arial" w:asciiTheme="minorEastAsia" w:hAnsiTheme="minorEastAsia" w:eastAsiaTheme="minorEastAsia"/>
          <w:color w:val="000000" w:themeColor="text1"/>
          <w:sz w:val="21"/>
          <w:szCs w:val="21"/>
        </w:rPr>
        <w:t>。</w:t>
      </w:r>
    </w:p>
    <w:p>
      <w:pPr>
        <w:pStyle w:val="2"/>
        <w:spacing w:line="360" w:lineRule="exact"/>
        <w:rPr>
          <w:rFonts w:asciiTheme="minorEastAsia" w:hAnsiTheme="minorEastAsia" w:eastAsiaTheme="minorEastAsia"/>
          <w:b/>
          <w:bCs/>
          <w:color w:val="44454D"/>
          <w:szCs w:val="21"/>
        </w:rPr>
      </w:pPr>
      <w:r>
        <w:rPr>
          <w:rFonts w:hint="eastAsia" w:asciiTheme="minorEastAsia" w:hAnsiTheme="minorEastAsia" w:eastAsiaTheme="minorEastAsia"/>
          <w:color w:val="000000" w:themeColor="text1"/>
          <w:szCs w:val="21"/>
        </w:rPr>
        <w:t>4、</w:t>
      </w:r>
      <w:r>
        <w:rPr>
          <w:rFonts w:hint="eastAsia" w:asciiTheme="minorEastAsia" w:hAnsiTheme="minorEastAsia" w:eastAsiaTheme="minorEastAsia"/>
          <w:b/>
          <w:bCs/>
          <w:color w:val="000000" w:themeColor="text1"/>
          <w:szCs w:val="21"/>
        </w:rPr>
        <w:t>时效要求：</w:t>
      </w:r>
      <w:r>
        <w:rPr>
          <w:rFonts w:hint="eastAsia" w:asciiTheme="minorEastAsia" w:hAnsiTheme="minorEastAsia" w:eastAsiaTheme="minorEastAsia"/>
          <w:b/>
          <w:bCs/>
          <w:color w:val="000000" w:themeColor="text1"/>
          <w:szCs w:val="21"/>
          <w:highlight w:val="none"/>
        </w:rPr>
        <w:t>正常工作期间，每周一上午8点半开始到所有办公室按</w:t>
      </w:r>
      <w:r>
        <w:rPr>
          <w:rFonts w:hint="eastAsia" w:asciiTheme="minorEastAsia" w:hAnsiTheme="minorEastAsia" w:eastAsiaTheme="minorEastAsia"/>
          <w:b/>
          <w:bCs/>
          <w:color w:val="000000" w:themeColor="text1"/>
          <w:szCs w:val="21"/>
          <w:highlight w:val="none"/>
          <w:lang w:eastAsia="zh-CN"/>
        </w:rPr>
        <w:t>预订情况</w:t>
      </w:r>
      <w:r>
        <w:rPr>
          <w:rFonts w:hint="eastAsia" w:asciiTheme="minorEastAsia" w:hAnsiTheme="minorEastAsia" w:eastAsiaTheme="minorEastAsia"/>
          <w:b/>
          <w:bCs/>
          <w:color w:val="000000" w:themeColor="text1"/>
          <w:szCs w:val="21"/>
          <w:highlight w:val="none"/>
        </w:rPr>
        <w:t>送水；</w:t>
      </w:r>
      <w:r>
        <w:rPr>
          <w:rFonts w:hint="eastAsia" w:asciiTheme="minorEastAsia" w:hAnsiTheme="minorEastAsia" w:eastAsiaTheme="minorEastAsia"/>
          <w:b/>
          <w:bCs/>
          <w:color w:val="000000" w:themeColor="text1"/>
          <w:szCs w:val="21"/>
          <w:highlight w:val="none"/>
          <w:lang w:eastAsia="zh-CN"/>
        </w:rPr>
        <w:t>遇到节假日时，另行通知送水时间；供应商应</w:t>
      </w:r>
      <w:r>
        <w:rPr>
          <w:rFonts w:hint="eastAsia" w:asciiTheme="minorEastAsia" w:hAnsiTheme="minorEastAsia" w:eastAsiaTheme="minorEastAsia"/>
          <w:b/>
          <w:bCs/>
          <w:color w:val="000000" w:themeColor="text1"/>
          <w:szCs w:val="21"/>
          <w:highlight w:val="none"/>
        </w:rPr>
        <w:t>按要求，将所需产品规格、数量及时送达，</w:t>
      </w:r>
      <w:r>
        <w:rPr>
          <w:rFonts w:hint="eastAsia" w:asciiTheme="minorEastAsia" w:hAnsiTheme="minorEastAsia" w:eastAsiaTheme="minorEastAsia"/>
          <w:b/>
          <w:bCs/>
          <w:color w:val="000000" w:themeColor="text1"/>
          <w:szCs w:val="21"/>
          <w:highlight w:val="none"/>
          <w:lang w:eastAsia="zh-CN"/>
        </w:rPr>
        <w:t>确有困难需要调整配送时间的应该及时沟通告知；</w:t>
      </w:r>
      <w:r>
        <w:rPr>
          <w:rFonts w:hint="eastAsia" w:asciiTheme="minorEastAsia" w:hAnsiTheme="minorEastAsia" w:eastAsiaTheme="minorEastAsia"/>
          <w:b/>
          <w:bCs/>
          <w:color w:val="44454D"/>
          <w:szCs w:val="21"/>
          <w:highlight w:val="none"/>
        </w:rPr>
        <w:t>务必送货至指定地点，须送至各层各办公室饮水点；供应商不得对每次的送货数量设限。</w:t>
      </w:r>
    </w:p>
    <w:p>
      <w:pPr>
        <w:pStyle w:val="7"/>
        <w:shd w:val="clear" w:color="auto" w:fill="FFFFFF"/>
        <w:spacing w:before="0" w:beforeAutospacing="0" w:after="0" w:afterAutospacing="0" w:line="360" w:lineRule="exact"/>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5、价格要求：不得高于同品种农夫山泉市场指导价，分项单价不得超过控制价。</w:t>
      </w:r>
    </w:p>
    <w:p>
      <w:pPr>
        <w:spacing w:line="360" w:lineRule="auto"/>
        <w:rPr>
          <w:rFonts w:asciiTheme="minorEastAsia" w:hAnsiTheme="minorEastAsia"/>
          <w:color w:val="44454D"/>
          <w:szCs w:val="21"/>
        </w:rPr>
      </w:pPr>
      <w:r>
        <w:rPr>
          <w:rFonts w:hint="eastAsia" w:asciiTheme="minorEastAsia" w:hAnsiTheme="minorEastAsia"/>
          <w:color w:val="44454D"/>
          <w:szCs w:val="21"/>
        </w:rPr>
        <w:t>6、供货期限：</w:t>
      </w:r>
      <w:r>
        <w:rPr>
          <w:rFonts w:hint="eastAsia" w:ascii="宋体" w:hAnsi="宋体"/>
          <w:szCs w:val="21"/>
        </w:rPr>
        <w:t>采购时间三年，合同一年一签，一年合同期满后，经采购人考核不合格的，不再续签合同</w:t>
      </w:r>
      <w:r>
        <w:rPr>
          <w:rFonts w:hint="eastAsia" w:asciiTheme="minorEastAsia" w:hAnsiTheme="minorEastAsia"/>
          <w:color w:val="44454D"/>
          <w:szCs w:val="21"/>
        </w:rPr>
        <w:t>。</w:t>
      </w:r>
    </w:p>
    <w:p>
      <w:pPr>
        <w:spacing w:line="360" w:lineRule="exact"/>
        <w:ind w:right="-216" w:rightChars="-103"/>
        <w:rPr>
          <w:rFonts w:cs="宋体" w:asciiTheme="minorEastAsia" w:hAnsiTheme="minorEastAsia"/>
          <w:szCs w:val="21"/>
        </w:rPr>
      </w:pPr>
      <w:r>
        <w:rPr>
          <w:rFonts w:hint="eastAsia" w:cs="宋体" w:asciiTheme="minorEastAsia" w:hAnsiTheme="minorEastAsia"/>
          <w:b/>
          <w:szCs w:val="21"/>
        </w:rPr>
        <w:t>本地化服务要求：</w:t>
      </w:r>
      <w:r>
        <w:rPr>
          <w:rFonts w:hint="eastAsia" w:cs="宋体" w:asciiTheme="minorEastAsia" w:hAnsiTheme="minorEastAsia"/>
          <w:b/>
          <w:bCs/>
          <w:color w:val="FF0000"/>
          <w:szCs w:val="21"/>
          <w:u w:val="single"/>
        </w:rPr>
        <w:t>要求杭州市区供应商</w:t>
      </w:r>
      <w:r>
        <w:rPr>
          <w:rFonts w:hint="eastAsia" w:cs="宋体" w:asciiTheme="minorEastAsia" w:hAnsiTheme="minorEastAsia"/>
          <w:b/>
          <w:bCs/>
          <w:szCs w:val="21"/>
          <w:u w:val="single"/>
        </w:rPr>
        <w:t>，</w:t>
      </w:r>
      <w:r>
        <w:rPr>
          <w:rFonts w:hint="eastAsia" w:cs="宋体" w:asciiTheme="minorEastAsia" w:hAnsiTheme="minorEastAsia"/>
          <w:szCs w:val="21"/>
        </w:rPr>
        <w:t>在杭州市区有常驻的服务机构。</w:t>
      </w:r>
    </w:p>
    <w:p>
      <w:pPr>
        <w:spacing w:line="360" w:lineRule="exact"/>
        <w:rPr>
          <w:rFonts w:cs="宋体" w:asciiTheme="minorEastAsia" w:hAnsiTheme="minorEastAsia"/>
          <w:b/>
          <w:szCs w:val="21"/>
        </w:rPr>
      </w:pPr>
      <w:r>
        <w:rPr>
          <w:rFonts w:hint="eastAsia" w:cs="宋体" w:asciiTheme="minorEastAsia" w:hAnsiTheme="minorEastAsia"/>
          <w:b/>
          <w:szCs w:val="21"/>
        </w:rPr>
        <w:t>交货(送货)地点：</w:t>
      </w:r>
    </w:p>
    <w:p>
      <w:pPr>
        <w:spacing w:line="360" w:lineRule="exact"/>
        <w:jc w:val="left"/>
        <w:rPr>
          <w:rFonts w:cs="宋体" w:asciiTheme="minorEastAsia" w:hAnsiTheme="minorEastAsia"/>
          <w:szCs w:val="21"/>
        </w:rPr>
      </w:pPr>
      <w:r>
        <w:rPr>
          <w:rFonts w:hint="eastAsia" w:cs="宋体" w:asciiTheme="minorEastAsia" w:hAnsiTheme="minorEastAsia"/>
          <w:szCs w:val="21"/>
        </w:rPr>
        <w:t>地点：省委党校文一西路1000号（新校区</w:t>
      </w:r>
      <w:r>
        <w:rPr>
          <w:rFonts w:hint="eastAsia" w:asciiTheme="minorEastAsia" w:hAnsiTheme="minorEastAsia"/>
          <w:color w:val="44454D"/>
          <w:szCs w:val="21"/>
        </w:rPr>
        <w:t>各层各办公室饮水点</w:t>
      </w:r>
      <w:r>
        <w:rPr>
          <w:rFonts w:hint="eastAsia" w:cs="宋体" w:asciiTheme="minorEastAsia" w:hAnsiTheme="minorEastAsia"/>
          <w:szCs w:val="21"/>
        </w:rPr>
        <w:t>）、余杭塘路69号（老校区</w:t>
      </w:r>
      <w:r>
        <w:rPr>
          <w:rFonts w:hint="eastAsia" w:asciiTheme="minorEastAsia" w:hAnsiTheme="minorEastAsia"/>
          <w:color w:val="44454D"/>
          <w:szCs w:val="21"/>
        </w:rPr>
        <w:t>各层各办公室饮水点</w:t>
      </w:r>
      <w:r>
        <w:rPr>
          <w:rFonts w:hint="eastAsia" w:cs="宋体" w:asciiTheme="minorEastAsia" w:hAnsiTheme="minorEastAsia"/>
          <w:szCs w:val="21"/>
        </w:rPr>
        <w:t>）。</w:t>
      </w:r>
    </w:p>
    <w:p>
      <w:pPr>
        <w:spacing w:line="360" w:lineRule="exact"/>
        <w:rPr>
          <w:rFonts w:cs="宋体" w:asciiTheme="minorEastAsia" w:hAnsiTheme="minorEastAsia"/>
          <w:b/>
          <w:szCs w:val="21"/>
        </w:rPr>
      </w:pPr>
      <w:r>
        <w:rPr>
          <w:rFonts w:hint="eastAsia" w:cs="宋体" w:asciiTheme="minorEastAsia" w:hAnsiTheme="minorEastAsia"/>
          <w:b/>
          <w:szCs w:val="21"/>
        </w:rPr>
        <w:t>付款方式：</w:t>
      </w:r>
      <w:bookmarkStart w:id="0" w:name="OLE_LINK1"/>
      <w:bookmarkStart w:id="1" w:name="OLE_LINK2"/>
    </w:p>
    <w:bookmarkEnd w:id="0"/>
    <w:bookmarkEnd w:id="1"/>
    <w:p>
      <w:pPr>
        <w:pStyle w:val="7"/>
        <w:shd w:val="clear" w:color="auto" w:fill="FFFFFF"/>
        <w:spacing w:before="0" w:beforeAutospacing="0" w:after="0" w:afterAutospacing="0" w:line="360" w:lineRule="exact"/>
        <w:ind w:firstLine="420" w:firstLineChars="200"/>
        <w:rPr>
          <w:rFonts w:ascii="仿宋_GB2312" w:hAnsi="Arial" w:eastAsia="仿宋_GB2312" w:cs="Arial"/>
          <w:color w:val="000000" w:themeColor="text1"/>
          <w:sz w:val="21"/>
          <w:szCs w:val="21"/>
        </w:rPr>
      </w:pPr>
      <w:r>
        <w:rPr>
          <w:rFonts w:hint="eastAsia" w:asciiTheme="minorEastAsia" w:hAnsiTheme="minorEastAsia"/>
          <w:color w:val="44454D"/>
          <w:sz w:val="21"/>
          <w:szCs w:val="21"/>
        </w:rPr>
        <w:t>按成交单价和实际供货量，</w:t>
      </w:r>
      <w:r>
        <w:rPr>
          <w:rFonts w:hint="eastAsia" w:ascii="仿宋_GB2312" w:hAnsi="Times New Roman" w:eastAsia="仿宋_GB2312" w:cs="Times New Roman"/>
          <w:color w:val="000000" w:themeColor="text1"/>
          <w:sz w:val="21"/>
          <w:szCs w:val="21"/>
          <w:highlight w:val="none"/>
        </w:rPr>
        <w:t>供应商</w:t>
      </w:r>
      <w:r>
        <w:rPr>
          <w:rFonts w:hint="eastAsia" w:ascii="仿宋_GB2312" w:eastAsia="仿宋_GB2312" w:cs="Arial"/>
          <w:color w:val="000000" w:themeColor="text1"/>
          <w:sz w:val="21"/>
          <w:szCs w:val="21"/>
          <w:highlight w:val="none"/>
        </w:rPr>
        <w:t>于每</w:t>
      </w:r>
      <w:r>
        <w:rPr>
          <w:rFonts w:hint="eastAsia" w:ascii="仿宋_GB2312" w:eastAsia="仿宋_GB2312" w:cs="Arial"/>
          <w:color w:val="000000" w:themeColor="text1"/>
          <w:sz w:val="21"/>
          <w:szCs w:val="21"/>
          <w:highlight w:val="none"/>
          <w:lang w:eastAsia="zh-CN"/>
        </w:rPr>
        <w:t>月末或月初</w:t>
      </w:r>
      <w:r>
        <w:rPr>
          <w:rFonts w:hint="eastAsia" w:ascii="仿宋_GB2312" w:eastAsia="仿宋_GB2312" w:cs="Arial"/>
          <w:color w:val="000000" w:themeColor="text1"/>
          <w:sz w:val="21"/>
          <w:szCs w:val="21"/>
          <w:highlight w:val="none"/>
        </w:rPr>
        <w:t>，</w:t>
      </w:r>
      <w:r>
        <w:rPr>
          <w:rFonts w:hint="eastAsia" w:ascii="仿宋_GB2312" w:eastAsia="仿宋_GB2312" w:cs="Arial"/>
          <w:color w:val="000000" w:themeColor="text1"/>
          <w:sz w:val="21"/>
          <w:szCs w:val="21"/>
          <w:highlight w:val="none"/>
          <w:lang w:eastAsia="zh-CN"/>
        </w:rPr>
        <w:t>经核对后</w:t>
      </w:r>
      <w:r>
        <w:rPr>
          <w:rFonts w:hint="eastAsia" w:ascii="仿宋_GB2312" w:eastAsia="仿宋_GB2312" w:cs="Arial"/>
          <w:color w:val="000000" w:themeColor="text1"/>
          <w:sz w:val="21"/>
          <w:szCs w:val="21"/>
          <w:highlight w:val="none"/>
        </w:rPr>
        <w:t>凭</w:t>
      </w:r>
      <w:r>
        <w:rPr>
          <w:rFonts w:hint="eastAsia" w:ascii="仿宋_GB2312" w:eastAsia="仿宋_GB2312" w:cs="Arial"/>
          <w:color w:val="000000" w:themeColor="text1"/>
          <w:sz w:val="21"/>
          <w:szCs w:val="21"/>
          <w:highlight w:val="none"/>
          <w:lang w:eastAsia="zh-CN"/>
        </w:rPr>
        <w:t>送水登记表</w:t>
      </w:r>
      <w:r>
        <w:rPr>
          <w:rFonts w:hint="eastAsia" w:ascii="仿宋_GB2312" w:eastAsia="仿宋_GB2312" w:cs="Arial"/>
          <w:color w:val="000000" w:themeColor="text1"/>
          <w:sz w:val="21"/>
          <w:szCs w:val="21"/>
          <w:highlight w:val="none"/>
        </w:rPr>
        <w:t>和正规发票到乙方进行结算。</w:t>
      </w:r>
      <w:r>
        <w:rPr>
          <w:rFonts w:hint="eastAsia" w:asciiTheme="minorEastAsia" w:hAnsiTheme="minorEastAsia"/>
          <w:color w:val="44454D"/>
          <w:sz w:val="21"/>
          <w:szCs w:val="21"/>
        </w:rPr>
        <w:t>全年实际供货总量可能与本竞价单所列商品数量不一致；采购人付款前必须收到成交供应商开具的有效发票和送货签收明细单。</w:t>
      </w:r>
      <w:r>
        <w:rPr>
          <w:rFonts w:ascii="仿宋_GB2312" w:hAnsi="Arial" w:eastAsia="仿宋_GB2312" w:cs="Arial"/>
          <w:color w:val="000000" w:themeColor="text1"/>
          <w:sz w:val="21"/>
          <w:szCs w:val="21"/>
        </w:rPr>
        <w:t xml:space="preserve"> </w:t>
      </w:r>
    </w:p>
    <w:p>
      <w:pPr>
        <w:rPr>
          <w:rFonts w:asciiTheme="minorEastAsia" w:hAnsiTheme="minorEastAsia"/>
          <w:color w:val="44454D"/>
          <w:szCs w:val="21"/>
        </w:rPr>
      </w:pPr>
    </w:p>
    <w:p>
      <w:pPr>
        <w:pStyle w:val="18"/>
        <w:spacing w:line="400" w:lineRule="exact"/>
        <w:ind w:left="420" w:firstLine="11565" w:firstLineChars="4800"/>
        <w:jc w:val="left"/>
        <w:rPr>
          <w:rFonts w:cs="宋体" w:asciiTheme="minorEastAsia" w:hAnsiTheme="minorEastAsia"/>
          <w:b/>
          <w:sz w:val="24"/>
          <w:szCs w:val="24"/>
        </w:rPr>
      </w:pPr>
    </w:p>
    <w:p>
      <w:pPr>
        <w:pStyle w:val="18"/>
        <w:spacing w:line="400" w:lineRule="exact"/>
        <w:ind w:left="420" w:firstLine="11565" w:firstLineChars="4800"/>
        <w:jc w:val="left"/>
        <w:rPr>
          <w:rFonts w:cs="宋体" w:asciiTheme="minorEastAsia" w:hAnsiTheme="minorEastAsia"/>
          <w:b/>
          <w:sz w:val="24"/>
          <w:szCs w:val="24"/>
        </w:rPr>
      </w:pPr>
    </w:p>
    <w:p>
      <w:pPr>
        <w:pStyle w:val="18"/>
        <w:spacing w:line="400" w:lineRule="exact"/>
        <w:ind w:left="420" w:firstLine="11565" w:firstLineChars="4800"/>
        <w:jc w:val="left"/>
        <w:rPr>
          <w:rFonts w:cs="宋体" w:asciiTheme="minorEastAsia" w:hAnsiTheme="minorEastAsia"/>
          <w:b/>
          <w:sz w:val="24"/>
          <w:szCs w:val="24"/>
        </w:rPr>
      </w:pPr>
    </w:p>
    <w:p>
      <w:pPr>
        <w:pStyle w:val="18"/>
        <w:spacing w:line="400" w:lineRule="exact"/>
        <w:ind w:left="420" w:leftChars="200" w:firstLine="11286" w:firstLineChars="4684"/>
        <w:jc w:val="left"/>
        <w:rPr>
          <w:rFonts w:cs="宋体" w:asciiTheme="minorEastAsia" w:hAnsiTheme="minorEastAsia"/>
          <w:b/>
          <w:sz w:val="24"/>
          <w:szCs w:val="24"/>
        </w:rPr>
      </w:pPr>
      <w:r>
        <w:rPr>
          <w:rFonts w:hint="eastAsia" w:cs="宋体" w:asciiTheme="minorEastAsia" w:hAnsiTheme="minorEastAsia"/>
          <w:b/>
          <w:sz w:val="24"/>
          <w:szCs w:val="24"/>
        </w:rPr>
        <w:t xml:space="preserve">中共浙江省委党校                                                                                    </w:t>
      </w:r>
    </w:p>
    <w:p>
      <w:pPr>
        <w:pStyle w:val="18"/>
        <w:spacing w:line="400" w:lineRule="exact"/>
        <w:ind w:left="420" w:firstLine="482"/>
        <w:jc w:val="left"/>
        <w:rPr>
          <w:rFonts w:cs="宋体" w:asciiTheme="minorEastAsia" w:hAnsiTheme="minorEastAsia"/>
          <w:b/>
          <w:sz w:val="24"/>
          <w:szCs w:val="24"/>
        </w:rPr>
      </w:pPr>
      <w:r>
        <w:rPr>
          <w:rFonts w:hint="eastAsia" w:cs="宋体" w:asciiTheme="minorEastAsia" w:hAnsiTheme="minorEastAsia"/>
          <w:b/>
          <w:sz w:val="24"/>
          <w:szCs w:val="24"/>
        </w:rPr>
        <w:t xml:space="preserve">                                                                                          202</w:t>
      </w:r>
      <w:r>
        <w:rPr>
          <w:rFonts w:hint="eastAsia" w:cs="宋体" w:asciiTheme="minorEastAsia" w:hAnsiTheme="minorEastAsia"/>
          <w:b/>
          <w:sz w:val="24"/>
          <w:szCs w:val="24"/>
          <w:lang w:val="en-US" w:eastAsia="zh-CN"/>
        </w:rPr>
        <w:t>4</w:t>
      </w:r>
      <w:r>
        <w:rPr>
          <w:rFonts w:hint="eastAsia" w:cs="宋体" w:asciiTheme="minorEastAsia" w:hAnsiTheme="minorEastAsia"/>
          <w:b/>
          <w:sz w:val="24"/>
          <w:szCs w:val="24"/>
        </w:rPr>
        <w:t>年</w:t>
      </w:r>
      <w:r>
        <w:rPr>
          <w:rFonts w:hint="eastAsia" w:cs="宋体" w:asciiTheme="minorEastAsia" w:hAnsiTheme="minorEastAsia"/>
          <w:b/>
          <w:sz w:val="24"/>
          <w:szCs w:val="24"/>
          <w:lang w:val="en-US" w:eastAsia="zh-CN"/>
        </w:rPr>
        <w:t>5</w:t>
      </w:r>
      <w:r>
        <w:rPr>
          <w:rFonts w:hint="eastAsia" w:cs="宋体" w:asciiTheme="minorEastAsia" w:hAnsiTheme="minorEastAsia"/>
          <w:b/>
          <w:sz w:val="24"/>
          <w:szCs w:val="24"/>
        </w:rPr>
        <w:t>月</w:t>
      </w:r>
      <w:r>
        <w:rPr>
          <w:rFonts w:hint="eastAsia" w:cs="宋体" w:asciiTheme="minorEastAsia" w:hAnsiTheme="minorEastAsia"/>
          <w:b/>
          <w:sz w:val="24"/>
          <w:szCs w:val="24"/>
          <w:lang w:val="en-US" w:eastAsia="zh-CN"/>
        </w:rPr>
        <w:t>21</w:t>
      </w:r>
      <w:r>
        <w:rPr>
          <w:rFonts w:hint="eastAsia" w:cs="宋体" w:asciiTheme="minorEastAsia" w:hAnsiTheme="minorEastAsia"/>
          <w:b/>
          <w:sz w:val="24"/>
          <w:szCs w:val="24"/>
        </w:rPr>
        <w:t>日</w:t>
      </w:r>
    </w:p>
    <w:sectPr>
      <w:footerReference r:id="rId3" w:type="default"/>
      <w:pgSz w:w="16838" w:h="11906" w:orient="landscape"/>
      <w:pgMar w:top="907" w:right="1157" w:bottom="907" w:left="1157" w:header="851" w:footer="964"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8957"/>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0EAD"/>
    <w:rsid w:val="00001499"/>
    <w:rsid w:val="00060601"/>
    <w:rsid w:val="00060ED3"/>
    <w:rsid w:val="00070DAB"/>
    <w:rsid w:val="0007503C"/>
    <w:rsid w:val="00120F80"/>
    <w:rsid w:val="00124552"/>
    <w:rsid w:val="00150FED"/>
    <w:rsid w:val="0017078D"/>
    <w:rsid w:val="00172372"/>
    <w:rsid w:val="00191913"/>
    <w:rsid w:val="001920A7"/>
    <w:rsid w:val="00195C05"/>
    <w:rsid w:val="00197940"/>
    <w:rsid w:val="001A2A20"/>
    <w:rsid w:val="001D3DB2"/>
    <w:rsid w:val="001E637E"/>
    <w:rsid w:val="00200ADB"/>
    <w:rsid w:val="00201F33"/>
    <w:rsid w:val="00205997"/>
    <w:rsid w:val="00225837"/>
    <w:rsid w:val="00226E11"/>
    <w:rsid w:val="00231D13"/>
    <w:rsid w:val="00254A7B"/>
    <w:rsid w:val="00255A4A"/>
    <w:rsid w:val="0027286A"/>
    <w:rsid w:val="0027437B"/>
    <w:rsid w:val="002763A0"/>
    <w:rsid w:val="002766CA"/>
    <w:rsid w:val="00276B46"/>
    <w:rsid w:val="002B1B8B"/>
    <w:rsid w:val="002B3F37"/>
    <w:rsid w:val="002D0D78"/>
    <w:rsid w:val="002F599F"/>
    <w:rsid w:val="00301BD8"/>
    <w:rsid w:val="003038D0"/>
    <w:rsid w:val="003100DC"/>
    <w:rsid w:val="00341B51"/>
    <w:rsid w:val="003441A8"/>
    <w:rsid w:val="00354613"/>
    <w:rsid w:val="003565A1"/>
    <w:rsid w:val="00375870"/>
    <w:rsid w:val="00383401"/>
    <w:rsid w:val="00385146"/>
    <w:rsid w:val="00391F94"/>
    <w:rsid w:val="003D1FC8"/>
    <w:rsid w:val="003E3E6D"/>
    <w:rsid w:val="003E4CE9"/>
    <w:rsid w:val="003E748E"/>
    <w:rsid w:val="00416002"/>
    <w:rsid w:val="0042124E"/>
    <w:rsid w:val="00441A4F"/>
    <w:rsid w:val="004654FD"/>
    <w:rsid w:val="00475112"/>
    <w:rsid w:val="00477909"/>
    <w:rsid w:val="0049182A"/>
    <w:rsid w:val="00497752"/>
    <w:rsid w:val="004B56E6"/>
    <w:rsid w:val="004B6831"/>
    <w:rsid w:val="004C10B9"/>
    <w:rsid w:val="004C3F27"/>
    <w:rsid w:val="004D1786"/>
    <w:rsid w:val="004E0D27"/>
    <w:rsid w:val="004E3091"/>
    <w:rsid w:val="004F464C"/>
    <w:rsid w:val="00502DA1"/>
    <w:rsid w:val="0052573C"/>
    <w:rsid w:val="0053768F"/>
    <w:rsid w:val="00541B2A"/>
    <w:rsid w:val="00551EEA"/>
    <w:rsid w:val="00557656"/>
    <w:rsid w:val="0056708F"/>
    <w:rsid w:val="00567EB4"/>
    <w:rsid w:val="0058284E"/>
    <w:rsid w:val="005A0C4E"/>
    <w:rsid w:val="005C0D5E"/>
    <w:rsid w:val="005C3F65"/>
    <w:rsid w:val="005D0F2F"/>
    <w:rsid w:val="005F5D2C"/>
    <w:rsid w:val="00601892"/>
    <w:rsid w:val="00610C72"/>
    <w:rsid w:val="00661697"/>
    <w:rsid w:val="00662C9E"/>
    <w:rsid w:val="00672B28"/>
    <w:rsid w:val="00672C19"/>
    <w:rsid w:val="00673C32"/>
    <w:rsid w:val="0068172F"/>
    <w:rsid w:val="0069758A"/>
    <w:rsid w:val="006A3BC0"/>
    <w:rsid w:val="006B2117"/>
    <w:rsid w:val="006D0097"/>
    <w:rsid w:val="006E6613"/>
    <w:rsid w:val="006F3D02"/>
    <w:rsid w:val="006F53A3"/>
    <w:rsid w:val="006F615D"/>
    <w:rsid w:val="007030EA"/>
    <w:rsid w:val="00704BEB"/>
    <w:rsid w:val="00712DA4"/>
    <w:rsid w:val="0071451C"/>
    <w:rsid w:val="00732684"/>
    <w:rsid w:val="00757499"/>
    <w:rsid w:val="007624B9"/>
    <w:rsid w:val="00765938"/>
    <w:rsid w:val="00775652"/>
    <w:rsid w:val="0078250D"/>
    <w:rsid w:val="00785DA7"/>
    <w:rsid w:val="007B0B22"/>
    <w:rsid w:val="007D2448"/>
    <w:rsid w:val="007F722E"/>
    <w:rsid w:val="00800208"/>
    <w:rsid w:val="00816708"/>
    <w:rsid w:val="00817723"/>
    <w:rsid w:val="00820AE9"/>
    <w:rsid w:val="008301C7"/>
    <w:rsid w:val="0083390B"/>
    <w:rsid w:val="00836BAB"/>
    <w:rsid w:val="008579F5"/>
    <w:rsid w:val="008753D7"/>
    <w:rsid w:val="008810C5"/>
    <w:rsid w:val="0089368C"/>
    <w:rsid w:val="008B1DCB"/>
    <w:rsid w:val="008E70AB"/>
    <w:rsid w:val="009203C1"/>
    <w:rsid w:val="009466AC"/>
    <w:rsid w:val="009554DC"/>
    <w:rsid w:val="009705C2"/>
    <w:rsid w:val="00976815"/>
    <w:rsid w:val="00982F23"/>
    <w:rsid w:val="0098390E"/>
    <w:rsid w:val="009917DF"/>
    <w:rsid w:val="009A4089"/>
    <w:rsid w:val="009A5D77"/>
    <w:rsid w:val="009D3740"/>
    <w:rsid w:val="009E3DA2"/>
    <w:rsid w:val="009E4972"/>
    <w:rsid w:val="009E5001"/>
    <w:rsid w:val="009E5A8C"/>
    <w:rsid w:val="00A046B5"/>
    <w:rsid w:val="00A06EE6"/>
    <w:rsid w:val="00A201C1"/>
    <w:rsid w:val="00A20A7E"/>
    <w:rsid w:val="00A22519"/>
    <w:rsid w:val="00A34467"/>
    <w:rsid w:val="00A54D72"/>
    <w:rsid w:val="00A6417D"/>
    <w:rsid w:val="00A80EAD"/>
    <w:rsid w:val="00A932F0"/>
    <w:rsid w:val="00A963D7"/>
    <w:rsid w:val="00AA03A9"/>
    <w:rsid w:val="00AB275A"/>
    <w:rsid w:val="00AB57B3"/>
    <w:rsid w:val="00AE0486"/>
    <w:rsid w:val="00AF0CA4"/>
    <w:rsid w:val="00AF182A"/>
    <w:rsid w:val="00AF43F6"/>
    <w:rsid w:val="00AF4CB9"/>
    <w:rsid w:val="00B11DF3"/>
    <w:rsid w:val="00B13847"/>
    <w:rsid w:val="00B16AF1"/>
    <w:rsid w:val="00B3129D"/>
    <w:rsid w:val="00B3260C"/>
    <w:rsid w:val="00B56321"/>
    <w:rsid w:val="00BA6E42"/>
    <w:rsid w:val="00BC0823"/>
    <w:rsid w:val="00BC09FF"/>
    <w:rsid w:val="00BC566E"/>
    <w:rsid w:val="00BC632A"/>
    <w:rsid w:val="00BD71C6"/>
    <w:rsid w:val="00BF48F8"/>
    <w:rsid w:val="00BF7212"/>
    <w:rsid w:val="00C42986"/>
    <w:rsid w:val="00C8303E"/>
    <w:rsid w:val="00C92434"/>
    <w:rsid w:val="00C94A69"/>
    <w:rsid w:val="00CA5215"/>
    <w:rsid w:val="00CC77D8"/>
    <w:rsid w:val="00D014A4"/>
    <w:rsid w:val="00D17D10"/>
    <w:rsid w:val="00D20BA3"/>
    <w:rsid w:val="00D257F2"/>
    <w:rsid w:val="00D46EAD"/>
    <w:rsid w:val="00D54DF4"/>
    <w:rsid w:val="00DA2FA5"/>
    <w:rsid w:val="00DB21FB"/>
    <w:rsid w:val="00DB7036"/>
    <w:rsid w:val="00DC1FC3"/>
    <w:rsid w:val="00DF34C8"/>
    <w:rsid w:val="00E0049B"/>
    <w:rsid w:val="00E22A6B"/>
    <w:rsid w:val="00E31673"/>
    <w:rsid w:val="00E34E39"/>
    <w:rsid w:val="00E52163"/>
    <w:rsid w:val="00E5715C"/>
    <w:rsid w:val="00E91AA1"/>
    <w:rsid w:val="00E9449A"/>
    <w:rsid w:val="00EA4AE0"/>
    <w:rsid w:val="00EA6B24"/>
    <w:rsid w:val="00EC2396"/>
    <w:rsid w:val="00EC7B76"/>
    <w:rsid w:val="00ED21FC"/>
    <w:rsid w:val="00EF1656"/>
    <w:rsid w:val="00F4078D"/>
    <w:rsid w:val="00F46B98"/>
    <w:rsid w:val="00F60361"/>
    <w:rsid w:val="00F76CE4"/>
    <w:rsid w:val="00F77E8D"/>
    <w:rsid w:val="00F80796"/>
    <w:rsid w:val="00F963A2"/>
    <w:rsid w:val="00FE3D5B"/>
    <w:rsid w:val="02CE101C"/>
    <w:rsid w:val="0A8330F9"/>
    <w:rsid w:val="0ACC55B5"/>
    <w:rsid w:val="0C801850"/>
    <w:rsid w:val="0CAB0B9C"/>
    <w:rsid w:val="0EA87D69"/>
    <w:rsid w:val="10895019"/>
    <w:rsid w:val="182461AD"/>
    <w:rsid w:val="18AC15B0"/>
    <w:rsid w:val="19B11C6A"/>
    <w:rsid w:val="19E25609"/>
    <w:rsid w:val="19E5210B"/>
    <w:rsid w:val="1AEF0815"/>
    <w:rsid w:val="1F3D4C95"/>
    <w:rsid w:val="1F7F2C51"/>
    <w:rsid w:val="201233BC"/>
    <w:rsid w:val="21BC5F20"/>
    <w:rsid w:val="230A6CD7"/>
    <w:rsid w:val="257C57F9"/>
    <w:rsid w:val="258778FC"/>
    <w:rsid w:val="28802C3C"/>
    <w:rsid w:val="29250EF6"/>
    <w:rsid w:val="2A340AC3"/>
    <w:rsid w:val="2BAE599C"/>
    <w:rsid w:val="2C9B0E95"/>
    <w:rsid w:val="2CA93E94"/>
    <w:rsid w:val="2DA919AE"/>
    <w:rsid w:val="303C3C4B"/>
    <w:rsid w:val="314936FA"/>
    <w:rsid w:val="33830888"/>
    <w:rsid w:val="365A2266"/>
    <w:rsid w:val="37490994"/>
    <w:rsid w:val="37A77C5B"/>
    <w:rsid w:val="38162339"/>
    <w:rsid w:val="3A4B7B4C"/>
    <w:rsid w:val="3A874EC6"/>
    <w:rsid w:val="3AFE6E7E"/>
    <w:rsid w:val="3D551FE2"/>
    <w:rsid w:val="3D557DDE"/>
    <w:rsid w:val="3E8119BA"/>
    <w:rsid w:val="414C52A3"/>
    <w:rsid w:val="43FE23C0"/>
    <w:rsid w:val="44316667"/>
    <w:rsid w:val="467A43AC"/>
    <w:rsid w:val="4A9370D9"/>
    <w:rsid w:val="4F2D3409"/>
    <w:rsid w:val="4F4D1592"/>
    <w:rsid w:val="526A7D30"/>
    <w:rsid w:val="55037D6C"/>
    <w:rsid w:val="5D7177E0"/>
    <w:rsid w:val="5DB0453B"/>
    <w:rsid w:val="61516ADE"/>
    <w:rsid w:val="67B06A26"/>
    <w:rsid w:val="68080015"/>
    <w:rsid w:val="696A7EF5"/>
    <w:rsid w:val="697A3274"/>
    <w:rsid w:val="697E2016"/>
    <w:rsid w:val="6A091465"/>
    <w:rsid w:val="6A787664"/>
    <w:rsid w:val="6B162654"/>
    <w:rsid w:val="6D6332D3"/>
    <w:rsid w:val="6EBD1F9A"/>
    <w:rsid w:val="711E1ECF"/>
    <w:rsid w:val="72A11C9C"/>
    <w:rsid w:val="72BC5D9F"/>
    <w:rsid w:val="739B4181"/>
    <w:rsid w:val="76844D1D"/>
    <w:rsid w:val="777A108D"/>
    <w:rsid w:val="7796136E"/>
    <w:rsid w:val="79A71DB2"/>
    <w:rsid w:val="79F96370"/>
    <w:rsid w:val="7A2D7B92"/>
    <w:rsid w:val="7C41510B"/>
    <w:rsid w:val="7D87065A"/>
    <w:rsid w:val="7DEB0FBB"/>
    <w:rsid w:val="7DFD47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pPr>
      <w:widowControl/>
      <w:overflowPunct w:val="0"/>
      <w:autoSpaceDE w:val="0"/>
      <w:autoSpaceDN w:val="0"/>
      <w:adjustRightInd w:val="0"/>
      <w:jc w:val="left"/>
    </w:pPr>
    <w:rPr>
      <w:rFonts w:ascii="宋体" w:hAnsi="Courier New" w:eastAsia="宋体" w:cs="Times New Roman"/>
      <w:kern w:val="0"/>
      <w:szCs w:val="20"/>
    </w:rPr>
  </w:style>
  <w:style w:type="paragraph" w:styleId="4">
    <w:name w:val="Balloon Text"/>
    <w:basedOn w:val="1"/>
    <w:link w:val="21"/>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themeColor="followedHyperlink"/>
      <w:u w:val="single"/>
    </w:rPr>
  </w:style>
  <w:style w:type="character" w:styleId="12">
    <w:name w:val="Hyperlink"/>
    <w:basedOn w:val="10"/>
    <w:unhideWhenUsed/>
    <w:qFormat/>
    <w:uiPriority w:val="99"/>
    <w:rPr>
      <w:color w:val="0000FF" w:themeColor="hyperlink"/>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纯文本 Char"/>
    <w:qFormat/>
    <w:uiPriority w:val="0"/>
    <w:rPr>
      <w:rFonts w:ascii="宋体" w:hAnsi="Courier New" w:eastAsia="宋体" w:cs="Times New Roman"/>
      <w:kern w:val="0"/>
      <w:szCs w:val="20"/>
    </w:rPr>
  </w:style>
  <w:style w:type="character" w:customStyle="1" w:styleId="16">
    <w:name w:val="纯文本 Char1"/>
    <w:basedOn w:val="10"/>
    <w:link w:val="2"/>
    <w:semiHidden/>
    <w:qFormat/>
    <w:uiPriority w:val="0"/>
    <w:rPr>
      <w:rFonts w:ascii="宋体" w:hAnsi="Courier New" w:eastAsia="宋体" w:cs="Courier New"/>
      <w:szCs w:val="21"/>
    </w:rPr>
  </w:style>
  <w:style w:type="character" w:customStyle="1" w:styleId="17">
    <w:name w:val="标题 1 Char"/>
    <w:basedOn w:val="10"/>
    <w:link w:val="3"/>
    <w:qFormat/>
    <w:uiPriority w:val="9"/>
    <w:rPr>
      <w:b/>
      <w:bCs/>
      <w:kern w:val="44"/>
      <w:sz w:val="44"/>
      <w:szCs w:val="44"/>
    </w:rPr>
  </w:style>
  <w:style w:type="paragraph" w:styleId="18">
    <w:name w:val="List Paragraph"/>
    <w:basedOn w:val="1"/>
    <w:qFormat/>
    <w:uiPriority w:val="34"/>
    <w:pPr>
      <w:ind w:firstLine="420" w:firstLineChars="200"/>
    </w:pPr>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Char"/>
    <w:basedOn w:val="10"/>
    <w:link w:val="19"/>
    <w:qFormat/>
    <w:uiPriority w:val="1"/>
    <w:rPr>
      <w:kern w:val="0"/>
      <w:sz w:val="22"/>
    </w:rPr>
  </w:style>
  <w:style w:type="character" w:customStyle="1" w:styleId="21">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21A96-B9E4-4E46-929D-19AA01EB2F4E}">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Pages>
  <Words>168</Words>
  <Characters>958</Characters>
  <Lines>7</Lines>
  <Paragraphs>2</Paragraphs>
  <TotalTime>28</TotalTime>
  <ScaleCrop>false</ScaleCrop>
  <LinksUpToDate>false</LinksUpToDate>
  <CharactersWithSpaces>1124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2021-05-14T08:43:00Z</dcterms:created>
  <dc:creator>NTKO</dc:creator>
  <cp:lastModifiedBy>cwc</cp:lastModifiedBy>
  <cp:lastPrinted>2019-03-21T05:57:00Z</cp:lastPrinted>
  <dcterms:modified xsi:type="dcterms:W3CDTF">2024-05-21T08:33:38Z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2052-11.8.2.10154</vt:lpwstr>
  </property>
  <property fmtid="{D5CDD505-2E9C-101B-9397-08002B2CF9AE}" pid="4" name="ICV">
    <vt:lpwstr>B638F88F97BB43628A465F526CA548C1</vt:lpwstr>
  </property>
</Properties>
</file>