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p>
    <w:p>
      <w:pPr>
        <w:jc w:val="center"/>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w:t>
      </w:r>
      <w:r>
        <w:rPr>
          <w:rFonts w:hint="eastAsia" w:ascii="宋体" w:hAnsi="宋体" w:eastAsia="宋体" w:cs="宋体"/>
          <w:b/>
          <w:sz w:val="72"/>
          <w:szCs w:val="72"/>
          <w:lang w:val="en-US" w:eastAsia="zh-CN"/>
        </w:rPr>
        <w:t>高压灭菌锅等教学实验仪器采购</w:t>
      </w:r>
      <w:r>
        <w:rPr>
          <w:rFonts w:hint="eastAsia" w:ascii="宋体" w:hAnsi="宋体" w:eastAsia="宋体" w:cs="宋体"/>
          <w:b/>
          <w:sz w:val="72"/>
          <w:szCs w:val="72"/>
        </w:rPr>
        <w:t>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hint="eastAsia" w:ascii="仿宋" w:hAnsi="仿宋" w:eastAsiaTheme="minorEastAsia"/>
          <w:b/>
          <w:sz w:val="72"/>
          <w:szCs w:val="72"/>
          <w:lang w:eastAsia="zh-CN"/>
        </w:rPr>
      </w:pPr>
      <w:r>
        <w:rPr>
          <w:rFonts w:hint="eastAsia" w:ascii="宋体" w:hAnsi="宋体"/>
          <w:b/>
          <w:sz w:val="44"/>
        </w:rPr>
        <w:t>竞价编号：</w:t>
      </w:r>
    </w:p>
    <w:p>
      <w:pPr>
        <w:spacing w:before="156" w:beforeLines="50"/>
        <w:ind w:firstLine="1325" w:firstLineChars="300"/>
        <w:rPr>
          <w:rFonts w:hint="eastAsia" w:ascii="宋体" w:eastAsiaTheme="minorEastAsia"/>
          <w:b/>
          <w:lang w:eastAsia="zh-CN"/>
        </w:rPr>
      </w:pPr>
      <w:r>
        <w:rPr>
          <w:rFonts w:hint="eastAsia" w:ascii="宋体"/>
          <w:b/>
          <w:sz w:val="44"/>
        </w:rPr>
        <w:t>报价单位：</w:t>
      </w:r>
    </w:p>
    <w:p>
      <w:pPr>
        <w:spacing w:before="156" w:beforeLines="50" w:line="360" w:lineRule="auto"/>
        <w:ind w:firstLine="1325" w:firstLineChars="300"/>
        <w:rPr>
          <w:rStyle w:val="12"/>
          <w:rFonts w:hint="eastAsia" w:eastAsiaTheme="minorEastAsia"/>
          <w:lang w:eastAsia="zh-CN"/>
        </w:rPr>
      </w:pPr>
      <w:r>
        <w:rPr>
          <w:rFonts w:hint="eastAsia" w:ascii="宋体" w:hAnsi="宋体"/>
          <w:b/>
          <w:sz w:val="44"/>
        </w:rPr>
        <w:t>联 系 人：</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Style w:val="12"/>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年月日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5"/>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bookmarkStart w:id="3" w:name="_GoBack"/>
      <w:bookmarkEnd w:id="3"/>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w:t>
      </w:r>
      <w:r>
        <w:rPr>
          <w:rFonts w:hint="eastAsia"/>
        </w:rPr>
        <w:t>可联系</w:t>
      </w:r>
      <w:r>
        <w:rPr>
          <w:rFonts w:hint="eastAsia"/>
        </w:rPr>
        <w:t>需求</w:t>
      </w:r>
      <w:r>
        <w:rPr>
          <w:rFonts w:hint="eastAsia"/>
          <w:lang w:val="en-US" w:eastAsia="zh-CN"/>
        </w:rPr>
        <w:t>人</w:t>
      </w:r>
      <w:r>
        <w:rPr>
          <w:rFonts w:hint="eastAsia"/>
        </w:rPr>
        <w:t>电话：王</w:t>
      </w:r>
      <w:r>
        <w:rPr>
          <w:rFonts w:hint="eastAsia"/>
          <w:lang w:val="en-US" w:eastAsia="zh-CN"/>
        </w:rPr>
        <w:t>老师13857217049</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5"/>
        <w:numPr>
          <w:ilvl w:val="0"/>
          <w:numId w:val="2"/>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商品（服务）类型</w:t>
      </w:r>
    </w:p>
    <w:tbl>
      <w:tblPr>
        <w:tblStyle w:val="8"/>
        <w:tblW w:w="94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778"/>
        <w:gridCol w:w="2055"/>
        <w:gridCol w:w="1521"/>
        <w:gridCol w:w="163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978"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778"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05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1521"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63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44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高压灭菌锅</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hint="eastAsia" w:ascii="Times New Roman" w:hAnsi="Times New Roman" w:cs="Times New Roman" w:eastAsiaTheme="minorEastAsia"/>
                <w:kern w:val="0"/>
                <w:szCs w:val="21"/>
                <w:lang w:val="en-US" w:eastAsia="zh-CN"/>
              </w:rPr>
            </w:pPr>
            <w:r>
              <w:rPr>
                <w:rFonts w:hint="eastAsia"/>
                <w:color w:val="000000"/>
              </w:rPr>
              <w:t>2</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（二）</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 xml:space="preserve">组织染色机 </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ascii="Times New Roman" w:hAnsi="Times New Roman" w:eastAsia="宋体" w:cs="Times New Roman"/>
                <w:kern w:val="0"/>
                <w:szCs w:val="21"/>
              </w:rPr>
            </w:pPr>
            <w:r>
              <w:rPr>
                <w:rFonts w:hint="eastAsia"/>
                <w:color w:val="000000"/>
              </w:rPr>
              <w:t>1</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（三）</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酶标仪</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ascii="Times New Roman" w:hAnsi="Times New Roman" w:eastAsia="宋体" w:cs="Times New Roman"/>
                <w:kern w:val="0"/>
                <w:szCs w:val="21"/>
              </w:rPr>
            </w:pPr>
            <w:r>
              <w:rPr>
                <w:rFonts w:hint="eastAsia"/>
                <w:color w:val="000000"/>
              </w:rPr>
              <w:t>1</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（四）</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梯度PCR仪</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ascii="Times New Roman" w:hAnsi="Times New Roman" w:eastAsia="宋体" w:cs="Times New Roman"/>
                <w:kern w:val="0"/>
                <w:szCs w:val="21"/>
              </w:rPr>
            </w:pPr>
            <w:r>
              <w:rPr>
                <w:rFonts w:hint="eastAsia"/>
                <w:color w:val="000000"/>
              </w:rPr>
              <w:t>1</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ascii="Times New Roman" w:hAnsi="Times New Roman" w:eastAsia="宋体" w:cs="Times New Roman"/>
                <w:kern w:val="0"/>
                <w:szCs w:val="21"/>
              </w:rPr>
            </w:pPr>
            <w:r>
              <w:rPr>
                <w:rFonts w:hint="eastAsia" w:ascii="仿宋" w:hAnsi="仿宋" w:eastAsia="仿宋" w:cs="仿宋"/>
                <w:kern w:val="0"/>
                <w:sz w:val="24"/>
                <w:szCs w:val="24"/>
              </w:rPr>
              <w:t>（五）</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蛋白电泳系统</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ascii="Times New Roman" w:hAnsi="Times New Roman" w:eastAsia="宋体" w:cs="Times New Roman"/>
                <w:kern w:val="0"/>
                <w:szCs w:val="21"/>
              </w:rPr>
            </w:pPr>
            <w:r>
              <w:rPr>
                <w:rFonts w:hint="eastAsia"/>
                <w:color w:val="000000"/>
              </w:rPr>
              <w:t>1</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（六）</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半干转印槽</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ascii="Times New Roman" w:hAnsi="Times New Roman" w:eastAsia="宋体" w:cs="Times New Roman"/>
                <w:kern w:val="0"/>
                <w:szCs w:val="21"/>
              </w:rPr>
            </w:pPr>
            <w:r>
              <w:rPr>
                <w:rFonts w:hint="eastAsia"/>
                <w:color w:val="000000"/>
              </w:rPr>
              <w:t>1</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（七）</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蛋白转印槽</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ascii="Times New Roman" w:hAnsi="Times New Roman" w:eastAsia="宋体" w:cs="Times New Roman"/>
                <w:kern w:val="0"/>
                <w:szCs w:val="21"/>
              </w:rPr>
            </w:pPr>
            <w:r>
              <w:rPr>
                <w:rFonts w:hint="eastAsia"/>
                <w:color w:val="000000"/>
              </w:rPr>
              <w:t>1</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（八）</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脱色摇床</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ascii="Times New Roman" w:hAnsi="Times New Roman" w:eastAsia="宋体" w:cs="Times New Roman"/>
                <w:kern w:val="0"/>
                <w:szCs w:val="21"/>
              </w:rPr>
            </w:pPr>
            <w:r>
              <w:rPr>
                <w:rFonts w:hint="eastAsia"/>
                <w:color w:val="000000"/>
              </w:rPr>
              <w:t>1</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（九）</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高速冷冻离心机</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ascii="Times New Roman" w:hAnsi="Times New Roman" w:eastAsia="宋体" w:cs="Times New Roman"/>
                <w:kern w:val="0"/>
                <w:szCs w:val="21"/>
              </w:rPr>
            </w:pPr>
            <w:r>
              <w:rPr>
                <w:rFonts w:hint="eastAsia"/>
                <w:color w:val="000000"/>
              </w:rPr>
              <w:t>1</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8" w:type="dxa"/>
            <w:tcBorders>
              <w:tl2br w:val="nil"/>
              <w:tr2bl w:val="nil"/>
            </w:tcBorders>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（十）</w:t>
            </w:r>
          </w:p>
        </w:tc>
        <w:tc>
          <w:tcPr>
            <w:tcW w:w="1778" w:type="dxa"/>
            <w:tcBorders>
              <w:tl2br w:val="nil"/>
              <w:tr2bl w:val="nil"/>
            </w:tcBorders>
            <w:vAlign w:val="center"/>
          </w:tcPr>
          <w:p>
            <w:pPr>
              <w:jc w:val="left"/>
              <w:rPr>
                <w:rFonts w:hint="eastAsia" w:ascii="仿宋_GB2312" w:hAnsi="仿宋_GB2312" w:eastAsia="仿宋_GB2312" w:cs="仿宋_GB2312"/>
                <w:sz w:val="24"/>
              </w:rPr>
            </w:pPr>
            <w:r>
              <w:rPr>
                <w:rFonts w:hint="eastAsia"/>
                <w:color w:val="000000"/>
              </w:rPr>
              <w:t>核酸电泳仪</w:t>
            </w:r>
          </w:p>
        </w:tc>
        <w:tc>
          <w:tcPr>
            <w:tcW w:w="2055" w:type="dxa"/>
            <w:tcBorders>
              <w:tl2br w:val="nil"/>
              <w:tr2bl w:val="nil"/>
            </w:tcBorders>
            <w:vAlign w:val="center"/>
          </w:tcPr>
          <w:p>
            <w:pPr>
              <w:jc w:val="left"/>
              <w:rPr>
                <w:color w:val="000000"/>
              </w:rPr>
            </w:pPr>
          </w:p>
        </w:tc>
        <w:tc>
          <w:tcPr>
            <w:tcW w:w="1521" w:type="dxa"/>
            <w:tcBorders>
              <w:tl2br w:val="nil"/>
              <w:tr2bl w:val="nil"/>
            </w:tcBorders>
            <w:vAlign w:val="center"/>
          </w:tcPr>
          <w:p>
            <w:pPr>
              <w:jc w:val="center"/>
              <w:rPr>
                <w:rFonts w:ascii="Times New Roman" w:hAnsi="Times New Roman" w:eastAsia="宋体" w:cs="Times New Roman"/>
                <w:kern w:val="0"/>
                <w:szCs w:val="21"/>
              </w:rPr>
            </w:pPr>
            <w:r>
              <w:rPr>
                <w:rFonts w:hint="eastAsia"/>
                <w:color w:val="000000"/>
              </w:rPr>
              <w:t>1</w:t>
            </w:r>
            <w:r>
              <w:rPr>
                <w:rFonts w:hint="eastAsia"/>
                <w:color w:val="000000"/>
                <w:lang w:val="en-US" w:eastAsia="zh-CN"/>
              </w:rPr>
              <w:t>套</w:t>
            </w:r>
          </w:p>
        </w:tc>
        <w:tc>
          <w:tcPr>
            <w:tcW w:w="1630" w:type="dxa"/>
            <w:tcBorders>
              <w:tl2br w:val="nil"/>
              <w:tr2bl w:val="nil"/>
            </w:tcBorders>
            <w:vAlign w:val="center"/>
          </w:tcPr>
          <w:p>
            <w:pPr>
              <w:jc w:val="center"/>
              <w:rPr>
                <w:rFonts w:ascii="Times New Roman" w:hAnsi="Times New Roman" w:eastAsia="宋体" w:cs="Times New Roman"/>
                <w:kern w:val="0"/>
                <w:sz w:val="20"/>
                <w:szCs w:val="21"/>
              </w:rPr>
            </w:pPr>
          </w:p>
        </w:tc>
        <w:tc>
          <w:tcPr>
            <w:tcW w:w="1440"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402" w:type="dxa"/>
            <w:gridSpan w:val="6"/>
            <w:tcBorders>
              <w:tl2br w:val="nil"/>
              <w:tr2bl w:val="nil"/>
            </w:tcBorders>
            <w:vAlign w:val="center"/>
          </w:tcPr>
          <w:p>
            <w:pPr>
              <w:jc w:val="left"/>
              <w:rPr>
                <w:rFonts w:ascii="Times New Roman" w:hAnsi="Times New Roman" w:eastAsia="宋体" w:cs="Times New Roman"/>
                <w:kern w:val="0"/>
                <w:sz w:val="20"/>
                <w:szCs w:val="21"/>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15"/>
        <w:numPr>
          <w:ilvl w:val="0"/>
          <w:numId w:val="2"/>
        </w:numPr>
        <w:spacing w:before="156" w:beforeLines="50"/>
        <w:ind w:left="0" w:firstLine="0" w:firstLineChars="0"/>
        <w:rPr>
          <w:rFonts w:hint="eastAsia" w:ascii="仿宋" w:hAnsi="仿宋" w:eastAsia="仿宋"/>
          <w:b/>
          <w:sz w:val="28"/>
          <w:szCs w:val="28"/>
        </w:rPr>
      </w:pPr>
      <w:r>
        <w:rPr>
          <w:rFonts w:hint="eastAsia" w:ascii="仿宋" w:hAnsi="仿宋" w:eastAsia="仿宋"/>
          <w:b/>
          <w:sz w:val="28"/>
          <w:szCs w:val="28"/>
        </w:rPr>
        <w:t>技术参数要求</w:t>
      </w:r>
    </w:p>
    <w:tbl>
      <w:tblPr>
        <w:tblStyle w:val="9"/>
        <w:tblW w:w="9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55"/>
        <w:gridCol w:w="6150"/>
        <w:gridCol w:w="11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827"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25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615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商品组成及技术参数</w:t>
            </w:r>
          </w:p>
        </w:tc>
        <w:tc>
          <w:tcPr>
            <w:tcW w:w="118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 w:type="dxa"/>
            <w:vMerge w:val="restart"/>
            <w:tcBorders>
              <w:tl2br w:val="nil"/>
              <w:tr2bl w:val="nil"/>
            </w:tcBorders>
            <w:vAlign w:val="center"/>
          </w:tcPr>
          <w:p>
            <w:pPr>
              <w:jc w:val="center"/>
              <w:rPr>
                <w:rFonts w:hint="eastAsia" w:ascii="仿宋" w:hAnsi="仿宋" w:eastAsia="仿宋" w:cs="仿宋"/>
                <w:kern w:val="0"/>
                <w:sz w:val="24"/>
                <w:szCs w:val="24"/>
              </w:rPr>
            </w:pPr>
            <w:bookmarkStart w:id="0" w:name="OLE_LINK2"/>
            <w:r>
              <w:rPr>
                <w:rFonts w:hint="eastAsia" w:ascii="仿宋" w:hAnsi="仿宋" w:eastAsia="仿宋" w:cs="仿宋"/>
                <w:kern w:val="0"/>
                <w:sz w:val="24"/>
                <w:szCs w:val="24"/>
              </w:rPr>
              <w:t>（一）</w:t>
            </w:r>
            <w:bookmarkEnd w:id="0"/>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高压灭菌锅</w:t>
            </w: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1.商品组成：高压灭菌锅</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容积：＞74L</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温度分辨力：≤1℃；</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压力表显示范围：0~0.4MPa（1.6级）</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极限工作/设计温度：135℃/138℃</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极限工作/设计压力：0.22MPa/0.25MPa（10mm、30mm、50mm）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定时范围（分钟）：4-120</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内腔尺寸(mm)：Ф400×720</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使用高度(mm)：578</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提篮尺寸(mm)：≥Ф360×270×2个</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restart"/>
            <w:tcBorders>
              <w:tl2br w:val="nil"/>
              <w:tr2bl w:val="nil"/>
            </w:tcBorders>
            <w:vAlign w:val="center"/>
          </w:tcPr>
          <w:p>
            <w:pPr>
              <w:jc w:val="center"/>
              <w:rPr>
                <w:rFonts w:hint="eastAsia" w:ascii="仿宋" w:hAnsi="仿宋" w:eastAsia="仿宋" w:cs="仿宋"/>
                <w:kern w:val="0"/>
                <w:sz w:val="24"/>
                <w:szCs w:val="24"/>
              </w:rPr>
            </w:pPr>
            <w:bookmarkStart w:id="1" w:name="OLE_LINK3"/>
            <w:r>
              <w:rPr>
                <w:rFonts w:hint="eastAsia" w:ascii="仿宋" w:hAnsi="仿宋" w:eastAsia="仿宋" w:cs="仿宋"/>
                <w:kern w:val="0"/>
                <w:sz w:val="24"/>
                <w:szCs w:val="24"/>
              </w:rPr>
              <w:t>（二）</w:t>
            </w:r>
            <w:bookmarkEnd w:id="1"/>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组织染色机</w:t>
            </w: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kern w:val="0"/>
                <w:sz w:val="24"/>
                <w:szCs w:val="24"/>
              </w:rPr>
              <w:t>1.商品组成：组织染色机</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kern w:val="0"/>
                <w:sz w:val="24"/>
                <w:szCs w:val="24"/>
              </w:rPr>
              <w:t>2.技术参数</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全中文彩色触摸屏，以高透光清晰度和灵敏的操作，便捷、高效</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染色试剂缸均采用压力封闭式装置，染色过程中采用单缸揭盖运行方式，克服了试剂挥发对环境的污染，16套程序可供编辑（可进行非顺序性编辑，染色步骤与时间可任意编写）</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采用国际标准的同步齿形带动传动，噪音低，耐高温，耐腐蚀，传动精确度高，配合光电定位传感器，使定位更准确，使用寿命长</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自动控制冲洗水位，当染色吊篮进入冲洗缸前冲洗缸自动注水，吊篮离开水洗缸时自动停止注水，并排干缸内积水，有效节能</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可设置自动烘干温度，烘干缸四周温度均匀，并设有水气溢口</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滴液停留时间可调，可根据标本量与环境温度等调整滴液时间，以保证试剂纯度</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专业防酸、抗腐蚀试剂缸</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具有自动检测与自动复位功能，具有卡缸保护功能</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运行步数24步，（可重复运行同一缸位）</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处理缸数量：≥14只（12只液缸；第1缸为清洗缸；最后1缸为烘片缸）</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每缸处理时间：0~99分99秒任意设定</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单缸容量：不小于1000ml，每次装载量：62片</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抖动次数：1次/15秒，抖缸时间可任意调节</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搅拌次数：1次/15秒，可任意调节</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滴液停留时间为：0-300秒，可任意调节</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烘干温度，0-85℃，可任意设置</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restart"/>
            <w:tcBorders>
              <w:tl2br w:val="nil"/>
              <w:tr2bl w:val="nil"/>
            </w:tcBorders>
            <w:vAlign w:val="center"/>
          </w:tcPr>
          <w:p>
            <w:pPr>
              <w:jc w:val="center"/>
              <w:rPr>
                <w:rFonts w:hint="eastAsia" w:ascii="仿宋" w:hAnsi="仿宋" w:eastAsia="仿宋" w:cs="仿宋"/>
                <w:kern w:val="0"/>
                <w:sz w:val="24"/>
                <w:szCs w:val="24"/>
              </w:rPr>
            </w:pPr>
            <w:bookmarkStart w:id="2" w:name="OLE_LINK4"/>
            <w:r>
              <w:rPr>
                <w:rFonts w:hint="eastAsia" w:ascii="仿宋" w:hAnsi="仿宋" w:eastAsia="仿宋" w:cs="仿宋"/>
                <w:kern w:val="0"/>
                <w:sz w:val="24"/>
                <w:szCs w:val="24"/>
              </w:rPr>
              <w:t>（三）</w:t>
            </w:r>
            <w:bookmarkEnd w:id="2"/>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酶标仪</w:t>
            </w: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kern w:val="0"/>
                <w:sz w:val="24"/>
                <w:szCs w:val="24"/>
              </w:rPr>
              <w:t>1.商品组成： 酶标仪</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显示：≥10英寸高分辨电容触摸屏</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光源：氙闪灯/闪烁次数&gt;109</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波长范围：200 - 1000 nm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波长准确性：≤2nm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波长重复性：0.2nm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光学系统：光栅单色器，1nm步进</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读数范围：0-4.0 OD</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带宽：&lt;2.5nm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检测系统：2个硅光电检测管，一个测量，一个参比</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线性@450nm：R2 ≥ 0.999 , [0.0 - 3.0]</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准确性@450nm：± (1.0% + 0.003A) , (0 - 2.0];± 2.0% , (2.0 - 2.5]</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重复性@450nm：CV &lt; 0.5%  精度模式；CV &lt; 1.0%  快速模式</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测量速度：96孔板：快速模式&lt;8秒， 精确模式&lt;28秒（终点法）</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振荡：线性振荡，3种速度可调，动力学过程中可执行背景振荡模式</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温度范围及均匀性：室温+4℃ 至 45℃；±0.5℃在37℃下，孔间差（有盖96孔板）</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用户界面：内置软件，独立使用</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分析软件：ReaderIt-II软件</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FTP文件传输：相同局域网下，实时将仪器数据传至电脑</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操作显示：触屏输入，安卓系统，≥10寸液晶显示全板信息，可外接键盘鼠标</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内存：≥16G存储，可存储大于10000条数据文件</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可视化布板，酶标板状态布局便捷，可直接设置未知、标品等</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用户管理系统;仪器内置可设置不同权限用户，账号安全保护</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配合超微量检测板可快速完成1-16个微量核酸、蛋白样品的定量，样品无需稀释</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restart"/>
            <w:tcBorders>
              <w:tl2br w:val="nil"/>
              <w:tr2bl w:val="nil"/>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（四）</w:t>
            </w:r>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梯度PCR仪</w:t>
            </w: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kern w:val="0"/>
                <w:sz w:val="24"/>
                <w:szCs w:val="24"/>
              </w:rPr>
              <w:t>1.商品组成：梯度PCR仪</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6块高性能长效帕尔贴实现温度高精度温度控制</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边缘温度补偿技术，</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"mailto:温度均一性（@55℃）%3c0.3℃" </w:instrText>
            </w:r>
            <w:r>
              <w:rPr>
                <w:rFonts w:hint="eastAsia" w:ascii="仿宋" w:hAnsi="仿宋" w:eastAsia="仿宋" w:cs="仿宋"/>
                <w:sz w:val="24"/>
                <w:szCs w:val="24"/>
              </w:rPr>
              <w:fldChar w:fldCharType="separate"/>
            </w:r>
            <w:r>
              <w:rPr>
                <w:rFonts w:hint="eastAsia" w:ascii="仿宋" w:hAnsi="仿宋" w:eastAsia="仿宋" w:cs="仿宋"/>
                <w:sz w:val="24"/>
                <w:szCs w:val="24"/>
              </w:rPr>
              <w:t>温度均一性（@55℃）&lt;0.3℃</w:t>
            </w:r>
            <w:r>
              <w:rPr>
                <w:rFonts w:hint="eastAsia" w:ascii="仿宋" w:hAnsi="仿宋" w:eastAsia="仿宋" w:cs="仿宋"/>
                <w:sz w:val="24"/>
                <w:szCs w:val="24"/>
              </w:rPr>
              <w:fldChar w:fldCharType="end"/>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加热温度控制范围4-105℃</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最大变温速率 5℃/sec</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温度梯度设定范围30-99℃</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≥7英寸800480彩色触屏，参数双击设置，操作灵活</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超宽42℃的梯度跨度，可设定不同的退火温度</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可适配样品规格 0.2ml反应管× 96个，0.2ml-8联管 × 12个，96孔板</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热盖温度 [℃]：30-110，当模块设定温度&lt;30度后，热盖自动关闭</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显示精度[℃]：±0.1</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温度准确性[℃@55℃]：±0.3</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梯度范围[℃]：30-99</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梯度跨度[℃]：1-42</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restart"/>
            <w:tcBorders>
              <w:tl2br w:val="nil"/>
              <w:tr2bl w:val="nil"/>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（五）</w:t>
            </w:r>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蛋白电泳系统</w:t>
            </w: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1.商品组成：蛋白电泳系统</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2.技术参数</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凝胶数：1到4</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凝胶大小(W x L) 手灌胶：8.3 x 7.3 cm; 预制胶： 8.6 x 6.8 cm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封边垫条永久地固定在长玻板上，保证玻板精确对齐，可以彻底防止漏胶</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具有专利的上样模具，防止上样时遗漏和上样量过</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模块化设计</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restart"/>
            <w:tcBorders>
              <w:tl2br w:val="nil"/>
              <w:tr2bl w:val="nil"/>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（六）</w:t>
            </w:r>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半干转印槽</w:t>
            </w: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kern w:val="0"/>
                <w:sz w:val="24"/>
                <w:szCs w:val="24"/>
              </w:rPr>
              <w:t>1.商品组成：半干转印槽</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无需缓冲液</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绝缘垫片，避免短路</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半干式，电泳快速，节约时间</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碳板电极，经久耐用</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操作简单，方便清洗</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转印碳板规格：150 × 150mm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restart"/>
            <w:tcBorders>
              <w:tl2br w:val="nil"/>
              <w:tr2bl w:val="nil"/>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（七）</w:t>
            </w:r>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蛋白转印槽</w:t>
            </w: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kern w:val="0"/>
                <w:sz w:val="24"/>
                <w:szCs w:val="24"/>
              </w:rPr>
              <w:t>1.商品组成：蛋白转印槽</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无需要专用高电流电泳仪，常规电泳仪即可满足</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产热少，不需要额外冷却</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开盖时自动切断电泳电场，确保操作安全</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适用于电泳后的印迹转移</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转移面积（W×L）：140×140（mm）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restart"/>
            <w:tcBorders>
              <w:tl2br w:val="nil"/>
              <w:tr2bl w:val="nil"/>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（八）</w:t>
            </w:r>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脱色摇床</w:t>
            </w: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kern w:val="0"/>
                <w:sz w:val="24"/>
                <w:szCs w:val="24"/>
              </w:rPr>
              <w:t>1.商品组成：脱色摇床</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color w:val="000000"/>
                <w:kern w:val="0"/>
                <w:sz w:val="24"/>
                <w:szCs w:val="24"/>
                <w:shd w:val="clear" w:color="auto" w:fill="FCFCFC"/>
                <w:lang w:bidi="ar"/>
              </w:rPr>
              <w:t>频率：30～240转/分</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color w:val="000000"/>
                <w:kern w:val="0"/>
                <w:sz w:val="24"/>
                <w:szCs w:val="24"/>
                <w:shd w:val="clear" w:color="auto" w:fill="FCFCFC"/>
                <w:lang w:bidi="ar"/>
              </w:rPr>
              <w:t>旋幅：回转半径15mm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color w:val="000000"/>
                <w:kern w:val="0"/>
                <w:sz w:val="24"/>
                <w:szCs w:val="24"/>
                <w:shd w:val="clear" w:color="auto" w:fill="FCFCFC"/>
                <w:lang w:bidi="ar"/>
              </w:rPr>
              <w:t>速度：无极调速、数字显示</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restart"/>
            <w:tcBorders>
              <w:tl2br w:val="nil"/>
              <w:tr2bl w:val="nil"/>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（九）</w:t>
            </w:r>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高速冷冻离心机</w:t>
            </w: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kern w:val="0"/>
                <w:sz w:val="24"/>
                <w:szCs w:val="24"/>
              </w:rPr>
              <w:t>1.商品组成：高速冷冻离心机</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微机控制、大力矩直流无刷变频电机直接驱动、无碳粉污染、延长使用寿命</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拥有≥10款转子供用户选用，大屏幕液晶显示、进口高效能环保制冷系统</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用户可任意设定离心转速、离心时间、升降速曲线</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9种升降速曲线、10种减速曲线、三级阻尼减震、离心效果达到最佳</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设有超速、超温、门盖自锁、不锈钢内套、三级保护套等多种保护确保人身、机器安全</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可编程操作，存储多个常规程序</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最高转速：≥16000r/min</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最大相对离心力≥21532×g</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最大容量：≥4×100ml</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转速精度：±30/min</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温度设置范围：-20℃～+40℃</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温控精度：≤±1℃</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转子：12×10ml, 6×50ml(尖底)</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restart"/>
            <w:tcBorders>
              <w:tl2br w:val="nil"/>
              <w:tr2bl w:val="nil"/>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（十）</w:t>
            </w:r>
          </w:p>
        </w:tc>
        <w:tc>
          <w:tcPr>
            <w:tcW w:w="1255"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核酸电泳仪</w:t>
            </w:r>
          </w:p>
        </w:tc>
        <w:tc>
          <w:tcPr>
            <w:tcW w:w="6150"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kern w:val="0"/>
                <w:sz w:val="24"/>
                <w:szCs w:val="24"/>
              </w:rPr>
              <w:t>1.商品组成：基础电源、水平电泳</w:t>
            </w:r>
            <w:r>
              <w:rPr>
                <w:rFonts w:hint="eastAsia" w:ascii="仿宋" w:hAnsi="仿宋" w:eastAsia="仿宋" w:cs="仿宋"/>
                <w:color w:val="000000"/>
                <w:kern w:val="0"/>
                <w:sz w:val="24"/>
                <w:szCs w:val="24"/>
                <w:shd w:val="clear" w:color="auto" w:fill="FCFCFC"/>
                <w:lang w:bidi="ar"/>
              </w:rPr>
              <w:t xml:space="preserve"> </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输出电压：10~300 V；电流：4~400mA；功率：≥70W</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可恒流、恒压，小巧，可叠放</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应用于浸没式水平电泳或小型垂直凝胶电泳等</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有断电后自动恢复功能</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输出插孔4对并联，可同时对四个同类型的电泳槽进行电泳</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凝胶盘大小（W×L）：7×7cm或7×10cm</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样品通量：10-60</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溴酚蓝染料迁移速率：4.5cm/hr（at 75V）</w:t>
            </w:r>
          </w:p>
        </w:tc>
        <w:tc>
          <w:tcPr>
            <w:tcW w:w="1185"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27"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55" w:type="dxa"/>
            <w:vMerge w:val="continue"/>
            <w:tcBorders>
              <w:tl2br w:val="nil"/>
              <w:tr2bl w:val="nil"/>
            </w:tcBorders>
            <w:vAlign w:val="center"/>
          </w:tcPr>
          <w:p>
            <w:pPr>
              <w:rPr>
                <w:rFonts w:hint="eastAsia" w:ascii="仿宋" w:hAnsi="仿宋" w:eastAsia="仿宋" w:cs="仿宋"/>
                <w:kern w:val="0"/>
                <w:sz w:val="24"/>
                <w:szCs w:val="24"/>
              </w:rPr>
            </w:pPr>
          </w:p>
        </w:tc>
        <w:tc>
          <w:tcPr>
            <w:tcW w:w="6150"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基座缓冲液容量：≥ 650ml</w:t>
            </w:r>
          </w:p>
        </w:tc>
        <w:tc>
          <w:tcPr>
            <w:tcW w:w="1185" w:type="dxa"/>
            <w:tcBorders>
              <w:tl2br w:val="nil"/>
              <w:tr2bl w:val="nil"/>
            </w:tcBorders>
            <w:vAlign w:val="center"/>
          </w:tcPr>
          <w:p>
            <w:pPr>
              <w:rPr>
                <w:rFonts w:hint="eastAsia" w:ascii="仿宋" w:hAnsi="仿宋" w:eastAsia="仿宋" w:cs="仿宋"/>
                <w:kern w:val="0"/>
                <w:sz w:val="24"/>
                <w:szCs w:val="24"/>
              </w:rPr>
            </w:pPr>
          </w:p>
        </w:tc>
      </w:tr>
    </w:tbl>
    <w:p>
      <w:pPr>
        <w:pStyle w:val="15"/>
        <w:numPr>
          <w:ilvl w:val="0"/>
          <w:numId w:val="2"/>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本采购项目属交钥匙工程项目，供应商报价含设备、运输（含装卸和吊装）、安装、调试培训等全部费用，采购方不再额外支付其他费用。</w:t>
      </w:r>
    </w:p>
    <w:p>
      <w:pPr>
        <w:numPr>
          <w:ilvl w:val="0"/>
          <w:numId w:val="3"/>
        </w:numPr>
        <w:spacing w:line="360" w:lineRule="auto"/>
        <w:ind w:firstLine="482" w:firstLineChars="200"/>
        <w:rPr>
          <w:color w:val="auto"/>
        </w:rPr>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自合同签订生效，设备（或软件或服务）安装调试完毕并经甲方验收合格</w:t>
      </w:r>
      <w:r>
        <w:rPr>
          <w:rFonts w:hint="eastAsia"/>
          <w:color w:val="auto"/>
        </w:rPr>
        <w:t>之日起免费质保</w:t>
      </w:r>
      <w:r>
        <w:rPr>
          <w:rFonts w:hint="eastAsia"/>
          <w:color w:val="auto"/>
          <w:u w:val="single"/>
        </w:rPr>
        <w:t xml:space="preserve"> 1 </w:t>
      </w:r>
      <w:r>
        <w:rPr>
          <w:rFonts w:hint="eastAsia"/>
          <w:color w:val="auto"/>
        </w:rPr>
        <w:t>年，质保期内上门对损坏的设备（或软件）进行安装、升级、更换、调试，包括配件费、材料费、软件升级费、人工费等全部免费。质保期内被免费更换的零部件质量保证期再延续</w:t>
      </w:r>
      <w:r>
        <w:rPr>
          <w:rFonts w:hint="eastAsia"/>
          <w:color w:val="auto"/>
          <w:u w:val="single"/>
        </w:rPr>
        <w:t xml:space="preserve"> 1</w:t>
      </w:r>
      <w:r>
        <w:rPr>
          <w:rFonts w:hint="eastAsia"/>
          <w:color w:val="auto"/>
        </w:rPr>
        <w:t>年。服务响应时间2小时以内，维修人员需在接到维修电话后24小时内到达仪器现场，一般问题应在48小时内解决。重大问题或其它无法迅速解决的问题应在7天内解决或提出明确解决方案，并提供不间断的服务直到商品正常运行。</w:t>
      </w:r>
    </w:p>
    <w:p>
      <w:pPr>
        <w:pStyle w:val="15"/>
        <w:numPr>
          <w:ilvl w:val="0"/>
          <w:numId w:val="2"/>
        </w:numPr>
        <w:spacing w:before="156" w:beforeLines="50"/>
        <w:ind w:left="601" w:hanging="601" w:firstLineChars="0"/>
        <w:rPr>
          <w:rFonts w:hint="eastAsia" w:ascii="仿宋" w:hAnsi="仿宋" w:eastAsia="仿宋"/>
          <w:b/>
          <w:color w:val="auto"/>
          <w:sz w:val="28"/>
          <w:szCs w:val="28"/>
        </w:rPr>
      </w:pPr>
      <w:r>
        <w:rPr>
          <w:rFonts w:hint="eastAsia" w:ascii="仿宋" w:hAnsi="仿宋" w:eastAsia="仿宋"/>
          <w:b/>
          <w:color w:val="auto"/>
          <w:sz w:val="28"/>
          <w:szCs w:val="28"/>
        </w:rPr>
        <w:t>安装及交付时间</w:t>
      </w:r>
    </w:p>
    <w:p>
      <w:pPr>
        <w:ind w:firstLine="420" w:firstLineChars="200"/>
        <w:rPr>
          <w:color w:val="auto"/>
        </w:rPr>
      </w:pPr>
      <w:r>
        <w:rPr>
          <w:rFonts w:hint="eastAsia"/>
          <w:color w:val="auto"/>
        </w:rPr>
        <w:t>交付和安装时间为合同签订</w:t>
      </w:r>
      <w:r>
        <w:rPr>
          <w:rFonts w:hint="eastAsia"/>
          <w:color w:val="auto"/>
          <w:u w:val="single"/>
        </w:rPr>
        <w:t xml:space="preserve"> </w:t>
      </w:r>
      <w:r>
        <w:rPr>
          <w:rFonts w:hint="eastAsia"/>
          <w:color w:val="auto"/>
          <w:u w:val="single"/>
          <w:lang w:val="en-US" w:eastAsia="zh-CN"/>
        </w:rPr>
        <w:t>10</w:t>
      </w:r>
      <w:r>
        <w:rPr>
          <w:rFonts w:hint="eastAsia"/>
          <w:color w:val="auto"/>
          <w:u w:val="single"/>
        </w:rPr>
        <w:t xml:space="preserve">  </w:t>
      </w:r>
      <w:r>
        <w:rPr>
          <w:rFonts w:hint="eastAsia"/>
          <w:color w:val="auto"/>
        </w:rPr>
        <w:t>日之内。</w:t>
      </w:r>
    </w:p>
    <w:p>
      <w:pPr>
        <w:pStyle w:val="15"/>
        <w:numPr>
          <w:ilvl w:val="0"/>
          <w:numId w:val="2"/>
        </w:numPr>
        <w:spacing w:before="156" w:beforeLines="50"/>
        <w:ind w:left="601" w:hanging="601" w:firstLineChars="0"/>
        <w:rPr>
          <w:rFonts w:hint="eastAsia" w:ascii="仿宋" w:hAnsi="仿宋" w:eastAsia="仿宋"/>
          <w:b/>
          <w:color w:val="auto"/>
          <w:sz w:val="28"/>
          <w:szCs w:val="28"/>
        </w:rPr>
      </w:pPr>
      <w:r>
        <w:rPr>
          <w:rFonts w:hint="eastAsia" w:ascii="仿宋" w:hAnsi="仿宋" w:eastAsia="仿宋"/>
          <w:b/>
          <w:color w:val="auto"/>
          <w:sz w:val="28"/>
          <w:szCs w:val="28"/>
        </w:rPr>
        <w:t>付款方式和要求</w:t>
      </w:r>
    </w:p>
    <w:p>
      <w:pPr>
        <w:spacing w:line="360" w:lineRule="auto"/>
        <w:ind w:firstLine="420" w:firstLineChars="200"/>
        <w:rPr>
          <w:color w:val="FF0000"/>
        </w:rPr>
      </w:pPr>
      <w:r>
        <w:rPr>
          <w:rFonts w:hint="eastAsia"/>
        </w:rPr>
        <w:t>在项目验收合格后一次性全额支付货款。</w:t>
      </w:r>
    </w:p>
    <w:p>
      <w:pPr>
        <w:pStyle w:val="15"/>
        <w:numPr>
          <w:ilvl w:val="0"/>
          <w:numId w:val="2"/>
        </w:numPr>
        <w:spacing w:before="156" w:beforeLines="50" w:line="360" w:lineRule="auto"/>
        <w:ind w:left="601" w:hanging="601" w:firstLineChars="0"/>
        <w:rPr>
          <w:rFonts w:hint="eastAsia" w:ascii="仿宋" w:hAnsi="仿宋" w:eastAsia="仿宋"/>
          <w:b/>
          <w:sz w:val="28"/>
          <w:szCs w:val="28"/>
        </w:rPr>
      </w:pPr>
      <w:r>
        <w:rPr>
          <w:rFonts w:hint="eastAsia" w:ascii="仿宋" w:hAnsi="仿宋" w:eastAsia="仿宋"/>
          <w:b/>
          <w:sz w:val="28"/>
          <w:szCs w:val="28"/>
        </w:rPr>
        <w:t>其他事项</w:t>
      </w:r>
    </w:p>
    <w:p>
      <w:r>
        <w:rPr>
          <w:rFonts w:hint="eastAsia"/>
        </w:rPr>
        <w:t>（此处仅填写报价人额外提供需方的服务承诺，与本采购文件询价要求相左条款的其他说明视作无效说明。若无其他服务承诺的请填写“无”）</w:t>
      </w:r>
    </w:p>
    <w:p>
      <w:pPr>
        <w:pStyle w:val="3"/>
        <w:rPr>
          <w:u w:val="single"/>
        </w:rPr>
      </w:pPr>
      <w:r>
        <w:rPr>
          <w:rFonts w:hint="eastAsia"/>
        </w:rPr>
        <w:t xml:space="preserve">    </w:t>
      </w:r>
      <w:r>
        <w:rPr>
          <w:rFonts w:hint="eastAsia"/>
          <w:u w:val="single"/>
        </w:rPr>
        <w:t xml:space="preserve">                                                                                </w:t>
      </w:r>
    </w:p>
    <w:p>
      <w:pPr>
        <w:pStyle w:val="3"/>
        <w:rPr>
          <w:u w:val="single"/>
        </w:rPr>
      </w:pPr>
      <w:r>
        <w:rPr>
          <w:rFonts w:hint="eastAsia"/>
        </w:rPr>
        <w:t xml:space="preserve">    </w:t>
      </w:r>
      <w:r>
        <w:rPr>
          <w:rFonts w:hint="eastAsia"/>
          <w:u w:val="single"/>
        </w:rPr>
        <w:t xml:space="preserve">                                                                                 </w:t>
      </w:r>
    </w:p>
    <w:p>
      <w:pPr>
        <w:pStyle w:val="15"/>
        <w:numPr>
          <w:ilvl w:val="0"/>
          <w:numId w:val="2"/>
        </w:numPr>
        <w:spacing w:before="156" w:beforeLines="50" w:line="360" w:lineRule="auto"/>
        <w:ind w:left="601" w:hanging="601" w:firstLineChars="0"/>
      </w:pPr>
      <w:r>
        <w:rPr>
          <w:rFonts w:hint="eastAsia"/>
          <w:b/>
          <w:bCs/>
          <w:sz w:val="28"/>
          <w:szCs w:val="28"/>
        </w:rPr>
        <w:t>七、附件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rFonts w:hint="eastAsia" w:eastAsiaTheme="minorEastAsia"/>
          <w:color w:val="FF0000"/>
          <w:u w:val="single"/>
          <w:lang w:eastAsia="zh-CN"/>
        </w:rPr>
      </w:pPr>
      <w:r>
        <w:rPr>
          <w:rFonts w:hint="eastAsia"/>
        </w:rPr>
        <w:t>4．</w:t>
      </w:r>
      <w:r>
        <w:rPr>
          <w:rFonts w:hint="eastAsia"/>
          <w:color w:val="auto"/>
          <w:u w:val="single"/>
          <w:lang w:val="en-US" w:eastAsia="zh-CN"/>
        </w:rPr>
        <w:t>报价产品的支撑彩页截图（相关材料加盖报价企业公章）。</w:t>
      </w:r>
      <w:r>
        <w:rPr>
          <w:rFonts w:hint="eastAsia"/>
          <w:color w:val="FF0000"/>
          <w:u w:val="single"/>
        </w:rPr>
        <w:t>彩页需</w:t>
      </w:r>
      <w:r>
        <w:rPr>
          <w:rFonts w:hint="eastAsia"/>
          <w:color w:val="FF0000"/>
          <w:u w:val="single"/>
          <w:lang w:val="en-US" w:eastAsia="zh-CN"/>
        </w:rPr>
        <w:t>含货物实照、官网（或官方宣传册）的对应参数截图等</w:t>
      </w:r>
      <w:r>
        <w:rPr>
          <w:rFonts w:hint="eastAsia"/>
          <w:color w:val="FF0000"/>
          <w:u w:val="single"/>
          <w:lang w:eastAsia="zh-CN"/>
        </w:rPr>
        <w:t>，</w:t>
      </w:r>
      <w:r>
        <w:rPr>
          <w:rFonts w:hint="eastAsia"/>
          <w:color w:val="FF0000"/>
          <w:u w:val="single"/>
          <w:lang w:val="en-US" w:eastAsia="zh-CN"/>
        </w:rPr>
        <w:t>参数截图需含有本文件的各响应</w:t>
      </w:r>
      <w:r>
        <w:rPr>
          <w:rFonts w:hint="eastAsia"/>
          <w:color w:val="FF0000"/>
          <w:u w:val="single"/>
        </w:rPr>
        <w:t>技术</w:t>
      </w:r>
      <w:r>
        <w:rPr>
          <w:rFonts w:hint="eastAsia"/>
          <w:color w:val="FF0000"/>
          <w:u w:val="single"/>
          <w:lang w:val="en-US" w:eastAsia="zh-CN"/>
        </w:rPr>
        <w:t>参数并保持一致</w:t>
      </w:r>
      <w:r>
        <w:rPr>
          <w:rFonts w:hint="eastAsia"/>
          <w:color w:val="FF0000"/>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报价</w:t>
      </w:r>
      <w:r>
        <w:rPr>
          <w:rFonts w:hint="eastAsia" w:asciiTheme="minorEastAsia" w:hAnsiTheme="minorEastAsia"/>
          <w:sz w:val="24"/>
          <w:szCs w:val="24"/>
          <w:lang w:val="en-US" w:eastAsia="zh-CN"/>
        </w:rPr>
        <w:t>单位</w:t>
      </w:r>
      <w:r>
        <w:rPr>
          <w:rFonts w:hint="eastAsia" w:asciiTheme="minorEastAsia" w:hAnsiTheme="minorEastAsia"/>
          <w:sz w:val="24"/>
          <w:szCs w:val="24"/>
        </w:rPr>
        <w:t xml:space="preserve">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pPr>
        <w:jc w:val="left"/>
      </w:pPr>
    </w:p>
    <w:sectPr>
      <w:pgSz w:w="11906" w:h="16838"/>
      <w:pgMar w:top="1327" w:right="1304" w:bottom="1327" w:left="130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5F906952">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6DF11649">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F116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s>
  <w:rsids>
    <w:rsidRoot w:val="004A7310"/>
    <w:rsid w:val="00003A4E"/>
    <w:rsid w:val="00007C6A"/>
    <w:rsid w:val="000224B3"/>
    <w:rsid w:val="000258FA"/>
    <w:rsid w:val="00094AB1"/>
    <w:rsid w:val="000A3914"/>
    <w:rsid w:val="000C3974"/>
    <w:rsid w:val="001209E4"/>
    <w:rsid w:val="0014227D"/>
    <w:rsid w:val="00191B46"/>
    <w:rsid w:val="001950A4"/>
    <w:rsid w:val="001A748A"/>
    <w:rsid w:val="001B132A"/>
    <w:rsid w:val="001D180B"/>
    <w:rsid w:val="001E2A2B"/>
    <w:rsid w:val="001E5A89"/>
    <w:rsid w:val="001F76B0"/>
    <w:rsid w:val="00205554"/>
    <w:rsid w:val="00206F4C"/>
    <w:rsid w:val="002137B9"/>
    <w:rsid w:val="00255607"/>
    <w:rsid w:val="00262D0B"/>
    <w:rsid w:val="0026340E"/>
    <w:rsid w:val="002A028A"/>
    <w:rsid w:val="002A3EDB"/>
    <w:rsid w:val="002B76CC"/>
    <w:rsid w:val="002C274B"/>
    <w:rsid w:val="002C2F45"/>
    <w:rsid w:val="002C73B9"/>
    <w:rsid w:val="002D7892"/>
    <w:rsid w:val="002F694E"/>
    <w:rsid w:val="002F7438"/>
    <w:rsid w:val="00317002"/>
    <w:rsid w:val="00377A16"/>
    <w:rsid w:val="003966E1"/>
    <w:rsid w:val="003A387F"/>
    <w:rsid w:val="003B45AD"/>
    <w:rsid w:val="003C4BA9"/>
    <w:rsid w:val="003C6C9B"/>
    <w:rsid w:val="004046ED"/>
    <w:rsid w:val="00414D0B"/>
    <w:rsid w:val="00433E94"/>
    <w:rsid w:val="004728A2"/>
    <w:rsid w:val="004741A5"/>
    <w:rsid w:val="0049070F"/>
    <w:rsid w:val="004A7310"/>
    <w:rsid w:val="004C3B2E"/>
    <w:rsid w:val="004D7CD0"/>
    <w:rsid w:val="004E0BFA"/>
    <w:rsid w:val="004E30C3"/>
    <w:rsid w:val="005250B9"/>
    <w:rsid w:val="00530E52"/>
    <w:rsid w:val="00536FD6"/>
    <w:rsid w:val="005528B5"/>
    <w:rsid w:val="00553112"/>
    <w:rsid w:val="00555C09"/>
    <w:rsid w:val="00585E67"/>
    <w:rsid w:val="005D09A0"/>
    <w:rsid w:val="005F61FC"/>
    <w:rsid w:val="0063525B"/>
    <w:rsid w:val="00652E11"/>
    <w:rsid w:val="00664C15"/>
    <w:rsid w:val="00666DA0"/>
    <w:rsid w:val="006A6D9E"/>
    <w:rsid w:val="006B066E"/>
    <w:rsid w:val="006F2BCE"/>
    <w:rsid w:val="006F5A41"/>
    <w:rsid w:val="00704D20"/>
    <w:rsid w:val="007625CC"/>
    <w:rsid w:val="00777E85"/>
    <w:rsid w:val="007D62B0"/>
    <w:rsid w:val="00804441"/>
    <w:rsid w:val="00830972"/>
    <w:rsid w:val="0086129C"/>
    <w:rsid w:val="008B6579"/>
    <w:rsid w:val="008D12CE"/>
    <w:rsid w:val="008D2AE5"/>
    <w:rsid w:val="008E66CC"/>
    <w:rsid w:val="00940A26"/>
    <w:rsid w:val="00947BEF"/>
    <w:rsid w:val="00955404"/>
    <w:rsid w:val="009946AB"/>
    <w:rsid w:val="00994EE8"/>
    <w:rsid w:val="009A3CE5"/>
    <w:rsid w:val="009E52B3"/>
    <w:rsid w:val="009E6EB2"/>
    <w:rsid w:val="00A33570"/>
    <w:rsid w:val="00A336F2"/>
    <w:rsid w:val="00A37FD5"/>
    <w:rsid w:val="00A41F4A"/>
    <w:rsid w:val="00A77754"/>
    <w:rsid w:val="00A97A35"/>
    <w:rsid w:val="00AA6A58"/>
    <w:rsid w:val="00B05296"/>
    <w:rsid w:val="00B1674F"/>
    <w:rsid w:val="00B177F1"/>
    <w:rsid w:val="00B33736"/>
    <w:rsid w:val="00B345DB"/>
    <w:rsid w:val="00B87B31"/>
    <w:rsid w:val="00C04AFC"/>
    <w:rsid w:val="00C320A4"/>
    <w:rsid w:val="00C711B0"/>
    <w:rsid w:val="00C9015F"/>
    <w:rsid w:val="00CD4C4D"/>
    <w:rsid w:val="00CE1FD2"/>
    <w:rsid w:val="00CE23D7"/>
    <w:rsid w:val="00CF3360"/>
    <w:rsid w:val="00D07DBD"/>
    <w:rsid w:val="00D520E6"/>
    <w:rsid w:val="00D575ED"/>
    <w:rsid w:val="00D608BD"/>
    <w:rsid w:val="00D61ED0"/>
    <w:rsid w:val="00D637DF"/>
    <w:rsid w:val="00DB7994"/>
    <w:rsid w:val="00DD073B"/>
    <w:rsid w:val="00DD42DD"/>
    <w:rsid w:val="00DE6282"/>
    <w:rsid w:val="00E1222E"/>
    <w:rsid w:val="00E205E3"/>
    <w:rsid w:val="00E457B5"/>
    <w:rsid w:val="00E53372"/>
    <w:rsid w:val="00E71751"/>
    <w:rsid w:val="00E76C5D"/>
    <w:rsid w:val="00E8790E"/>
    <w:rsid w:val="00EB0889"/>
    <w:rsid w:val="00EB3E7C"/>
    <w:rsid w:val="00EF45F8"/>
    <w:rsid w:val="00F04380"/>
    <w:rsid w:val="00F31A97"/>
    <w:rsid w:val="00F47259"/>
    <w:rsid w:val="00F55B66"/>
    <w:rsid w:val="00F7563E"/>
    <w:rsid w:val="00F77A08"/>
    <w:rsid w:val="00FB1CAD"/>
    <w:rsid w:val="00FC0B1E"/>
    <w:rsid w:val="00FC35AE"/>
    <w:rsid w:val="00FD7F93"/>
    <w:rsid w:val="03156F1D"/>
    <w:rsid w:val="0598785D"/>
    <w:rsid w:val="09704E30"/>
    <w:rsid w:val="0AF3466E"/>
    <w:rsid w:val="0B3C6CDF"/>
    <w:rsid w:val="0FA75CEB"/>
    <w:rsid w:val="0FE971DB"/>
    <w:rsid w:val="104A286C"/>
    <w:rsid w:val="118C13CF"/>
    <w:rsid w:val="12390E64"/>
    <w:rsid w:val="151948DE"/>
    <w:rsid w:val="15E81AA3"/>
    <w:rsid w:val="17EA303B"/>
    <w:rsid w:val="1BD919CB"/>
    <w:rsid w:val="1E2832B9"/>
    <w:rsid w:val="1F58723F"/>
    <w:rsid w:val="20D5260B"/>
    <w:rsid w:val="21E967BB"/>
    <w:rsid w:val="22074106"/>
    <w:rsid w:val="22AF0DE3"/>
    <w:rsid w:val="240C68C8"/>
    <w:rsid w:val="262073F4"/>
    <w:rsid w:val="27713BB2"/>
    <w:rsid w:val="28861EF1"/>
    <w:rsid w:val="28C26890"/>
    <w:rsid w:val="28FC3758"/>
    <w:rsid w:val="28FE357E"/>
    <w:rsid w:val="2C1C3739"/>
    <w:rsid w:val="317F3408"/>
    <w:rsid w:val="352C10D7"/>
    <w:rsid w:val="35745B33"/>
    <w:rsid w:val="36706D87"/>
    <w:rsid w:val="38E0238B"/>
    <w:rsid w:val="3B0F7020"/>
    <w:rsid w:val="3B9E58F1"/>
    <w:rsid w:val="3D153845"/>
    <w:rsid w:val="3FBD59E2"/>
    <w:rsid w:val="402D26BC"/>
    <w:rsid w:val="40585519"/>
    <w:rsid w:val="41BF67B1"/>
    <w:rsid w:val="437534D7"/>
    <w:rsid w:val="446820A4"/>
    <w:rsid w:val="473606EC"/>
    <w:rsid w:val="478C21F8"/>
    <w:rsid w:val="47F760B2"/>
    <w:rsid w:val="48D31ACB"/>
    <w:rsid w:val="496359FC"/>
    <w:rsid w:val="49955712"/>
    <w:rsid w:val="4C2F12A6"/>
    <w:rsid w:val="4D307FF6"/>
    <w:rsid w:val="4E8D02C2"/>
    <w:rsid w:val="50C06596"/>
    <w:rsid w:val="50CD53B7"/>
    <w:rsid w:val="51D34BF4"/>
    <w:rsid w:val="52387FE0"/>
    <w:rsid w:val="53113544"/>
    <w:rsid w:val="541C17B1"/>
    <w:rsid w:val="58C540D2"/>
    <w:rsid w:val="590D2C0F"/>
    <w:rsid w:val="5A106B39"/>
    <w:rsid w:val="5A8E4F01"/>
    <w:rsid w:val="5CA44174"/>
    <w:rsid w:val="5E287636"/>
    <w:rsid w:val="5E384D61"/>
    <w:rsid w:val="62650168"/>
    <w:rsid w:val="64FF5C92"/>
    <w:rsid w:val="65664B22"/>
    <w:rsid w:val="66FF5846"/>
    <w:rsid w:val="676238A5"/>
    <w:rsid w:val="68675936"/>
    <w:rsid w:val="6A1D6328"/>
    <w:rsid w:val="6B7B7B2B"/>
    <w:rsid w:val="6E2C0DAC"/>
    <w:rsid w:val="6ECF7FBD"/>
    <w:rsid w:val="6F681329"/>
    <w:rsid w:val="6FEA0BFB"/>
    <w:rsid w:val="7010196F"/>
    <w:rsid w:val="70496C28"/>
    <w:rsid w:val="71494705"/>
    <w:rsid w:val="73862212"/>
    <w:rsid w:val="76946333"/>
    <w:rsid w:val="779152ED"/>
    <w:rsid w:val="797322A4"/>
    <w:rsid w:val="79E121C1"/>
    <w:rsid w:val="7ABA7439"/>
    <w:rsid w:val="7ADC196E"/>
    <w:rsid w:val="7C1363C4"/>
    <w:rsid w:val="7CD50596"/>
    <w:rsid w:val="7CD81FB1"/>
    <w:rsid w:val="7EAD6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3452</Words>
  <Characters>4045</Characters>
  <Lines>40</Lines>
  <Paragraphs>11</Paragraphs>
  <TotalTime>0</TotalTime>
  <ScaleCrop>false</ScaleCrop>
  <LinksUpToDate>false</LinksUpToDate>
  <CharactersWithSpaces>4968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2024-09-13T07:44:00Z</dcterms:created>
  <dc:creator>chh</dc:creator>
  <cp:lastModifiedBy>无风</cp:lastModifiedBy>
  <dcterms:modified xsi:type="dcterms:W3CDTF">2024-11-27T03:15:27Z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7A75A6198B234C94852071C4A7CDD703_13</vt:lpwstr>
  </property>
</Properties>
</file>