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72"/>
          <w:szCs w:val="72"/>
        </w:rPr>
      </w:pPr>
      <w:bookmarkStart w:id="0" w:name="_GoBack"/>
      <w:bookmarkEnd w:id="0"/>
    </w:p>
    <w:p>
      <w:pPr>
        <w:jc w:val="center"/>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浙江海洋大学水族科学与技术实验室采购教学仪器项目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2"/>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2"/>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2024</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3"/>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4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4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4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4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4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4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4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4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4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40" w:firstLineChars="100"/>
        <w:textAlignment w:val="auto"/>
        <w:rPr>
          <w:color w:val="FF0000"/>
        </w:rPr>
      </w:pPr>
      <w:r>
        <w:t>10</w:t>
      </w:r>
      <w:r>
        <w:rPr>
          <w:rFonts w:hint="eastAsia"/>
        </w:rPr>
        <w:t>、报价人对技术</w:t>
      </w:r>
      <w:r>
        <w:t>参数</w:t>
      </w:r>
      <w:r>
        <w:rPr>
          <w:rFonts w:hint="eastAsia"/>
        </w:rPr>
        <w:t>有不明</w:t>
      </w:r>
      <w:r>
        <w:t>之处可联</w:t>
      </w:r>
      <w:r>
        <w:rPr>
          <w:rFonts w:hint="eastAsia"/>
        </w:rPr>
        <w:t>系需求</w:t>
      </w:r>
      <w:r>
        <w:rPr>
          <w:rFonts w:hint="eastAsia"/>
          <w:lang w:val="en-US" w:eastAsia="zh-CN"/>
        </w:rPr>
        <w:t>人</w:t>
      </w:r>
      <w:r>
        <w:rPr>
          <w:rFonts w:hint="eastAsia"/>
        </w:rPr>
        <w:t>电话：俞</w:t>
      </w:r>
      <w:r>
        <w:rPr>
          <w:rFonts w:hint="eastAsia"/>
          <w:lang w:val="en-US" w:eastAsia="zh-CN"/>
        </w:rPr>
        <w:t>老师</w:t>
      </w:r>
      <w:r>
        <w:rPr>
          <w:rFonts w:hint="eastAsia"/>
        </w:rPr>
        <w:t>15802026755</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4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-33020</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6pt;margin-top:3.9pt;height:123.2pt;width:460.7pt;z-index:251659264;mso-width-relative:page;mso-height-relative:page;" coordorigin="1687,30474" coordsize="9214,2555" o:gfxdata="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DPXXO1&#10;2AAAAAgBAAAPAAAAAAAAAAEAIAAAACIAAABkcnMvZG93bnJldi54bWxQSwECFAAUAAAACACHTuJA&#10;T9sGQgUDAAC/CAAADgAAAAAAAAABACAAAAAnAQAAZHJzL2Uyb0RvYy54bWxQSwUGAAAAAAYABgBZ&#10;AQAAngY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13"/>
        <w:numPr>
          <w:ilvl w:val="0"/>
          <w:numId w:val="2"/>
        </w:numPr>
        <w:ind w:firstLineChars="0"/>
      </w:pPr>
      <w:r>
        <w:rPr>
          <w:rFonts w:hint="eastAsia"/>
        </w:rPr>
        <w:t>商品（服务）类型</w:t>
      </w:r>
    </w:p>
    <w:tbl>
      <w:tblPr>
        <w:tblStyle w:val="8"/>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13"/>
        <w:gridCol w:w="2398"/>
        <w:gridCol w:w="866"/>
        <w:gridCol w:w="1452"/>
        <w:gridCol w:w="14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1119"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713"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398"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品牌及型号</w:t>
            </w:r>
          </w:p>
        </w:tc>
        <w:tc>
          <w:tcPr>
            <w:tcW w:w="866"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1452"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488"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19" w:type="dxa"/>
            <w:tcBorders>
              <w:tl2br w:val="nil"/>
              <w:tr2bl w:val="nil"/>
            </w:tcBorders>
            <w:vAlign w:val="center"/>
          </w:tcPr>
          <w:p>
            <w:pPr>
              <w:jc w:val="center"/>
            </w:pPr>
            <w:r>
              <w:rPr>
                <w:rFonts w:hint="eastAsia"/>
              </w:rPr>
              <w:t>（一）</w:t>
            </w:r>
          </w:p>
        </w:tc>
        <w:tc>
          <w:tcPr>
            <w:tcW w:w="1713" w:type="dxa"/>
            <w:tcBorders>
              <w:tl2br w:val="nil"/>
              <w:tr2bl w:val="nil"/>
            </w:tcBorders>
            <w:vAlign w:val="center"/>
          </w:tcPr>
          <w:p>
            <w:r>
              <w:rPr>
                <w:rFonts w:hint="eastAsia"/>
              </w:rPr>
              <w:t>凝胶成像系统</w:t>
            </w:r>
          </w:p>
        </w:tc>
        <w:tc>
          <w:tcPr>
            <w:tcW w:w="2398" w:type="dxa"/>
            <w:tcBorders>
              <w:tl2br w:val="nil"/>
              <w:tr2bl w:val="nil"/>
            </w:tcBorders>
            <w:vAlign w:val="center"/>
          </w:tcPr>
          <w:p/>
        </w:tc>
        <w:tc>
          <w:tcPr>
            <w:tcW w:w="866" w:type="dxa"/>
            <w:tcBorders>
              <w:tl2br w:val="nil"/>
              <w:tr2bl w:val="nil"/>
            </w:tcBorders>
            <w:vAlign w:val="center"/>
          </w:tcPr>
          <w:p>
            <w:r>
              <w:rPr>
                <w:rFonts w:hint="eastAsia"/>
              </w:rPr>
              <w:t>1台</w:t>
            </w:r>
          </w:p>
        </w:tc>
        <w:tc>
          <w:tcPr>
            <w:tcW w:w="1452" w:type="dxa"/>
            <w:tcBorders>
              <w:tl2br w:val="nil"/>
              <w:tr2bl w:val="nil"/>
            </w:tcBorders>
            <w:vAlign w:val="center"/>
          </w:tcPr>
          <w:p/>
        </w:tc>
        <w:tc>
          <w:tcPr>
            <w:tcW w:w="1488"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19" w:type="dxa"/>
            <w:tcBorders>
              <w:tl2br w:val="nil"/>
              <w:tr2bl w:val="nil"/>
            </w:tcBorders>
            <w:vAlign w:val="center"/>
          </w:tcPr>
          <w:p>
            <w:pPr>
              <w:jc w:val="center"/>
            </w:pPr>
            <w:r>
              <w:rPr>
                <w:rFonts w:hint="eastAsia"/>
              </w:rPr>
              <w:t>（二）</w:t>
            </w:r>
          </w:p>
        </w:tc>
        <w:tc>
          <w:tcPr>
            <w:tcW w:w="1713" w:type="dxa"/>
            <w:tcBorders>
              <w:tl2br w:val="nil"/>
              <w:tr2bl w:val="nil"/>
            </w:tcBorders>
            <w:vAlign w:val="center"/>
          </w:tcPr>
          <w:p>
            <w:r>
              <w:rPr>
                <w:rFonts w:hint="eastAsia"/>
              </w:rPr>
              <w:t>酶标仪</w:t>
            </w:r>
          </w:p>
        </w:tc>
        <w:tc>
          <w:tcPr>
            <w:tcW w:w="2398" w:type="dxa"/>
            <w:tcBorders>
              <w:tl2br w:val="nil"/>
              <w:tr2bl w:val="nil"/>
            </w:tcBorders>
            <w:vAlign w:val="center"/>
          </w:tcPr>
          <w:p/>
        </w:tc>
        <w:tc>
          <w:tcPr>
            <w:tcW w:w="866" w:type="dxa"/>
            <w:tcBorders>
              <w:tl2br w:val="nil"/>
              <w:tr2bl w:val="nil"/>
            </w:tcBorders>
            <w:vAlign w:val="center"/>
          </w:tcPr>
          <w:p>
            <w:r>
              <w:rPr>
                <w:rFonts w:hint="eastAsia"/>
              </w:rPr>
              <w:t>1台</w:t>
            </w:r>
          </w:p>
        </w:tc>
        <w:tc>
          <w:tcPr>
            <w:tcW w:w="1452" w:type="dxa"/>
            <w:tcBorders>
              <w:tl2br w:val="nil"/>
              <w:tr2bl w:val="nil"/>
            </w:tcBorders>
            <w:vAlign w:val="center"/>
          </w:tcPr>
          <w:p/>
        </w:tc>
        <w:tc>
          <w:tcPr>
            <w:tcW w:w="1488"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19" w:type="dxa"/>
            <w:tcBorders>
              <w:tl2br w:val="nil"/>
              <w:tr2bl w:val="nil"/>
            </w:tcBorders>
            <w:vAlign w:val="center"/>
          </w:tcPr>
          <w:p>
            <w:pPr>
              <w:jc w:val="center"/>
            </w:pPr>
            <w:r>
              <w:rPr>
                <w:rFonts w:hint="eastAsia"/>
              </w:rPr>
              <w:t>（三）</w:t>
            </w:r>
          </w:p>
        </w:tc>
        <w:tc>
          <w:tcPr>
            <w:tcW w:w="1713" w:type="dxa"/>
            <w:tcBorders>
              <w:tl2br w:val="nil"/>
              <w:tr2bl w:val="nil"/>
            </w:tcBorders>
            <w:vAlign w:val="center"/>
          </w:tcPr>
          <w:p>
            <w:r>
              <w:rPr>
                <w:rFonts w:hint="eastAsia"/>
              </w:rPr>
              <w:t>电子天平</w:t>
            </w:r>
          </w:p>
        </w:tc>
        <w:tc>
          <w:tcPr>
            <w:tcW w:w="2398" w:type="dxa"/>
            <w:tcBorders>
              <w:tl2br w:val="nil"/>
              <w:tr2bl w:val="nil"/>
            </w:tcBorders>
            <w:vAlign w:val="center"/>
          </w:tcPr>
          <w:p/>
        </w:tc>
        <w:tc>
          <w:tcPr>
            <w:tcW w:w="866" w:type="dxa"/>
            <w:tcBorders>
              <w:tl2br w:val="nil"/>
              <w:tr2bl w:val="nil"/>
            </w:tcBorders>
            <w:vAlign w:val="center"/>
          </w:tcPr>
          <w:p>
            <w:r>
              <w:rPr>
                <w:rFonts w:hint="eastAsia"/>
              </w:rPr>
              <w:t>5台</w:t>
            </w:r>
          </w:p>
        </w:tc>
        <w:tc>
          <w:tcPr>
            <w:tcW w:w="1452" w:type="dxa"/>
            <w:tcBorders>
              <w:tl2br w:val="nil"/>
              <w:tr2bl w:val="nil"/>
            </w:tcBorders>
            <w:vAlign w:val="center"/>
          </w:tcPr>
          <w:p/>
        </w:tc>
        <w:tc>
          <w:tcPr>
            <w:tcW w:w="1488"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19" w:type="dxa"/>
            <w:tcBorders>
              <w:tl2br w:val="nil"/>
              <w:tr2bl w:val="nil"/>
            </w:tcBorders>
            <w:vAlign w:val="center"/>
          </w:tcPr>
          <w:p>
            <w:pPr>
              <w:jc w:val="center"/>
            </w:pPr>
            <w:r>
              <w:rPr>
                <w:rFonts w:hint="eastAsia"/>
              </w:rPr>
              <w:t>（四）</w:t>
            </w:r>
          </w:p>
        </w:tc>
        <w:tc>
          <w:tcPr>
            <w:tcW w:w="1713" w:type="dxa"/>
            <w:tcBorders>
              <w:tl2br w:val="nil"/>
              <w:tr2bl w:val="nil"/>
            </w:tcBorders>
            <w:vAlign w:val="center"/>
          </w:tcPr>
          <w:p>
            <w:r>
              <w:rPr>
                <w:rFonts w:hint="eastAsia"/>
              </w:rPr>
              <w:t>生物显微镜</w:t>
            </w:r>
          </w:p>
        </w:tc>
        <w:tc>
          <w:tcPr>
            <w:tcW w:w="2398" w:type="dxa"/>
            <w:tcBorders>
              <w:tl2br w:val="nil"/>
              <w:tr2bl w:val="nil"/>
            </w:tcBorders>
            <w:vAlign w:val="center"/>
          </w:tcPr>
          <w:p/>
        </w:tc>
        <w:tc>
          <w:tcPr>
            <w:tcW w:w="866" w:type="dxa"/>
            <w:tcBorders>
              <w:tl2br w:val="nil"/>
              <w:tr2bl w:val="nil"/>
            </w:tcBorders>
            <w:vAlign w:val="center"/>
          </w:tcPr>
          <w:p>
            <w:r>
              <w:rPr>
                <w:rFonts w:hint="eastAsia"/>
              </w:rPr>
              <w:t>20台</w:t>
            </w:r>
          </w:p>
        </w:tc>
        <w:tc>
          <w:tcPr>
            <w:tcW w:w="1452" w:type="dxa"/>
            <w:tcBorders>
              <w:tl2br w:val="nil"/>
              <w:tr2bl w:val="nil"/>
            </w:tcBorders>
            <w:vAlign w:val="center"/>
          </w:tcPr>
          <w:p/>
        </w:tc>
        <w:tc>
          <w:tcPr>
            <w:tcW w:w="1488"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19" w:type="dxa"/>
            <w:tcBorders>
              <w:tl2br w:val="nil"/>
              <w:tr2bl w:val="nil"/>
            </w:tcBorders>
            <w:vAlign w:val="center"/>
          </w:tcPr>
          <w:p>
            <w:pPr>
              <w:jc w:val="center"/>
            </w:pPr>
            <w:r>
              <w:rPr>
                <w:rFonts w:hint="eastAsia"/>
              </w:rPr>
              <w:t>（五）</w:t>
            </w:r>
          </w:p>
        </w:tc>
        <w:tc>
          <w:tcPr>
            <w:tcW w:w="1713" w:type="dxa"/>
            <w:tcBorders>
              <w:tl2br w:val="nil"/>
              <w:tr2bl w:val="nil"/>
            </w:tcBorders>
            <w:vAlign w:val="center"/>
          </w:tcPr>
          <w:p>
            <w:r>
              <w:rPr>
                <w:rFonts w:hint="eastAsia"/>
              </w:rPr>
              <w:t>快速凝胶电泳仪</w:t>
            </w:r>
          </w:p>
        </w:tc>
        <w:tc>
          <w:tcPr>
            <w:tcW w:w="2398" w:type="dxa"/>
            <w:tcBorders>
              <w:tl2br w:val="nil"/>
              <w:tr2bl w:val="nil"/>
            </w:tcBorders>
            <w:vAlign w:val="center"/>
          </w:tcPr>
          <w:p/>
        </w:tc>
        <w:tc>
          <w:tcPr>
            <w:tcW w:w="866" w:type="dxa"/>
            <w:tcBorders>
              <w:tl2br w:val="nil"/>
              <w:tr2bl w:val="nil"/>
            </w:tcBorders>
            <w:vAlign w:val="center"/>
          </w:tcPr>
          <w:p>
            <w:r>
              <w:rPr>
                <w:rFonts w:hint="eastAsia"/>
              </w:rPr>
              <w:t>1台</w:t>
            </w:r>
          </w:p>
        </w:tc>
        <w:tc>
          <w:tcPr>
            <w:tcW w:w="1452" w:type="dxa"/>
            <w:tcBorders>
              <w:tl2br w:val="nil"/>
              <w:tr2bl w:val="nil"/>
            </w:tcBorders>
            <w:vAlign w:val="center"/>
          </w:tcPr>
          <w:p/>
        </w:tc>
        <w:tc>
          <w:tcPr>
            <w:tcW w:w="1488"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36" w:type="dxa"/>
            <w:gridSpan w:val="6"/>
            <w:tcBorders>
              <w:tl2br w:val="nil"/>
              <w:tr2bl w:val="nil"/>
            </w:tcBorders>
            <w:vAlign w:val="center"/>
          </w:tcPr>
          <w:p>
            <w:r>
              <w:rPr>
                <w:rFonts w:hint="eastAsia"/>
              </w:rPr>
              <w:t>合计总价：小写</w:t>
            </w:r>
            <w:r>
              <w:rPr>
                <w:rFonts w:hint="eastAsia"/>
                <w:lang w:val="en-US" w:eastAsia="zh-CN"/>
              </w:rPr>
              <w:t xml:space="preserve">     </w:t>
            </w:r>
            <w:r>
              <w:rPr>
                <w:rFonts w:hint="eastAsia"/>
              </w:rPr>
              <w:t>元，大写</w:t>
            </w:r>
            <w:r>
              <w:rPr>
                <w:rFonts w:hint="eastAsia"/>
                <w:lang w:val="en-US" w:eastAsia="zh-CN"/>
              </w:rPr>
              <w:t xml:space="preserve">         </w:t>
            </w:r>
            <w:r>
              <w:rPr>
                <w:rFonts w:hint="eastAsia"/>
              </w:rPr>
              <w:t>圆整。</w:t>
            </w:r>
          </w:p>
        </w:tc>
      </w:tr>
    </w:tbl>
    <w:p>
      <w:pPr>
        <w:pStyle w:val="13"/>
        <w:numPr>
          <w:ilvl w:val="0"/>
          <w:numId w:val="2"/>
        </w:numPr>
        <w:ind w:firstLineChars="0"/>
        <w:rPr>
          <w:rFonts w:ascii="仿宋" w:hAnsi="仿宋" w:eastAsia="仿宋"/>
          <w:b/>
          <w:sz w:val="28"/>
          <w:szCs w:val="28"/>
        </w:rPr>
      </w:pPr>
      <w:r>
        <w:rPr>
          <w:rFonts w:hint="eastAsia" w:ascii="仿宋" w:hAnsi="仿宋" w:eastAsia="仿宋"/>
          <w:b/>
          <w:sz w:val="28"/>
          <w:szCs w:val="28"/>
        </w:rPr>
        <w:t>技术参数要求</w:t>
      </w:r>
    </w:p>
    <w:tbl>
      <w:tblPr>
        <w:tblStyle w:val="9"/>
        <w:tblW w:w="90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64"/>
        <w:gridCol w:w="5625"/>
        <w:gridCol w:w="12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878" w:type="dxa"/>
            <w:tcBorders>
              <w:tl2br w:val="nil"/>
              <w:tr2bl w:val="nil"/>
            </w:tcBorders>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264" w:type="dxa"/>
            <w:tcBorders>
              <w:tl2br w:val="nil"/>
              <w:tr2bl w:val="nil"/>
            </w:tcBorders>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商品名称</w:t>
            </w:r>
          </w:p>
        </w:tc>
        <w:tc>
          <w:tcPr>
            <w:tcW w:w="5625" w:type="dxa"/>
            <w:tcBorders>
              <w:tl2br w:val="nil"/>
              <w:tr2bl w:val="nil"/>
            </w:tcBorders>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商品组成及技术参数</w:t>
            </w:r>
          </w:p>
        </w:tc>
        <w:tc>
          <w:tcPr>
            <w:tcW w:w="1281" w:type="dxa"/>
            <w:tcBorders>
              <w:tl2br w:val="nil"/>
              <w:tr2bl w:val="nil"/>
            </w:tcBorders>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restart"/>
            <w:tcBorders>
              <w:tl2br w:val="nil"/>
              <w:tr2bl w:val="nil"/>
            </w:tcBorders>
            <w:vAlign w:val="center"/>
          </w:tcPr>
          <w:p>
            <w:pPr>
              <w:jc w:val="both"/>
            </w:pPr>
            <w:r>
              <w:rPr>
                <w:rFonts w:hint="eastAsia"/>
              </w:rPr>
              <w:t>（一）</w:t>
            </w:r>
          </w:p>
        </w:tc>
        <w:tc>
          <w:tcPr>
            <w:tcW w:w="1264" w:type="dxa"/>
            <w:vMerge w:val="restart"/>
            <w:tcBorders>
              <w:tl2br w:val="nil"/>
              <w:tr2bl w:val="nil"/>
            </w:tcBorders>
            <w:vAlign w:val="center"/>
          </w:tcPr>
          <w:p>
            <w:pPr>
              <w:jc w:val="both"/>
              <w:rPr>
                <w:rFonts w:hAnsi="宋体"/>
                <w:color w:val="000000"/>
                <w:szCs w:val="24"/>
              </w:rPr>
            </w:pPr>
            <w:r>
              <w:rPr>
                <w:rFonts w:hint="eastAsia"/>
              </w:rPr>
              <w:t>凝胶成像系统</w:t>
            </w:r>
          </w:p>
        </w:tc>
        <w:tc>
          <w:tcPr>
            <w:tcW w:w="5625" w:type="dxa"/>
            <w:tcBorders>
              <w:tl2br w:val="nil"/>
              <w:tr2bl w:val="nil"/>
            </w:tcBorders>
          </w:tcPr>
          <w:p>
            <w:pPr>
              <w:jc w:val="both"/>
            </w:pPr>
            <w:r>
              <w:t>1.商品组成：</w:t>
            </w:r>
            <w:r>
              <w:rPr>
                <w:rFonts w:hint="eastAsia"/>
                <w:color w:val="000000" w:themeColor="text1"/>
                <w14:textFill>
                  <w14:solidFill>
                    <w14:schemeClr w14:val="tx1"/>
                  </w14:solidFill>
                </w14:textFill>
              </w:rPr>
              <w:t>凝胶成像系统</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t>适用于核酸成像、SDS-PAGE胶成像、菌落成像等</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耐腐蚀高强度金属构架机箱，采用</w:t>
            </w:r>
            <w:r>
              <w:t>PC/ABS材质</w:t>
            </w:r>
            <w:r>
              <w:rPr>
                <w:rFonts w:hint="eastAsia"/>
              </w:rPr>
              <w:t>模具包裹</w:t>
            </w:r>
            <w:r>
              <w:t>，</w:t>
            </w:r>
            <w:r>
              <w:rPr>
                <w:rFonts w:hint="eastAsia"/>
              </w:rPr>
              <w:t>防静电抗干扰，提高安全性</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仪器</w:t>
            </w:r>
            <w:r>
              <w:t>外围尺寸</w:t>
            </w:r>
            <w:r>
              <w:rPr>
                <w:rFonts w:hint="eastAsia"/>
              </w:rPr>
              <w:t>≤</w:t>
            </w:r>
            <w:r>
              <w:t>40cm x45cm x45cm</w:t>
            </w:r>
            <w:r>
              <w:rPr>
                <w:rFonts w:hint="eastAsia"/>
              </w:rPr>
              <w:t>，节省实验空间（实验室空间有限）</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t>CCD相机：高分辨率</w:t>
            </w:r>
            <w:r>
              <w:rPr>
                <w:rFonts w:hint="eastAsia"/>
              </w:rPr>
              <w:t>超清晰科研级相机</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相机有效硬件像素不低于</w:t>
            </w:r>
            <w:r>
              <w:t>506</w:t>
            </w:r>
            <w:r>
              <w:rPr>
                <w:rFonts w:hint="eastAsia"/>
              </w:rPr>
              <w:t>万，像素矩阵</w:t>
            </w:r>
            <w:r>
              <w:t>1836*2756</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图像分辨率6</w:t>
            </w:r>
            <w:r>
              <w:t>00DPI</w:t>
            </w:r>
            <w:r>
              <w:rPr>
                <w:rFonts w:hint="eastAsia"/>
              </w:rPr>
              <w:t>，满足各类科研杂志发表要求</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t>动态范围：&gt;3.2个数量级</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t>像素密度：16 bit (0-65535灰阶)</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即插即用式运行系统，装置≥</w:t>
            </w:r>
            <w:r>
              <w:t>12寸</w:t>
            </w:r>
            <w:r>
              <w:rPr>
                <w:rFonts w:hint="eastAsia"/>
              </w:rPr>
              <w:t>的</w:t>
            </w:r>
            <w:r>
              <w:t>内嵌式</w:t>
            </w:r>
            <w:r>
              <w:rPr>
                <w:rFonts w:hint="eastAsia"/>
              </w:rPr>
              <w:t>L</w:t>
            </w:r>
            <w:r>
              <w:t>CD触摸屏</w:t>
            </w:r>
            <w:r>
              <w:rPr>
                <w:rFonts w:hint="eastAsia"/>
              </w:rPr>
              <w:t>，触摸反馈时间≤</w:t>
            </w:r>
            <w:r>
              <w:t>10</w:t>
            </w:r>
            <w:r>
              <w:rPr>
                <w:rFonts w:hint="eastAsia"/>
              </w:rPr>
              <w:t>ms</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触摸屏系统采用英特尔酷睿四核1</w:t>
            </w:r>
            <w:r>
              <w:t>.9GH</w:t>
            </w:r>
            <w:r>
              <w:rPr>
                <w:rFonts w:hint="eastAsia"/>
              </w:rPr>
              <w:t>z的I</w:t>
            </w:r>
            <w:r>
              <w:t>5</w:t>
            </w:r>
            <w:r>
              <w:rPr>
                <w:rFonts w:hint="eastAsia"/>
              </w:rPr>
              <w:t>处理器及8</w:t>
            </w:r>
            <w:r>
              <w:t>G</w:t>
            </w:r>
            <w:r>
              <w:rPr>
                <w:rFonts w:hint="eastAsia"/>
              </w:rPr>
              <w:t>的R</w:t>
            </w:r>
            <w:r>
              <w:t>AM</w:t>
            </w:r>
            <w:r>
              <w:rPr>
                <w:rFonts w:hint="eastAsia"/>
              </w:rPr>
              <w:t>内存</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系统采用M</w:t>
            </w:r>
            <w:r>
              <w:t>2</w:t>
            </w:r>
            <w:r>
              <w:rPr>
                <w:rFonts w:hint="eastAsia"/>
              </w:rPr>
              <w:t>接口的</w:t>
            </w:r>
            <w:r>
              <w:t>128G</w:t>
            </w:r>
            <w:r>
              <w:rPr>
                <w:rFonts w:hint="eastAsia"/>
              </w:rPr>
              <w:t>的固态硬盘，数据读取速度高达3</w:t>
            </w:r>
            <w:r>
              <w:t>000</w:t>
            </w:r>
            <w:r>
              <w:rPr>
                <w:rFonts w:hint="eastAsia"/>
              </w:rPr>
              <w:t>m</w:t>
            </w:r>
            <w:r>
              <w:t>/</w:t>
            </w:r>
            <w:r>
              <w:rPr>
                <w:rFonts w:hint="eastAsia"/>
              </w:rPr>
              <w:t>s，有效提高运行速度</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t>数据传输：</w:t>
            </w:r>
            <w:r>
              <w:rPr>
                <w:rFonts w:hint="eastAsia"/>
              </w:rPr>
              <w:t>外置</w:t>
            </w:r>
            <w:r>
              <w:t>2</w:t>
            </w:r>
            <w:r>
              <w:rPr>
                <w:rFonts w:hint="eastAsia"/>
              </w:rPr>
              <w:t>个</w:t>
            </w:r>
            <w:r>
              <w:t>USB3.0</w:t>
            </w:r>
            <w:r>
              <w:rPr>
                <w:rFonts w:hint="eastAsia"/>
              </w:rPr>
              <w:t>接口</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超高分辨率</w:t>
            </w:r>
            <w:r>
              <w:t>镜头</w:t>
            </w:r>
            <w:r>
              <w:rPr>
                <w:rFonts w:hint="eastAsia"/>
              </w:rPr>
              <w:t>：采用了不低于2</w:t>
            </w:r>
            <w:r>
              <w:t>000</w:t>
            </w:r>
            <w:r>
              <w:rPr>
                <w:rFonts w:hint="eastAsia"/>
              </w:rPr>
              <w:t>万像素的超高分辨率镜头，可自动完成对焦，物理分辨率可达≤2</w:t>
            </w:r>
            <w:r>
              <w:t>.4</w:t>
            </w:r>
            <w:r>
              <w:rPr>
                <w:rFonts w:hint="eastAsia"/>
              </w:rPr>
              <w:t>微米</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窄带滤光片：配置一组专业的带通滤光片</w:t>
            </w:r>
            <w:r>
              <w:t>590</w:t>
            </w:r>
            <w:r>
              <w:rPr>
                <w:rFonts w:hint="eastAsia"/>
              </w:rPr>
              <w:t>nm</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智能光源控制系统：标配组合式三波长L</w:t>
            </w:r>
            <w:r>
              <w:t>ED</w:t>
            </w:r>
            <w:r>
              <w:rPr>
                <w:rFonts w:hint="eastAsia"/>
              </w:rPr>
              <w:t>透射光源/3</w:t>
            </w:r>
            <w:r>
              <w:t>02</w:t>
            </w:r>
            <w:r>
              <w:rPr>
                <w:rFonts w:hint="eastAsia"/>
              </w:rPr>
              <w:t>nm波长L</w:t>
            </w:r>
            <w:r>
              <w:t>ED</w:t>
            </w:r>
            <w:r>
              <w:rPr>
                <w:rFonts w:hint="eastAsia"/>
              </w:rPr>
              <w:t>紫外光源/4</w:t>
            </w:r>
            <w:r>
              <w:t>70</w:t>
            </w:r>
            <w:r>
              <w:rPr>
                <w:rFonts w:hint="eastAsia"/>
              </w:rPr>
              <w:t>nm波长L</w:t>
            </w:r>
            <w:r>
              <w:t>ED</w:t>
            </w:r>
            <w:r>
              <w:rPr>
                <w:rFonts w:hint="eastAsia"/>
              </w:rPr>
              <w:t>蓝光光源/全波段L</w:t>
            </w:r>
            <w:r>
              <w:t>ED</w:t>
            </w:r>
            <w:r>
              <w:rPr>
                <w:rFonts w:hint="eastAsia"/>
              </w:rPr>
              <w:t>白色光源，激发光源智能开启与关闭，提高安全性</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样品托盘：3组带有智能感应器的样品托盘，智能白光托盘/紫外托盘/蓝光托盘</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智能拍摄：通过智能样品托盘识别系统，仪器自动开启对应激发光源并完成拍摄操作，实现全智能拍摄控制</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t>拍摄面积：</w:t>
            </w:r>
            <w:r>
              <w:rPr>
                <w:rFonts w:hint="eastAsia"/>
              </w:rPr>
              <w:t>≥1</w:t>
            </w:r>
            <w:r>
              <w:t>4.5cm×21cm</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切胶功能：配置智能感应防护板，仪器可通过判断防护板情况开启光源，有效减少光伤害</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t>图像采集及分析软件，可实现拍摄、灰度分析等功能</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ascii="Segoe UI Symbol" w:hAnsi="Segoe UI Symbol" w:cs="Segoe UI Symbol"/>
              </w:rPr>
              <w:t>自动完成光源选择及拍摄，</w:t>
            </w:r>
            <w:r>
              <w:rPr>
                <w:rFonts w:hint="eastAsia"/>
              </w:rPr>
              <w:t>并完成伪彩色合成及三组信号图像展示以供选择</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t>具</w:t>
            </w:r>
            <w:r>
              <w:rPr>
                <w:rFonts w:hint="eastAsia"/>
              </w:rPr>
              <w:t>备快速图像查阅功能，控制系统能以时间为线索自动备份图像数据</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t>自动识别泳道条带、自动计算泳道中各条带的密度积分和峰值、计算分子量大小及条带的迁移率</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t>分析数据能输出至Excel</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安装流程：仪器构造为一体式设计，开机即可使用，无需安装</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rPr>
                <w:rFonts w:hAnsi="宋体"/>
                <w:color w:val="000000"/>
                <w:szCs w:val="24"/>
              </w:rPr>
            </w:pPr>
            <w:r>
              <w:rPr>
                <w:rFonts w:hint="eastAsia"/>
              </w:rPr>
              <w:t>售后服务：整机质保三年，质保期内只换不修</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restart"/>
            <w:tcBorders>
              <w:tl2br w:val="nil"/>
              <w:tr2bl w:val="nil"/>
            </w:tcBorders>
            <w:vAlign w:val="center"/>
          </w:tcPr>
          <w:p>
            <w:pPr>
              <w:jc w:val="both"/>
            </w:pPr>
            <w:r>
              <w:rPr>
                <w:rFonts w:hint="eastAsia"/>
              </w:rPr>
              <w:t>（二）</w:t>
            </w:r>
          </w:p>
        </w:tc>
        <w:tc>
          <w:tcPr>
            <w:tcW w:w="1264" w:type="dxa"/>
            <w:vMerge w:val="restart"/>
            <w:tcBorders>
              <w:tl2br w:val="nil"/>
              <w:tr2bl w:val="nil"/>
            </w:tcBorders>
            <w:vAlign w:val="center"/>
          </w:tcPr>
          <w:p>
            <w:pPr>
              <w:jc w:val="both"/>
            </w:pPr>
            <w:r>
              <w:rPr>
                <w:rFonts w:hint="eastAsia"/>
              </w:rPr>
              <w:t>酶标仪</w:t>
            </w:r>
          </w:p>
        </w:tc>
        <w:tc>
          <w:tcPr>
            <w:tcW w:w="5625" w:type="dxa"/>
            <w:tcBorders>
              <w:tl2br w:val="nil"/>
              <w:tr2bl w:val="nil"/>
            </w:tcBorders>
          </w:tcPr>
          <w:p>
            <w:pPr>
              <w:jc w:val="both"/>
            </w:pPr>
            <w:r>
              <w:t>1.商品组成：</w:t>
            </w:r>
            <w:r>
              <w:rPr>
                <w:rFonts w:hint="eastAsia"/>
                <w:color w:val="000000" w:themeColor="text1"/>
                <w14:textFill>
                  <w14:solidFill>
                    <w14:schemeClr w14:val="tx1"/>
                  </w14:solidFill>
                </w14:textFill>
              </w:rPr>
              <w:t>酶标仪</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石英卤素灯</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波长范围为 340-850 nm</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8位滤光片轮，标配3块滤光片：405nm、450nm和620nm，其他滤光片可选配</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滤光片半带宽:3-9nm</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读数范围:0-6Abs</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线性范围（405 nm）:</w:t>
            </w:r>
            <w:r>
              <w:t xml:space="preserve"> </w:t>
            </w:r>
            <w:r>
              <w:tab/>
            </w:r>
          </w:p>
          <w:p>
            <w:pPr>
              <w:jc w:val="both"/>
            </w:pPr>
            <w:r>
              <w:rPr>
                <w:rFonts w:hint="eastAsia"/>
              </w:rPr>
              <w:t>0-3Abs，96孔板，快速测量模式</w:t>
            </w:r>
          </w:p>
          <w:p>
            <w:pPr>
              <w:jc w:val="both"/>
            </w:pPr>
            <w:r>
              <w:rPr>
                <w:rFonts w:hint="eastAsia"/>
              </w:rPr>
              <w:t>0-4Abs，96孔板，标准测量模式</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分辨率:</w:t>
            </w:r>
            <w:r>
              <w:t xml:space="preserve"> </w:t>
            </w:r>
            <w:r>
              <w:rPr>
                <w:rFonts w:hint="eastAsia"/>
              </w:rPr>
              <w:t>≤</w:t>
            </w:r>
            <w:r>
              <w:t>0.001Abs</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准确性（405nm）: ±</w:t>
            </w:r>
            <w:r>
              <w:t>1%(0-3Abs), ±2%(3-4 Abs)</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 xml:space="preserve">精确性（405nm）: </w:t>
            </w:r>
            <w:r>
              <w:rPr>
                <w:rFonts w:hint="eastAsia"/>
              </w:rPr>
              <w:tab/>
            </w:r>
            <w:r>
              <w:rPr>
                <w:rFonts w:hint="eastAsia"/>
              </w:rPr>
              <w:t>CV≤0.2%(0-3 Abs)，CV≤1.0%(3-4 Abs)，标准测量模式</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测量速度: 6s，96孔板，快速测量模式；12s，96孔板，标准测量模式</w:t>
            </w:r>
          </w:p>
          <w:p>
            <w:pPr>
              <w:jc w:val="both"/>
            </w:pPr>
            <w:r>
              <w:rPr>
                <w:rFonts w:hint="eastAsia"/>
              </w:rPr>
              <w:t>11s，384孔板，快速测量模式；33s，384孔板，标准测量模式</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restart"/>
            <w:tcBorders>
              <w:tl2br w:val="nil"/>
              <w:tr2bl w:val="nil"/>
            </w:tcBorders>
            <w:vAlign w:val="center"/>
          </w:tcPr>
          <w:p>
            <w:pPr>
              <w:jc w:val="both"/>
            </w:pPr>
            <w:r>
              <w:rPr>
                <w:rFonts w:hint="eastAsia"/>
              </w:rPr>
              <w:t>（三）</w:t>
            </w:r>
          </w:p>
        </w:tc>
        <w:tc>
          <w:tcPr>
            <w:tcW w:w="1264" w:type="dxa"/>
            <w:vMerge w:val="restart"/>
            <w:tcBorders>
              <w:tl2br w:val="nil"/>
              <w:tr2bl w:val="nil"/>
            </w:tcBorders>
            <w:vAlign w:val="center"/>
          </w:tcPr>
          <w:p>
            <w:pPr>
              <w:jc w:val="both"/>
              <w:rPr>
                <w:szCs w:val="24"/>
              </w:rPr>
            </w:pPr>
            <w:r>
              <w:rPr>
                <w:rFonts w:hint="eastAsia"/>
              </w:rPr>
              <w:t>电子天平</w:t>
            </w:r>
          </w:p>
        </w:tc>
        <w:tc>
          <w:tcPr>
            <w:tcW w:w="5625" w:type="dxa"/>
            <w:tcBorders>
              <w:tl2br w:val="nil"/>
              <w:tr2bl w:val="nil"/>
            </w:tcBorders>
          </w:tcPr>
          <w:p>
            <w:pPr>
              <w:jc w:val="both"/>
            </w:pPr>
            <w:r>
              <w:t>1.商品组成：</w:t>
            </w:r>
            <w:r>
              <w:rPr>
                <w:rFonts w:hint="eastAsia"/>
              </w:rPr>
              <w:t>电子天平</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称重范围（g）：≥110</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读数精度（mg）：≤0.1</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可重复性（mg）：</w:t>
            </w:r>
            <w:r>
              <w:t>±</w:t>
            </w:r>
            <w:r>
              <w:rPr>
                <w:rFonts w:hint="eastAsia"/>
              </w:rPr>
              <w:t>0.1</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线性（mg）：</w:t>
            </w:r>
            <w:r>
              <w:t>±</w:t>
            </w:r>
            <w:r>
              <w:rPr>
                <w:rFonts w:hint="eastAsia"/>
              </w:rPr>
              <w:t>0.2</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最小称量（mg）：10</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称量盘尺寸直径（mm）：90</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电磁力</w:t>
            </w:r>
            <w:r>
              <w:t>传感器</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七</w:t>
            </w:r>
            <w:r>
              <w:t>级防震滤波可调功能</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稳固的金属底座+高强度ABS材料</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下挂钩称重装置</w:t>
            </w:r>
            <w:r>
              <w:rPr>
                <w:rFonts w:hint="eastAsia"/>
              </w:rPr>
              <w:t>，满足轻量大体积称重要求</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称重数据跟随光标传输到Excel /Word</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大界面LCD显示</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称重稳定时间</w:t>
            </w:r>
            <w:r>
              <w:rPr>
                <w:rFonts w:hint="eastAsia"/>
              </w:rPr>
              <w:t>3级</w:t>
            </w:r>
            <w:r>
              <w:t>可调</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上置移动把手，省力安全移动</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内嵌实时动态温度补偿，实时修正温度变化对称量结果的影响</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具有克、克拉、英磅等</w:t>
            </w:r>
            <w:r>
              <w:rPr>
                <w:rFonts w:hint="eastAsia"/>
              </w:rPr>
              <w:t>20多</w:t>
            </w:r>
            <w:r>
              <w:t>种单位转换功能</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称重单位屏蔽功能，可屏蔽不需要的称重单位避免误操作</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后置工具箱，可放置砝码手套避免遗失</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RS232</w:t>
            </w:r>
            <w:r>
              <w:rPr>
                <w:rFonts w:hint="eastAsia"/>
              </w:rPr>
              <w:t>/USB双</w:t>
            </w:r>
            <w:r>
              <w:t>通讯接口连接外围设备</w:t>
            </w:r>
            <w:r>
              <w:rPr>
                <w:rFonts w:hint="eastAsia"/>
              </w:rPr>
              <w:t>，多台天平联网同时连接电脑及打印机</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开关机自动锁定当前</w:t>
            </w:r>
            <w:r>
              <w:rPr>
                <w:rFonts w:hint="eastAsia"/>
              </w:rPr>
              <w:t>应用</w:t>
            </w:r>
            <w:r>
              <w:t>模式</w:t>
            </w:r>
            <w:r>
              <w:rPr>
                <w:rFonts w:hint="eastAsia"/>
              </w:rPr>
              <w:t>操作更便捷</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防静电玻璃涂层避免静电干扰</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内置日期、时间可调功能</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内置温度显示功能</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配备防尘布罩</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百分比称重功能</w:t>
            </w:r>
            <w:r>
              <w:rPr>
                <w:rFonts w:hint="eastAsia"/>
              </w:rPr>
              <w:t>；</w:t>
            </w:r>
            <w:r>
              <w:t>动物（动态）称量功能</w:t>
            </w:r>
            <w:r>
              <w:rPr>
                <w:rFonts w:hint="eastAsia"/>
              </w:rPr>
              <w:t>；</w:t>
            </w:r>
            <w:r>
              <w:t>设定物体称量计数功能</w:t>
            </w:r>
            <w:r>
              <w:rPr>
                <w:rFonts w:hint="eastAsia"/>
              </w:rPr>
              <w:t>；</w:t>
            </w:r>
            <w:r>
              <w:t>密度称量</w:t>
            </w:r>
            <w:r>
              <w:rPr>
                <w:rFonts w:hint="eastAsia"/>
              </w:rPr>
              <w:t>程序自动换算</w:t>
            </w:r>
            <w:r>
              <w:t>直读功能</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78" w:type="dxa"/>
            <w:vMerge w:val="restart"/>
            <w:tcBorders>
              <w:tl2br w:val="nil"/>
              <w:tr2bl w:val="nil"/>
            </w:tcBorders>
            <w:vAlign w:val="center"/>
          </w:tcPr>
          <w:p>
            <w:pPr>
              <w:jc w:val="both"/>
            </w:pPr>
            <w:r>
              <w:rPr>
                <w:rFonts w:hint="eastAsia"/>
              </w:rPr>
              <w:t>（四）</w:t>
            </w:r>
          </w:p>
        </w:tc>
        <w:tc>
          <w:tcPr>
            <w:tcW w:w="1264" w:type="dxa"/>
            <w:vMerge w:val="restart"/>
            <w:tcBorders>
              <w:tl2br w:val="nil"/>
              <w:tr2bl w:val="nil"/>
            </w:tcBorders>
            <w:vAlign w:val="center"/>
          </w:tcPr>
          <w:p>
            <w:pPr>
              <w:jc w:val="both"/>
            </w:pPr>
            <w:r>
              <w:rPr>
                <w:rFonts w:hint="eastAsia"/>
              </w:rPr>
              <w:t>生物显微镜</w:t>
            </w:r>
          </w:p>
        </w:tc>
        <w:tc>
          <w:tcPr>
            <w:tcW w:w="5625" w:type="dxa"/>
            <w:tcBorders>
              <w:tl2br w:val="nil"/>
              <w:tr2bl w:val="nil"/>
            </w:tcBorders>
          </w:tcPr>
          <w:p>
            <w:pPr>
              <w:jc w:val="both"/>
            </w:pPr>
            <w:r>
              <w:t>1.商品组成：</w:t>
            </w:r>
            <w:r>
              <w:rPr>
                <w:rFonts w:hint="eastAsia"/>
              </w:rPr>
              <w:t>生物显微镜</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光学系统/结构</w:t>
            </w:r>
            <w:r>
              <w:rPr>
                <w:rFonts w:hint="eastAsia"/>
              </w:rPr>
              <w:t>：</w:t>
            </w:r>
            <w:r>
              <w:t>OTICS无限远色差校正光学系统/一体化机身结构，机身整体压铸而成，结构稳定可靠</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放大倍数范围</w:t>
            </w:r>
            <w:r>
              <w:rPr>
                <w:rFonts w:hint="eastAsia"/>
              </w:rPr>
              <w:t>：</w:t>
            </w:r>
            <w:r>
              <w:tab/>
            </w:r>
            <w:r>
              <w:t xml:space="preserve"> 40×～1000×</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目镜</w:t>
            </w:r>
            <w:r>
              <w:rPr>
                <w:rFonts w:hint="eastAsia"/>
              </w:rPr>
              <w:t>：</w:t>
            </w:r>
            <w:r>
              <w:t>10×大视野、高眼点平场目镜，视场数Φ20mm,带指针</w:t>
            </w:r>
            <w:r>
              <w:rPr>
                <w:rFonts w:hint="eastAsia"/>
              </w:rPr>
              <w:t>，其中一只目镜带测微尺</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物镜</w:t>
            </w:r>
            <w:r>
              <w:rPr>
                <w:rFonts w:hint="eastAsia"/>
              </w:rPr>
              <w:t>：无限远平场复消色差物镜：</w:t>
            </w:r>
            <w:r>
              <w:t xml:space="preserve">4× </w:t>
            </w:r>
            <w:r>
              <w:rPr>
                <w:rFonts w:hint="eastAsia"/>
              </w:rPr>
              <w:t>工作距离</w:t>
            </w:r>
            <w:r>
              <w:t>=12.1mm</w:t>
            </w:r>
            <w:r>
              <w:rPr>
                <w:rFonts w:hint="eastAsia"/>
              </w:rPr>
              <w:t>，无限远平场复消色差物镜：</w:t>
            </w:r>
            <w:r>
              <w:t>10×</w:t>
            </w:r>
            <w:r>
              <w:rPr>
                <w:rFonts w:hint="eastAsia"/>
              </w:rPr>
              <w:t>工作距离</w:t>
            </w:r>
            <w:r>
              <w:t>=4.14mm</w:t>
            </w:r>
            <w:r>
              <w:rPr>
                <w:rFonts w:hint="eastAsia"/>
              </w:rPr>
              <w:t>，无限远平场复消色差物镜：</w:t>
            </w:r>
            <w:r>
              <w:t>40×</w:t>
            </w:r>
            <w:r>
              <w:rPr>
                <w:rFonts w:hint="eastAsia"/>
              </w:rPr>
              <w:t>/工作距离</w:t>
            </w:r>
            <w:r>
              <w:t>=2.8mm（高分辨率物镜，其长工作距离避免了误操作对物镜造成的损伤和污染）</w:t>
            </w:r>
            <w:r>
              <w:rPr>
                <w:rFonts w:hint="eastAsia"/>
              </w:rPr>
              <w:t>；无限远平场复消色差物镜：</w:t>
            </w:r>
            <w:r>
              <w:t>100×（弹，油</w:t>
            </w:r>
            <w:r>
              <w:rPr>
                <w:rFonts w:hint="eastAsia"/>
              </w:rPr>
              <w:t>，工作距离=</w:t>
            </w:r>
            <w:r>
              <w:t xml:space="preserve">0.19mm ； </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观察筒</w:t>
            </w:r>
            <w:r>
              <w:rPr>
                <w:rFonts w:hint="eastAsia"/>
              </w:rPr>
              <w:t>:</w:t>
            </w:r>
            <w:r>
              <w:tab/>
            </w:r>
            <w:r>
              <w:t>铰链式双目镜筒，30°倾斜，瞳距调节48mm～75mm</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物镜转换器</w:t>
            </w:r>
            <w:r>
              <w:rPr>
                <w:rFonts w:hint="eastAsia"/>
              </w:rPr>
              <w:t>:</w:t>
            </w:r>
            <w:r>
              <w:tab/>
            </w:r>
            <w:r>
              <w:t>内倾式内定位四孔转换器</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粗微调焦装置</w:t>
            </w:r>
            <w:r>
              <w:rPr>
                <w:rFonts w:hint="eastAsia"/>
              </w:rPr>
              <w:t>：</w:t>
            </w:r>
            <w:r>
              <w:tab/>
            </w:r>
            <w:r>
              <w:t>粗微同轴调焦，粗调行程25mm，微调每圈0.2mm，微调格值2µm，粗调带松紧调节，并有调焦上限位装置</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载物台</w:t>
            </w:r>
            <w:r>
              <w:rPr>
                <w:rFonts w:hint="eastAsia"/>
              </w:rPr>
              <w:t>：</w:t>
            </w:r>
            <w:r>
              <w:t>机械移动载物台，面积145 mm×140 mm，三角导轨,移动范围76 mm×52 mm，游标刻度0.1mm，双片夹结构</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聚光镜</w:t>
            </w:r>
            <w:r>
              <w:rPr>
                <w:rFonts w:hint="eastAsia"/>
              </w:rPr>
              <w:t>：</w:t>
            </w:r>
            <w:r>
              <w:t>阿贝式聚光镜，N.A.1.25，带可变光栏</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照明系统</w:t>
            </w:r>
            <w:r>
              <w:rPr>
                <w:rFonts w:hint="eastAsia"/>
              </w:rPr>
              <w:t>：</w:t>
            </w:r>
            <w:r>
              <w:t>非球面照明系统，为视场提供更均匀的照明，3W-LED冷光源照明系统（宽电压输入：100V～240V），可选6V/20w卤素灯照明系统（宽电压输入：100V～240V），亮度可调</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绕线装置</w:t>
            </w:r>
            <w:r>
              <w:rPr>
                <w:rFonts w:hint="eastAsia"/>
              </w:rPr>
              <w:t>：</w:t>
            </w:r>
            <w:r>
              <w:t>机身后部具有绕线装置设计，便于搬运及储藏</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t>物镜观察窗口</w:t>
            </w:r>
            <w:r>
              <w:rPr>
                <w:rFonts w:hint="eastAsia"/>
              </w:rPr>
              <w:t>：</w:t>
            </w:r>
            <w:r>
              <w:t>机身后部具有观察窗口，即使从后面也可看到物镜倍率变化</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878" w:type="dxa"/>
            <w:vMerge w:val="restart"/>
            <w:tcBorders>
              <w:tl2br w:val="nil"/>
              <w:tr2bl w:val="nil"/>
            </w:tcBorders>
            <w:vAlign w:val="center"/>
          </w:tcPr>
          <w:p>
            <w:pPr>
              <w:jc w:val="both"/>
            </w:pPr>
            <w:r>
              <w:rPr>
                <w:rFonts w:hint="eastAsia"/>
              </w:rPr>
              <w:t>（五）</w:t>
            </w:r>
          </w:p>
        </w:tc>
        <w:tc>
          <w:tcPr>
            <w:tcW w:w="1264" w:type="dxa"/>
            <w:vMerge w:val="restart"/>
            <w:tcBorders>
              <w:tl2br w:val="nil"/>
              <w:tr2bl w:val="nil"/>
            </w:tcBorders>
            <w:vAlign w:val="center"/>
          </w:tcPr>
          <w:p>
            <w:pPr>
              <w:jc w:val="both"/>
            </w:pPr>
            <w:r>
              <w:rPr>
                <w:rFonts w:hint="eastAsia"/>
              </w:rPr>
              <w:t>快速凝胶电泳仪</w:t>
            </w:r>
          </w:p>
        </w:tc>
        <w:tc>
          <w:tcPr>
            <w:tcW w:w="5625" w:type="dxa"/>
            <w:tcBorders>
              <w:tl2br w:val="nil"/>
              <w:tr2bl w:val="nil"/>
            </w:tcBorders>
          </w:tcPr>
          <w:p>
            <w:pPr>
              <w:jc w:val="both"/>
            </w:pPr>
            <w:r>
              <w:t>1.商品组成：</w:t>
            </w:r>
            <w:r>
              <w:rPr>
                <w:rFonts w:hint="eastAsia"/>
              </w:rPr>
              <w:t>快速凝胶电泳仪</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凝胶板规格（L × W）：≥170 × 140mm</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试样格：33 齿× 6，1.0mm 厚（标配）</w:t>
            </w:r>
          </w:p>
        </w:tc>
        <w:tc>
          <w:tcPr>
            <w:tcW w:w="1281"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878" w:type="dxa"/>
            <w:vMerge w:val="continue"/>
            <w:tcBorders>
              <w:tl2br w:val="nil"/>
              <w:tr2bl w:val="nil"/>
            </w:tcBorders>
            <w:vAlign w:val="center"/>
          </w:tcPr>
          <w:p>
            <w:pPr>
              <w:jc w:val="both"/>
            </w:pPr>
          </w:p>
        </w:tc>
        <w:tc>
          <w:tcPr>
            <w:tcW w:w="1264" w:type="dxa"/>
            <w:vMerge w:val="continue"/>
            <w:tcBorders>
              <w:tl2br w:val="nil"/>
              <w:tr2bl w:val="nil"/>
            </w:tcBorders>
            <w:vAlign w:val="center"/>
          </w:tcPr>
          <w:p>
            <w:pPr>
              <w:jc w:val="both"/>
            </w:pPr>
          </w:p>
        </w:tc>
        <w:tc>
          <w:tcPr>
            <w:tcW w:w="5625" w:type="dxa"/>
            <w:tcBorders>
              <w:tl2br w:val="nil"/>
              <w:tr2bl w:val="nil"/>
            </w:tcBorders>
          </w:tcPr>
          <w:p>
            <w:pPr>
              <w:jc w:val="both"/>
            </w:pPr>
            <w:r>
              <w:rPr>
                <w:rFonts w:hint="eastAsia"/>
              </w:rPr>
              <w:t>缓冲液总容量：≥200ml</w:t>
            </w:r>
          </w:p>
        </w:tc>
        <w:tc>
          <w:tcPr>
            <w:tcW w:w="1281" w:type="dxa"/>
            <w:tcBorders>
              <w:tl2br w:val="nil"/>
              <w:tr2bl w:val="nil"/>
            </w:tcBorders>
            <w:vAlign w:val="center"/>
          </w:tcPr>
          <w:p>
            <w:pPr>
              <w:jc w:val="both"/>
            </w:pPr>
          </w:p>
        </w:tc>
      </w:tr>
    </w:tbl>
    <w:p>
      <w:pPr>
        <w:pStyle w:val="13"/>
        <w:numPr>
          <w:ilvl w:val="0"/>
          <w:numId w:val="2"/>
        </w:numPr>
        <w:ind w:firstLineChars="0"/>
        <w:rPr>
          <w:rFonts w:hint="eastAsia" w:ascii="仿宋" w:hAnsi="仿宋" w:eastAsia="仿宋"/>
          <w:b/>
          <w:sz w:val="28"/>
          <w:szCs w:val="28"/>
        </w:rPr>
      </w:pPr>
      <w:r>
        <w:rPr>
          <w:rFonts w:hint="eastAsia" w:ascii="仿宋" w:hAnsi="仿宋" w:eastAsia="仿宋"/>
          <w:b/>
          <w:sz w:val="28"/>
          <w:szCs w:val="28"/>
        </w:rPr>
        <w:t>商品价格及售后服务</w:t>
      </w:r>
    </w:p>
    <w:p>
      <w:pPr>
        <w:pStyle w:val="13"/>
        <w:numPr>
          <w:ilvl w:val="0"/>
          <w:numId w:val="3"/>
        </w:numPr>
        <w:ind w:firstLineChars="0"/>
      </w:pPr>
      <w:r>
        <w:rPr>
          <w:rFonts w:hint="eastAsia"/>
        </w:rPr>
        <w:t>本采购项目属交钥匙工程项目，供应商报价含设备、运输（含装卸和吊装）、安装、调试培训等全部费用，采购方不再额外支付其他费用。</w:t>
      </w:r>
    </w:p>
    <w:p>
      <w:pPr>
        <w:pStyle w:val="13"/>
        <w:numPr>
          <w:ilvl w:val="0"/>
          <w:numId w:val="3"/>
        </w:numPr>
        <w:ind w:firstLineChars="0"/>
      </w:pPr>
      <w:r>
        <w:rPr>
          <w:rFonts w:hint="eastAsia" w:ascii="宋体" w:hAnsi="宋体" w:cs="宋体"/>
          <w:b/>
          <w:bCs/>
          <w:szCs w:val="24"/>
        </w:rPr>
        <w:t>质量保证期（或保修期）服务</w:t>
      </w:r>
      <w:r>
        <w:rPr>
          <w:rFonts w:hint="eastAsia" w:ascii="宋体" w:hAnsi="宋体" w:cs="宋体"/>
          <w:szCs w:val="24"/>
        </w:rPr>
        <w:t>：</w:t>
      </w:r>
      <w:r>
        <w:rPr>
          <w:rFonts w:hint="eastAsia"/>
        </w:rPr>
        <w:t>自合同签订生效，设备（或软件或服务）安装调试完毕并经甲方验收合格</w:t>
      </w:r>
      <w:r>
        <w:rPr>
          <w:rFonts w:hint="eastAsia"/>
          <w:color w:val="auto"/>
        </w:rPr>
        <w:t>之日起免费质保</w:t>
      </w:r>
      <w:r>
        <w:rPr>
          <w:rFonts w:hint="eastAsia"/>
          <w:color w:val="auto"/>
          <w:u w:val="single"/>
        </w:rPr>
        <w:t xml:space="preserve"> 1 </w:t>
      </w:r>
      <w:r>
        <w:rPr>
          <w:rFonts w:hint="eastAsia"/>
          <w:color w:val="auto"/>
        </w:rPr>
        <w:t>年，质保期内上门对损坏的设备（或软件）进行安装、升级、更换、调试，包括配件费、材料费、软件升级费、人工费等全部免费。质保期内被免费更换的零部件质量保证期再延续</w:t>
      </w:r>
      <w:r>
        <w:rPr>
          <w:rFonts w:hint="eastAsia"/>
          <w:color w:val="auto"/>
          <w:u w:val="single"/>
        </w:rPr>
        <w:t xml:space="preserve"> 6 个月</w:t>
      </w:r>
      <w:r>
        <w:rPr>
          <w:rFonts w:hint="eastAsia"/>
          <w:color w:val="auto"/>
        </w:rPr>
        <w:t>。服务响应时间2小时以内，维修人员需在接到维修电话后24小时内到达仪器现场，一般问题应在48小时内解决。重大问题或其它无法迅速解决的问题应在7天内解决或提出明确</w:t>
      </w:r>
      <w:r>
        <w:rPr>
          <w:rFonts w:hint="eastAsia"/>
        </w:rPr>
        <w:t>解决方案，并提供不间断的服务直到商品正常运行。</w:t>
      </w:r>
    </w:p>
    <w:p>
      <w:pPr>
        <w:pStyle w:val="13"/>
        <w:numPr>
          <w:ilvl w:val="0"/>
          <w:numId w:val="3"/>
        </w:numPr>
        <w:ind w:firstLineChars="0"/>
      </w:pPr>
      <w:r>
        <w:rPr>
          <w:rFonts w:hint="eastAsia"/>
        </w:rPr>
        <w:t xml:space="preserve">                                            </w:t>
      </w:r>
    </w:p>
    <w:p>
      <w:r>
        <w:rPr>
          <w:rFonts w:hint="eastAsia"/>
        </w:rPr>
        <w:t xml:space="preserve">                                                                                    </w:t>
      </w:r>
    </w:p>
    <w:p>
      <w:pPr>
        <w:pStyle w:val="13"/>
        <w:numPr>
          <w:ilvl w:val="0"/>
          <w:numId w:val="2"/>
        </w:numPr>
        <w:ind w:firstLineChars="0"/>
        <w:rPr>
          <w:rFonts w:hint="eastAsia" w:ascii="仿宋" w:hAnsi="仿宋" w:eastAsia="仿宋"/>
          <w:b/>
          <w:sz w:val="28"/>
          <w:szCs w:val="28"/>
        </w:rPr>
      </w:pPr>
      <w:r>
        <w:rPr>
          <w:rFonts w:hint="eastAsia" w:ascii="仿宋" w:hAnsi="仿宋" w:eastAsia="仿宋"/>
          <w:b/>
          <w:sz w:val="28"/>
          <w:szCs w:val="28"/>
        </w:rPr>
        <w:t>安装及交付时间</w:t>
      </w:r>
    </w:p>
    <w:p>
      <w:r>
        <w:rPr>
          <w:rFonts w:hint="eastAsia"/>
        </w:rPr>
        <w:t>交付和安装</w:t>
      </w:r>
      <w:r>
        <w:rPr>
          <w:rFonts w:hint="eastAsia"/>
          <w:color w:val="auto"/>
        </w:rPr>
        <w:t>时间为合同签订</w:t>
      </w:r>
      <w:r>
        <w:rPr>
          <w:rFonts w:hint="eastAsia"/>
          <w:color w:val="auto"/>
          <w:u w:val="single"/>
        </w:rPr>
        <w:t xml:space="preserve"> 10 </w:t>
      </w:r>
      <w:r>
        <w:rPr>
          <w:rFonts w:hint="eastAsia"/>
          <w:color w:val="auto"/>
        </w:rPr>
        <w:t>日之内。</w:t>
      </w:r>
    </w:p>
    <w:p>
      <w:pPr>
        <w:pStyle w:val="13"/>
        <w:numPr>
          <w:ilvl w:val="0"/>
          <w:numId w:val="2"/>
        </w:numPr>
        <w:ind w:firstLineChars="0"/>
        <w:rPr>
          <w:rFonts w:hint="eastAsia" w:ascii="仿宋" w:hAnsi="仿宋" w:eastAsia="仿宋"/>
          <w:b/>
          <w:sz w:val="28"/>
          <w:szCs w:val="28"/>
        </w:rPr>
      </w:pPr>
      <w:r>
        <w:rPr>
          <w:rFonts w:hint="eastAsia" w:ascii="仿宋" w:hAnsi="仿宋" w:eastAsia="仿宋"/>
          <w:b/>
          <w:sz w:val="28"/>
          <w:szCs w:val="28"/>
        </w:rPr>
        <w:t>付款方式和要求</w:t>
      </w:r>
    </w:p>
    <w:p>
      <w:pPr>
        <w:rPr>
          <w:color w:val="FF0000"/>
        </w:rPr>
      </w:pPr>
      <w:r>
        <w:rPr>
          <w:rFonts w:hint="eastAsia"/>
        </w:rPr>
        <w:t>在项目验收合格后一次性全额支付货款。</w:t>
      </w:r>
    </w:p>
    <w:p>
      <w:pPr>
        <w:pStyle w:val="13"/>
        <w:numPr>
          <w:ilvl w:val="0"/>
          <w:numId w:val="2"/>
        </w:numPr>
        <w:ind w:firstLineChars="0"/>
        <w:rPr>
          <w:rFonts w:hint="eastAsia" w:ascii="仿宋" w:hAnsi="仿宋" w:eastAsia="仿宋"/>
          <w:b/>
          <w:sz w:val="28"/>
          <w:szCs w:val="28"/>
        </w:rPr>
      </w:pPr>
      <w:r>
        <w:rPr>
          <w:rFonts w:hint="eastAsia" w:ascii="仿宋" w:hAnsi="仿宋" w:eastAsia="仿宋"/>
          <w:b/>
          <w:sz w:val="28"/>
          <w:szCs w:val="28"/>
        </w:rPr>
        <w:t>其他事项</w:t>
      </w:r>
    </w:p>
    <w:p>
      <w:pPr>
        <w:pStyle w:val="13"/>
        <w:adjustRightInd w:val="0"/>
        <w:snapToGrid w:val="0"/>
        <w:spacing w:before="156" w:beforeLines="50"/>
        <w:ind w:firstLine="0" w:firstLineChars="0"/>
      </w:pP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pPr>
        <w:pStyle w:val="3"/>
        <w:rPr>
          <w:u w:val="single"/>
        </w:rPr>
      </w:pPr>
      <w:r>
        <w:rPr>
          <w:rFonts w:hint="eastAsia"/>
          <w:u w:val="single"/>
        </w:rPr>
        <w:t xml:space="preserve">                                                                                    </w:t>
      </w:r>
    </w:p>
    <w:p>
      <w:pPr>
        <w:pStyle w:val="3"/>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
        <w:rPr>
          <w:u w:val="single"/>
        </w:rPr>
      </w:pPr>
      <w:r>
        <w:rPr>
          <w:rFonts w:hint="eastAsia"/>
          <w:u w:val="single"/>
        </w:rPr>
        <w:t xml:space="preserve">                                                                                    </w:t>
      </w:r>
    </w:p>
    <w:p>
      <w:pPr>
        <w:pStyle w:val="13"/>
        <w:numPr>
          <w:ilvl w:val="0"/>
          <w:numId w:val="2"/>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pPr>
        <w:pStyle w:val="3"/>
        <w:ind w:firstLine="24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4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4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40" w:firstLineChars="100"/>
        <w:rPr>
          <w:rFonts w:hint="eastAsia" w:eastAsiaTheme="minorEastAsia"/>
          <w:color w:val="FF0000"/>
          <w:u w:val="single"/>
          <w:lang w:eastAsia="zh-CN"/>
        </w:rPr>
      </w:pPr>
      <w:r>
        <w:rPr>
          <w:rFonts w:hint="eastAsia"/>
        </w:rPr>
        <w:t>4．</w:t>
      </w:r>
      <w:r>
        <w:rPr>
          <w:rFonts w:hint="eastAsia"/>
          <w:color w:val="auto"/>
          <w:u w:val="single"/>
          <w:lang w:val="en-US" w:eastAsia="zh-CN"/>
        </w:rPr>
        <w:t>报价产品的支撑彩页截图（相关材料加盖报价企业公章）。</w:t>
      </w:r>
      <w:r>
        <w:rPr>
          <w:rFonts w:hint="eastAsia"/>
          <w:color w:val="FF0000"/>
          <w:u w:val="single"/>
        </w:rPr>
        <w:t>彩页需</w:t>
      </w:r>
      <w:r>
        <w:rPr>
          <w:rFonts w:hint="eastAsia"/>
          <w:color w:val="FF0000"/>
          <w:u w:val="single"/>
          <w:lang w:val="en-US" w:eastAsia="zh-CN"/>
        </w:rPr>
        <w:t>含货物实照、官网（或官方宣传册）的对应参数截图等</w:t>
      </w:r>
      <w:r>
        <w:rPr>
          <w:rFonts w:hint="eastAsia"/>
          <w:color w:val="FF0000"/>
          <w:u w:val="single"/>
          <w:lang w:eastAsia="zh-CN"/>
        </w:rPr>
        <w:t>，</w:t>
      </w:r>
      <w:r>
        <w:rPr>
          <w:rFonts w:hint="eastAsia"/>
          <w:color w:val="FF0000"/>
          <w:u w:val="single"/>
          <w:lang w:val="en-US" w:eastAsia="zh-CN"/>
        </w:rPr>
        <w:t>参数截图需含有本文件的各响应</w:t>
      </w:r>
      <w:r>
        <w:rPr>
          <w:rFonts w:hint="eastAsia"/>
          <w:color w:val="FF0000"/>
          <w:u w:val="single"/>
        </w:rPr>
        <w:t>技术</w:t>
      </w:r>
      <w:r>
        <w:rPr>
          <w:rFonts w:hint="eastAsia"/>
          <w:color w:val="FF0000"/>
          <w:u w:val="single"/>
          <w:lang w:val="en-US" w:eastAsia="zh-CN"/>
        </w:rPr>
        <w:t>参数并保持一致</w:t>
      </w:r>
      <w:r>
        <w:rPr>
          <w:rFonts w:hint="eastAsia"/>
          <w:color w:val="FF0000"/>
          <w:u w:val="singl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b/>
          <w:bCs/>
          <w:lang w:val="en-US" w:eastAsia="zh-CN"/>
        </w:rPr>
      </w:pPr>
      <w:r>
        <w:rPr>
          <w:rFonts w:hint="eastAsia"/>
          <w:b/>
          <w:bCs/>
          <w:lang w:val="en-US" w:eastAsia="zh-CN"/>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12" w:lineRule="auto"/>
        <w:ind w:firstLine="480" w:firstLineChars="200"/>
        <w:rPr>
          <w:rFonts w:asciiTheme="minorEastAsia" w:hAnsiTheme="minorEastAsia"/>
          <w:sz w:val="24"/>
          <w:szCs w:val="24"/>
        </w:rPr>
      </w:pP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报价</w:t>
      </w:r>
      <w:r>
        <w:rPr>
          <w:rFonts w:hint="eastAsia" w:asciiTheme="minorEastAsia" w:hAnsiTheme="minorEastAsia"/>
          <w:sz w:val="24"/>
          <w:szCs w:val="24"/>
          <w:lang w:val="en-US" w:eastAsia="zh-CN"/>
        </w:rPr>
        <w:t>单位</w:t>
      </w:r>
      <w:r>
        <w:rPr>
          <w:rFonts w:hint="eastAsia" w:asciiTheme="minorEastAsia" w:hAnsiTheme="minorEastAsia"/>
          <w:sz w:val="24"/>
          <w:szCs w:val="24"/>
        </w:rPr>
        <w:t xml:space="preserve">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spacing w:line="312" w:lineRule="auto"/>
        <w:ind w:firstLine="480" w:firstLineChars="200"/>
        <w:jc w:val="right"/>
        <w:rPr>
          <w:rFonts w:asciiTheme="minorEastAsia" w:hAnsiTheme="minorEastAsia"/>
          <w:sz w:val="24"/>
          <w:szCs w:val="24"/>
        </w:rPr>
      </w:pPr>
    </w:p>
    <w:p>
      <w:pPr>
        <w:pStyle w:val="3"/>
        <w:widowControl/>
        <w:spacing w:line="312" w:lineRule="auto"/>
        <w:ind w:firstLine="480" w:firstLineChars="200"/>
        <w:jc w:val="right"/>
        <w:rPr>
          <w:rFonts w:hint="eastAsia" w:asciiTheme="minorEastAsia" w:hAnsiTheme="minorEastAsia"/>
          <w:sz w:val="24"/>
          <w:szCs w:val="24"/>
        </w:rPr>
      </w:pPr>
    </w:p>
    <w:p>
      <w:pPr>
        <w:pStyle w:val="3"/>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pPr>
        <w:pStyle w:val="3"/>
      </w:pPr>
    </w:p>
    <w:sectPr>
      <w:pgSz w:w="11906" w:h="16838"/>
      <w:pgMar w:top="1270" w:right="1304" w:bottom="1270"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64586829">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20D63EA7">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D63EA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YzY3YzA5NDFhOTBlOGU5ZDEwNGI5MzgzN2MxNGEifQ=="/>
  </w:docVars>
  <w:rsids>
    <w:rsidRoot w:val="3E0B438D"/>
    <w:rsid w:val="00013BCD"/>
    <w:rsid w:val="0007404D"/>
    <w:rsid w:val="000926AD"/>
    <w:rsid w:val="000A00B6"/>
    <w:rsid w:val="000B3643"/>
    <w:rsid w:val="000C04B8"/>
    <w:rsid w:val="000D33AB"/>
    <w:rsid w:val="000E15C7"/>
    <w:rsid w:val="000E7AD2"/>
    <w:rsid w:val="00107309"/>
    <w:rsid w:val="00115035"/>
    <w:rsid w:val="00127DA5"/>
    <w:rsid w:val="00142D54"/>
    <w:rsid w:val="00154668"/>
    <w:rsid w:val="00174CCA"/>
    <w:rsid w:val="00177A63"/>
    <w:rsid w:val="001A78E5"/>
    <w:rsid w:val="001C79B3"/>
    <w:rsid w:val="00215889"/>
    <w:rsid w:val="00216FBF"/>
    <w:rsid w:val="002822FC"/>
    <w:rsid w:val="00292BF6"/>
    <w:rsid w:val="002A028A"/>
    <w:rsid w:val="002B70A6"/>
    <w:rsid w:val="002C4701"/>
    <w:rsid w:val="002C5DAA"/>
    <w:rsid w:val="002D4F72"/>
    <w:rsid w:val="002D7FCC"/>
    <w:rsid w:val="003069D8"/>
    <w:rsid w:val="003371FE"/>
    <w:rsid w:val="00343F05"/>
    <w:rsid w:val="003854F8"/>
    <w:rsid w:val="003A14A0"/>
    <w:rsid w:val="003A1F87"/>
    <w:rsid w:val="003A32BC"/>
    <w:rsid w:val="003D2287"/>
    <w:rsid w:val="003F380E"/>
    <w:rsid w:val="003F7E2F"/>
    <w:rsid w:val="00402856"/>
    <w:rsid w:val="00424FC6"/>
    <w:rsid w:val="00425D53"/>
    <w:rsid w:val="00431DD2"/>
    <w:rsid w:val="00455D14"/>
    <w:rsid w:val="00475C1E"/>
    <w:rsid w:val="004A486E"/>
    <w:rsid w:val="004B5427"/>
    <w:rsid w:val="004D52A9"/>
    <w:rsid w:val="00510023"/>
    <w:rsid w:val="0051141C"/>
    <w:rsid w:val="00537A85"/>
    <w:rsid w:val="005605F2"/>
    <w:rsid w:val="005944AF"/>
    <w:rsid w:val="005B6565"/>
    <w:rsid w:val="005C52F7"/>
    <w:rsid w:val="005C61E5"/>
    <w:rsid w:val="005D09A0"/>
    <w:rsid w:val="00625EEE"/>
    <w:rsid w:val="0066648A"/>
    <w:rsid w:val="006C4D6D"/>
    <w:rsid w:val="006F34A6"/>
    <w:rsid w:val="00732AA4"/>
    <w:rsid w:val="0074421B"/>
    <w:rsid w:val="00772C4F"/>
    <w:rsid w:val="007B13E7"/>
    <w:rsid w:val="007F527F"/>
    <w:rsid w:val="007F5CD0"/>
    <w:rsid w:val="008369C9"/>
    <w:rsid w:val="00863D8C"/>
    <w:rsid w:val="008672B3"/>
    <w:rsid w:val="008845E4"/>
    <w:rsid w:val="008A0514"/>
    <w:rsid w:val="008E2B62"/>
    <w:rsid w:val="008E3139"/>
    <w:rsid w:val="008E4279"/>
    <w:rsid w:val="0092025F"/>
    <w:rsid w:val="00921FC0"/>
    <w:rsid w:val="009274A2"/>
    <w:rsid w:val="00934B7B"/>
    <w:rsid w:val="00942023"/>
    <w:rsid w:val="00943A3F"/>
    <w:rsid w:val="00954D57"/>
    <w:rsid w:val="009615A7"/>
    <w:rsid w:val="00967FF6"/>
    <w:rsid w:val="009861AC"/>
    <w:rsid w:val="00994A03"/>
    <w:rsid w:val="009A3723"/>
    <w:rsid w:val="009A5409"/>
    <w:rsid w:val="009E67EF"/>
    <w:rsid w:val="009F0FF0"/>
    <w:rsid w:val="009F23EA"/>
    <w:rsid w:val="00A0052E"/>
    <w:rsid w:val="00A1434F"/>
    <w:rsid w:val="00A20048"/>
    <w:rsid w:val="00A3413C"/>
    <w:rsid w:val="00A713B3"/>
    <w:rsid w:val="00AA16E2"/>
    <w:rsid w:val="00AC05EC"/>
    <w:rsid w:val="00B04DEF"/>
    <w:rsid w:val="00B064E9"/>
    <w:rsid w:val="00B272C3"/>
    <w:rsid w:val="00B429A4"/>
    <w:rsid w:val="00B61428"/>
    <w:rsid w:val="00B976A7"/>
    <w:rsid w:val="00BA2EB2"/>
    <w:rsid w:val="00BB5907"/>
    <w:rsid w:val="00BD0551"/>
    <w:rsid w:val="00BD266E"/>
    <w:rsid w:val="00BE0C4A"/>
    <w:rsid w:val="00BE1297"/>
    <w:rsid w:val="00BE6DAA"/>
    <w:rsid w:val="00BF0D9C"/>
    <w:rsid w:val="00C05384"/>
    <w:rsid w:val="00C056C7"/>
    <w:rsid w:val="00C274D2"/>
    <w:rsid w:val="00CB53E1"/>
    <w:rsid w:val="00CC6FC9"/>
    <w:rsid w:val="00CF6781"/>
    <w:rsid w:val="00D36877"/>
    <w:rsid w:val="00D463DE"/>
    <w:rsid w:val="00DB3025"/>
    <w:rsid w:val="00DD0065"/>
    <w:rsid w:val="00DF2C0A"/>
    <w:rsid w:val="00DF4B4F"/>
    <w:rsid w:val="00E15B55"/>
    <w:rsid w:val="00E70775"/>
    <w:rsid w:val="00EA7C80"/>
    <w:rsid w:val="00EF06A5"/>
    <w:rsid w:val="00F21C61"/>
    <w:rsid w:val="00F336AD"/>
    <w:rsid w:val="00F87D41"/>
    <w:rsid w:val="00FB637C"/>
    <w:rsid w:val="00FC017D"/>
    <w:rsid w:val="00FC6FD4"/>
    <w:rsid w:val="00FD20EA"/>
    <w:rsid w:val="00FD64E1"/>
    <w:rsid w:val="00FE70B6"/>
    <w:rsid w:val="00FF0799"/>
    <w:rsid w:val="00FF0E7D"/>
    <w:rsid w:val="00FF3B70"/>
    <w:rsid w:val="0EC276C6"/>
    <w:rsid w:val="125A6F14"/>
    <w:rsid w:val="1CDD28FB"/>
    <w:rsid w:val="1E0C26DC"/>
    <w:rsid w:val="2905136B"/>
    <w:rsid w:val="3C08498D"/>
    <w:rsid w:val="3E0B438D"/>
    <w:rsid w:val="4CCB5B0A"/>
    <w:rsid w:val="4DED65FB"/>
    <w:rsid w:val="53193986"/>
    <w:rsid w:val="6F235595"/>
    <w:rsid w:val="7556504A"/>
    <w:rsid w:val="7DC5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仿宋_GB2312" w:hAnsi="仿宋_GB2312" w:eastAsia="仿宋_GB2312" w:cs="仿宋_GB2312"/>
      <w:sz w:val="24"/>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8"/>
    <w:qFormat/>
    <w:uiPriority w:val="0"/>
    <w:pPr>
      <w:spacing w:after="120"/>
    </w:pPr>
  </w:style>
  <w:style w:type="paragraph" w:styleId="4">
    <w:name w:val="Balloon Text"/>
    <w:basedOn w:val="1"/>
    <w:link w:val="19"/>
    <w:uiPriority w:val="0"/>
    <w:rPr>
      <w:sz w:val="18"/>
      <w:szCs w:val="18"/>
    </w:rPr>
  </w:style>
  <w:style w:type="paragraph" w:styleId="5">
    <w:name w:val="footer"/>
    <w:basedOn w:val="1"/>
    <w:link w:val="16"/>
    <w:qFormat/>
    <w:uiPriority w:val="0"/>
    <w:pPr>
      <w:tabs>
        <w:tab w:val="center" w:pos="4153"/>
        <w:tab w:val="right" w:pos="8306"/>
      </w:tabs>
      <w:snapToGrid w:val="0"/>
    </w:pPr>
    <w:rPr>
      <w:sz w:val="18"/>
      <w:szCs w:val="18"/>
    </w:rPr>
  </w:style>
  <w:style w:type="paragraph" w:styleId="6">
    <w:name w:val="header"/>
    <w:basedOn w:val="1"/>
    <w:link w:val="15"/>
    <w:uiPriority w:val="0"/>
    <w:pPr>
      <w:tabs>
        <w:tab w:val="center" w:pos="4153"/>
        <w:tab w:val="right" w:pos="8306"/>
      </w:tabs>
      <w:snapToGrid w:val="0"/>
    </w:pPr>
    <w:rPr>
      <w:sz w:val="18"/>
      <w:szCs w:val="18"/>
    </w:rPr>
  </w:style>
  <w:style w:type="paragraph" w:styleId="7">
    <w:name w:val="Normal (Web)"/>
    <w:basedOn w:val="1"/>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text_twnd7"/>
    <w:basedOn w:val="10"/>
    <w:qFormat/>
    <w:uiPriority w:val="0"/>
  </w:style>
  <w:style w:type="character" w:customStyle="1" w:styleId="15">
    <w:name w:val="页眉 字符"/>
    <w:basedOn w:val="10"/>
    <w:link w:val="6"/>
    <w:qFormat/>
    <w:uiPriority w:val="0"/>
    <w:rPr>
      <w:rFonts w:ascii="Times New Roman" w:hAnsi="Times New Roman" w:eastAsia="宋体" w:cs="Times New Roman"/>
      <w:sz w:val="18"/>
      <w:szCs w:val="18"/>
    </w:rPr>
  </w:style>
  <w:style w:type="character" w:customStyle="1" w:styleId="16">
    <w:name w:val="页脚 字符"/>
    <w:basedOn w:val="10"/>
    <w:link w:val="5"/>
    <w:qFormat/>
    <w:uiPriority w:val="0"/>
    <w:rPr>
      <w:rFonts w:ascii="Times New Roman" w:hAnsi="Times New Roman" w:eastAsia="宋体" w:cs="Times New Roman"/>
      <w:sz w:val="18"/>
      <w:szCs w:val="18"/>
    </w:rPr>
  </w:style>
  <w:style w:type="character" w:customStyle="1" w:styleId="17">
    <w:name w:val="ql-font-simsun"/>
    <w:basedOn w:val="10"/>
    <w:qFormat/>
    <w:uiPriority w:val="0"/>
  </w:style>
  <w:style w:type="character" w:customStyle="1" w:styleId="18">
    <w:name w:val="正文文本 字符"/>
    <w:link w:val="3"/>
    <w:qFormat/>
    <w:uiPriority w:val="0"/>
    <w:rPr>
      <w:rFonts w:ascii="Times New Roman" w:hAnsi="Times New Roman" w:eastAsia="宋体" w:cs="Times New Roman"/>
      <w:sz w:val="21"/>
      <w:szCs w:val="21"/>
    </w:rPr>
  </w:style>
  <w:style w:type="character" w:customStyle="1" w:styleId="19">
    <w:name w:val="批注框文本 字符"/>
    <w:basedOn w:val="10"/>
    <w:link w:val="4"/>
    <w:qFormat/>
    <w:uiPriority w:val="0"/>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3257</Words>
  <Characters>3762</Characters>
  <Lines>14</Lines>
  <Paragraphs>9</Paragraphs>
  <TotalTime>1</TotalTime>
  <ScaleCrop>false</ScaleCrop>
  <LinksUpToDate>false</LinksUpToDate>
  <CharactersWithSpaces>4393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2024-11-11T13:50:00Z</dcterms:created>
  <dc:creator>..</dc:creator>
  <cp:lastModifiedBy>无风</cp:lastModifiedBy>
  <cp:lastPrinted>2024-11-12T00:58:00Z</cp:lastPrinted>
  <dcterms:modified xsi:type="dcterms:W3CDTF">2024-11-26T00:30:19Z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A645435BABEC4D5EBDA906CBE10B3AC0_13</vt:lpwstr>
  </property>
</Properties>
</file>