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bookmarkStart w:id="3" w:name="_GoBack"/>
      <w:bookmarkEnd w:id="3"/>
    </w:p>
    <w:p>
      <w:pPr>
        <w:jc w:val="both"/>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浙江海洋大学水产学院</w:t>
      </w:r>
      <w:r>
        <w:rPr>
          <w:rFonts w:hint="eastAsia" w:ascii="宋体" w:hAnsi="宋体" w:eastAsia="宋体" w:cs="宋体"/>
          <w:b/>
          <w:sz w:val="72"/>
          <w:szCs w:val="72"/>
          <w:lang w:val="en-US" w:eastAsia="zh-CN"/>
        </w:rPr>
        <w:t>专用仪器设备采购</w:t>
      </w:r>
      <w:r>
        <w:rPr>
          <w:rFonts w:hint="eastAsia" w:ascii="宋体" w:hAnsi="宋体" w:eastAsia="宋体" w:cs="宋体"/>
          <w:b/>
          <w:sz w:val="72"/>
          <w:szCs w:val="72"/>
        </w:rPr>
        <w:t>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2"/>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t>刘</w:t>
      </w:r>
      <w:r>
        <w:rPr>
          <w:rFonts w:hint="eastAsia"/>
          <w:lang w:val="en-US" w:eastAsia="zh-CN"/>
        </w:rPr>
        <w:t>老师</w:t>
      </w:r>
      <w:r>
        <w:t>13770922204</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8"/>
        <w:tblW w:w="91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778"/>
        <w:gridCol w:w="2055"/>
        <w:gridCol w:w="1491"/>
        <w:gridCol w:w="1350"/>
        <w:gridCol w:w="14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97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77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05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49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35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49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w:t>
            </w:r>
          </w:p>
        </w:tc>
        <w:tc>
          <w:tcPr>
            <w:tcW w:w="1778"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全项目多参数水质检测仪</w:t>
            </w:r>
          </w:p>
        </w:tc>
        <w:tc>
          <w:tcPr>
            <w:tcW w:w="2055" w:type="dxa"/>
            <w:tcBorders>
              <w:tl2br w:val="nil"/>
              <w:tr2bl w:val="nil"/>
            </w:tcBorders>
            <w:vAlign w:val="center"/>
          </w:tcPr>
          <w:p>
            <w:pPr>
              <w:jc w:val="left"/>
              <w:rPr>
                <w:rFonts w:ascii="Times New Roman" w:hAnsi="Times New Roman" w:eastAsia="宋体" w:cs="Times New Roman"/>
                <w:kern w:val="0"/>
                <w:szCs w:val="21"/>
              </w:rPr>
            </w:pPr>
          </w:p>
        </w:tc>
        <w:tc>
          <w:tcPr>
            <w:tcW w:w="1491"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350" w:type="dxa"/>
            <w:tcBorders>
              <w:tl2br w:val="nil"/>
              <w:tr2bl w:val="nil"/>
            </w:tcBorders>
            <w:vAlign w:val="center"/>
          </w:tcPr>
          <w:p>
            <w:pPr>
              <w:jc w:val="center"/>
              <w:rPr>
                <w:rFonts w:hint="eastAsia" w:ascii="Times New Roman" w:hAnsi="Times New Roman" w:eastAsia="宋体" w:cs="Times New Roman"/>
                <w:kern w:val="0"/>
                <w:sz w:val="20"/>
                <w:szCs w:val="21"/>
                <w:lang w:eastAsia="zh-CN"/>
              </w:rPr>
            </w:pPr>
          </w:p>
        </w:tc>
        <w:tc>
          <w:tcPr>
            <w:tcW w:w="1495"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（二）</w:t>
            </w:r>
          </w:p>
        </w:tc>
        <w:tc>
          <w:tcPr>
            <w:tcW w:w="1778"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激光打标机</w:t>
            </w:r>
          </w:p>
        </w:tc>
        <w:tc>
          <w:tcPr>
            <w:tcW w:w="2055" w:type="dxa"/>
            <w:tcBorders>
              <w:tl2br w:val="nil"/>
              <w:tr2bl w:val="nil"/>
            </w:tcBorders>
            <w:vAlign w:val="center"/>
          </w:tcPr>
          <w:p>
            <w:pPr>
              <w:jc w:val="left"/>
              <w:rPr>
                <w:rFonts w:ascii="Times New Roman" w:hAnsi="Times New Roman" w:eastAsia="宋体" w:cs="Times New Roman"/>
                <w:kern w:val="0"/>
                <w:szCs w:val="21"/>
              </w:rPr>
            </w:pPr>
          </w:p>
        </w:tc>
        <w:tc>
          <w:tcPr>
            <w:tcW w:w="149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350" w:type="dxa"/>
            <w:tcBorders>
              <w:tl2br w:val="nil"/>
              <w:tr2bl w:val="nil"/>
            </w:tcBorders>
            <w:vAlign w:val="center"/>
          </w:tcPr>
          <w:p>
            <w:pPr>
              <w:jc w:val="center"/>
              <w:rPr>
                <w:rFonts w:ascii="Times New Roman" w:hAnsi="Times New Roman" w:eastAsia="宋体" w:cs="Times New Roman"/>
                <w:kern w:val="0"/>
                <w:sz w:val="20"/>
                <w:szCs w:val="21"/>
              </w:rPr>
            </w:pPr>
          </w:p>
        </w:tc>
        <w:tc>
          <w:tcPr>
            <w:tcW w:w="1495"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w:t>
            </w:r>
          </w:p>
        </w:tc>
        <w:tc>
          <w:tcPr>
            <w:tcW w:w="1778"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体式显微镜</w:t>
            </w:r>
          </w:p>
        </w:tc>
        <w:tc>
          <w:tcPr>
            <w:tcW w:w="2055" w:type="dxa"/>
            <w:tcBorders>
              <w:tl2br w:val="nil"/>
              <w:tr2bl w:val="nil"/>
            </w:tcBorders>
            <w:vAlign w:val="center"/>
          </w:tcPr>
          <w:p>
            <w:pPr>
              <w:jc w:val="left"/>
              <w:rPr>
                <w:rFonts w:ascii="Times New Roman" w:hAnsi="Times New Roman" w:eastAsia="宋体" w:cs="Times New Roman"/>
                <w:kern w:val="0"/>
                <w:szCs w:val="21"/>
              </w:rPr>
            </w:pPr>
          </w:p>
        </w:tc>
        <w:tc>
          <w:tcPr>
            <w:tcW w:w="149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350" w:type="dxa"/>
            <w:tcBorders>
              <w:tl2br w:val="nil"/>
              <w:tr2bl w:val="nil"/>
            </w:tcBorders>
            <w:vAlign w:val="center"/>
          </w:tcPr>
          <w:p>
            <w:pPr>
              <w:jc w:val="center"/>
              <w:rPr>
                <w:rFonts w:ascii="Times New Roman" w:hAnsi="Times New Roman" w:eastAsia="宋体" w:cs="Times New Roman"/>
                <w:kern w:val="0"/>
                <w:sz w:val="20"/>
                <w:szCs w:val="21"/>
              </w:rPr>
            </w:pPr>
          </w:p>
        </w:tc>
        <w:tc>
          <w:tcPr>
            <w:tcW w:w="1495"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（四）</w:t>
            </w:r>
          </w:p>
        </w:tc>
        <w:tc>
          <w:tcPr>
            <w:tcW w:w="1778"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正置金相显微镜</w:t>
            </w:r>
          </w:p>
        </w:tc>
        <w:tc>
          <w:tcPr>
            <w:tcW w:w="2055" w:type="dxa"/>
            <w:tcBorders>
              <w:tl2br w:val="nil"/>
              <w:tr2bl w:val="nil"/>
            </w:tcBorders>
            <w:vAlign w:val="center"/>
          </w:tcPr>
          <w:p>
            <w:pPr>
              <w:jc w:val="left"/>
              <w:rPr>
                <w:rFonts w:ascii="Times New Roman" w:hAnsi="Times New Roman" w:eastAsia="宋体" w:cs="Times New Roman"/>
                <w:kern w:val="0"/>
                <w:szCs w:val="21"/>
              </w:rPr>
            </w:pPr>
          </w:p>
        </w:tc>
        <w:tc>
          <w:tcPr>
            <w:tcW w:w="149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350" w:type="dxa"/>
            <w:tcBorders>
              <w:tl2br w:val="nil"/>
              <w:tr2bl w:val="nil"/>
            </w:tcBorders>
            <w:vAlign w:val="center"/>
          </w:tcPr>
          <w:p>
            <w:pPr>
              <w:jc w:val="center"/>
              <w:rPr>
                <w:rFonts w:ascii="Times New Roman" w:hAnsi="Times New Roman" w:eastAsia="宋体" w:cs="Times New Roman"/>
                <w:kern w:val="0"/>
                <w:sz w:val="20"/>
                <w:szCs w:val="21"/>
              </w:rPr>
            </w:pPr>
          </w:p>
        </w:tc>
        <w:tc>
          <w:tcPr>
            <w:tcW w:w="1495"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仿宋" w:hAnsi="仿宋" w:eastAsia="仿宋" w:cs="仿宋"/>
                <w:kern w:val="0"/>
                <w:sz w:val="24"/>
                <w:szCs w:val="24"/>
              </w:rPr>
              <w:t>（五）</w:t>
            </w:r>
          </w:p>
        </w:tc>
        <w:tc>
          <w:tcPr>
            <w:tcW w:w="1778" w:type="dxa"/>
            <w:tcBorders>
              <w:tl2br w:val="nil"/>
              <w:tr2bl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倒置荧光显微镜</w:t>
            </w:r>
          </w:p>
        </w:tc>
        <w:tc>
          <w:tcPr>
            <w:tcW w:w="2055" w:type="dxa"/>
            <w:tcBorders>
              <w:tl2br w:val="nil"/>
              <w:tr2bl w:val="nil"/>
            </w:tcBorders>
            <w:vAlign w:val="center"/>
          </w:tcPr>
          <w:p>
            <w:pPr>
              <w:jc w:val="left"/>
              <w:rPr>
                <w:rFonts w:ascii="Times New Roman" w:hAnsi="Times New Roman" w:eastAsia="宋体" w:cs="Times New Roman"/>
                <w:kern w:val="0"/>
                <w:szCs w:val="21"/>
              </w:rPr>
            </w:pPr>
          </w:p>
        </w:tc>
        <w:tc>
          <w:tcPr>
            <w:tcW w:w="149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套</w:t>
            </w:r>
          </w:p>
        </w:tc>
        <w:tc>
          <w:tcPr>
            <w:tcW w:w="1350" w:type="dxa"/>
            <w:tcBorders>
              <w:tl2br w:val="nil"/>
              <w:tr2bl w:val="nil"/>
            </w:tcBorders>
            <w:vAlign w:val="center"/>
          </w:tcPr>
          <w:p>
            <w:pPr>
              <w:jc w:val="center"/>
              <w:rPr>
                <w:rFonts w:ascii="Times New Roman" w:hAnsi="Times New Roman" w:eastAsia="宋体" w:cs="Times New Roman"/>
                <w:kern w:val="0"/>
                <w:sz w:val="20"/>
                <w:szCs w:val="21"/>
              </w:rPr>
            </w:pPr>
          </w:p>
        </w:tc>
        <w:tc>
          <w:tcPr>
            <w:tcW w:w="1495"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47" w:type="dxa"/>
            <w:gridSpan w:val="6"/>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5"/>
        <w:numPr>
          <w:ilvl w:val="0"/>
          <w:numId w:val="2"/>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9"/>
        <w:tblW w:w="91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05"/>
        <w:gridCol w:w="5718"/>
        <w:gridCol w:w="1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857"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30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71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267"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vMerge w:val="restart"/>
            <w:tcBorders>
              <w:tl2br w:val="nil"/>
              <w:tr2bl w:val="nil"/>
            </w:tcBorders>
            <w:vAlign w:val="center"/>
          </w:tcPr>
          <w:p>
            <w:pPr>
              <w:jc w:val="center"/>
              <w:rPr>
                <w:rFonts w:ascii="仿宋" w:hAnsi="仿宋" w:eastAsia="仿宋" w:cs="仿宋"/>
                <w:kern w:val="0"/>
                <w:sz w:val="24"/>
                <w:szCs w:val="24"/>
              </w:rPr>
            </w:pPr>
            <w:bookmarkStart w:id="0" w:name="OLE_LINK2"/>
            <w:r>
              <w:rPr>
                <w:rFonts w:hint="eastAsia" w:ascii="仿宋" w:hAnsi="仿宋" w:eastAsia="仿宋" w:cs="仿宋"/>
                <w:kern w:val="0"/>
                <w:sz w:val="24"/>
                <w:szCs w:val="24"/>
              </w:rPr>
              <w:t>（一）</w:t>
            </w:r>
            <w:bookmarkEnd w:id="0"/>
          </w:p>
        </w:tc>
        <w:tc>
          <w:tcPr>
            <w:tcW w:w="1305" w:type="dxa"/>
            <w:vMerge w:val="restart"/>
            <w:tcBorders>
              <w:tl2br w:val="nil"/>
              <w:tr2bl w:val="nil"/>
            </w:tcBorders>
            <w:vAlign w:val="center"/>
          </w:tcPr>
          <w:p>
            <w:pPr>
              <w:rPr>
                <w:rFonts w:ascii="仿宋" w:hAnsi="仿宋" w:eastAsia="仿宋" w:cs="仿宋"/>
                <w:kern w:val="0"/>
                <w:sz w:val="24"/>
                <w:szCs w:val="24"/>
              </w:rPr>
            </w:pPr>
            <w:r>
              <w:rPr>
                <w:rFonts w:hint="eastAsia" w:ascii="仿宋_GB2312" w:hAnsi="仿宋_GB2312" w:eastAsia="仿宋_GB2312" w:cs="仿宋_GB2312"/>
                <w:sz w:val="24"/>
              </w:rPr>
              <w:t>全项目多参数水质检测仪</w:t>
            </w:r>
          </w:p>
        </w:tc>
        <w:tc>
          <w:tcPr>
            <w:tcW w:w="5718"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1.商品组成：全项目多参数水质检测仪</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波长配置：420nm、470nm、520nm、560nm、620nm、700nm；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rPr>
                <w:rFonts w:ascii="宋体" w:hAnsi="宋体" w:eastAsia="宋体" w:cs="宋体"/>
                <w:color w:val="000000"/>
                <w:kern w:val="0"/>
                <w:szCs w:val="21"/>
                <w:shd w:val="clear" w:color="auto" w:fill="FCFCFC"/>
                <w:lang w:bidi="ar"/>
              </w:rPr>
            </w:pPr>
            <w:r>
              <w:rPr>
                <w:rFonts w:ascii="宋体" w:hAnsi="宋体" w:eastAsia="宋体" w:cs="宋体"/>
                <w:color w:val="000000"/>
                <w:kern w:val="0"/>
                <w:szCs w:val="21"/>
                <w:shd w:val="clear" w:color="auto" w:fill="FCFCFC"/>
                <w:lang w:bidi="ar"/>
              </w:rPr>
              <w:t>示值误差：≤±5%；</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重复性：≤2%</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光化学稳定性：20min内数值漂移≤0.002A（10万小时寿命）</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比色方式：比色管(16mm消解比色一体管)、比色皿（10mm、30mm、50mm）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rPr>
                <w:rFonts w:ascii="宋体" w:hAnsi="宋体" w:eastAsia="宋体" w:cs="宋体"/>
                <w:color w:val="000000"/>
                <w:kern w:val="0"/>
                <w:szCs w:val="21"/>
                <w:shd w:val="clear" w:color="auto" w:fill="FCFCFC"/>
                <w:lang w:bidi="ar"/>
              </w:rPr>
            </w:pPr>
            <w:r>
              <w:rPr>
                <w:rFonts w:ascii="宋体" w:hAnsi="宋体" w:eastAsia="宋体" w:cs="宋体"/>
                <w:color w:val="000000"/>
                <w:kern w:val="0"/>
                <w:szCs w:val="21"/>
                <w:shd w:val="clear" w:color="auto" w:fill="FCFCFC"/>
                <w:lang w:bidi="ar"/>
              </w:rPr>
              <w:t>操作系统：Android 7.1.1 智能操作系统</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操作界面：中文操作</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显示屏：8英寸（1024*768分辨率）高清晰度彩色液晶触摸屏</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曲线数量：820条标准曲线、420条拟合曲线</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网络接口：USB2.0、HDMI、WiFi、蓝牙、热点、RJ45</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云平台：仪器带有监管平台，连接有线/无线网络，检测结果直接传输至环境安全监管平台</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打印机：热敏行式打印机</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数据储存：800万组，可自由调用查看</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仿宋" w:hAnsi="仿宋" w:eastAsia="仿宋" w:cs="仿宋"/>
                <w:kern w:val="0"/>
                <w:sz w:val="24"/>
                <w:szCs w:val="24"/>
              </w:rPr>
            </w:pPr>
            <w:r>
              <w:rPr>
                <w:rFonts w:ascii="宋体" w:hAnsi="宋体" w:eastAsia="宋体" w:cs="宋体"/>
                <w:color w:val="000000"/>
                <w:kern w:val="0"/>
                <w:szCs w:val="21"/>
                <w:shd w:val="clear" w:color="auto" w:fill="FCFCFC"/>
                <w:lang w:bidi="ar"/>
              </w:rPr>
              <w:t>主要检测COD 、氨氮、总磷、总氮、磷酸根、硝酸盐氮、总铜、铜、铬 、总铬、锌、总锌、亚铁、镍、总镍、锰、总锰、二氧化硅、总氯、余氯、镉、铅、钛、钒、银、铝、硼、砷、锡 、铍、钡、锑、汞、钴、高锰酸盐、硫酸盐、氟化物、硫化物、氰化物、总氰化物、挥发性酚、苯胺、甲醛、甲醇、吊白块、二氧化硫、双氧水、浊度、色度、悬浮物、溶解氧、尿素、氰尿酸、亚硝酸盐、臭氧、pH、二氧化氯等指标，兼具智能数据分析功能，图表、列表显示数据，分析一目了然；高清晰度彩色液晶触摸显示屏，Android 智能操作系统，中文显示界面，中英文键盘，人性化操作，使用更简单</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tcBorders>
              <w:tl2br w:val="nil"/>
              <w:tr2bl w:val="nil"/>
            </w:tcBorders>
            <w:vAlign w:val="center"/>
          </w:tcPr>
          <w:p>
            <w:pPr>
              <w:jc w:val="center"/>
              <w:rPr>
                <w:rFonts w:ascii="仿宋" w:hAnsi="仿宋" w:eastAsia="仿宋" w:cs="仿宋"/>
                <w:kern w:val="0"/>
                <w:sz w:val="24"/>
                <w:szCs w:val="24"/>
              </w:rPr>
            </w:pPr>
            <w:bookmarkStart w:id="1" w:name="OLE_LINK3"/>
            <w:r>
              <w:rPr>
                <w:rFonts w:hint="eastAsia" w:ascii="仿宋" w:hAnsi="仿宋" w:eastAsia="仿宋" w:cs="仿宋"/>
                <w:kern w:val="0"/>
                <w:sz w:val="24"/>
                <w:szCs w:val="24"/>
              </w:rPr>
              <w:t>（二）</w:t>
            </w:r>
            <w:bookmarkEnd w:id="1"/>
          </w:p>
        </w:tc>
        <w:tc>
          <w:tcPr>
            <w:tcW w:w="1305" w:type="dxa"/>
            <w:vMerge w:val="restart"/>
            <w:tcBorders>
              <w:tl2br w:val="nil"/>
              <w:tr2bl w:val="nil"/>
            </w:tcBorders>
            <w:vAlign w:val="center"/>
          </w:tcPr>
          <w:p>
            <w:pPr>
              <w:rPr>
                <w:rFonts w:ascii="仿宋" w:hAnsi="仿宋" w:eastAsia="仿宋" w:cs="仿宋"/>
                <w:kern w:val="0"/>
                <w:sz w:val="24"/>
                <w:szCs w:val="24"/>
              </w:rPr>
            </w:pPr>
            <w:r>
              <w:rPr>
                <w:rFonts w:hint="eastAsia" w:ascii="仿宋_GB2312" w:hAnsi="仿宋_GB2312" w:eastAsia="仿宋_GB2312" w:cs="仿宋_GB2312"/>
                <w:sz w:val="24"/>
              </w:rPr>
              <w:t>激光打标机</w:t>
            </w: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1.商品组成： 激光打标机</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激光管：30W封离式激光管；</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振镜：双红光聚焦振镜；</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场镜：100mm*100mm；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电源：30W专用激光电源；</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电脑：致胜工控电脑</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显示器：19寸；</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水泵：打标机专用水泵；</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8、脚踏开关1个</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tcBorders>
              <w:tl2br w:val="nil"/>
              <w:tr2bl w:val="nil"/>
            </w:tcBorders>
            <w:vAlign w:val="center"/>
          </w:tcPr>
          <w:p>
            <w:pPr>
              <w:jc w:val="center"/>
              <w:rPr>
                <w:rFonts w:ascii="仿宋" w:hAnsi="仿宋" w:eastAsia="仿宋" w:cs="仿宋"/>
                <w:kern w:val="0"/>
                <w:sz w:val="24"/>
                <w:szCs w:val="24"/>
              </w:rPr>
            </w:pPr>
            <w:bookmarkStart w:id="2" w:name="OLE_LINK4"/>
            <w:r>
              <w:rPr>
                <w:rFonts w:hint="eastAsia" w:ascii="仿宋" w:hAnsi="仿宋" w:eastAsia="仿宋" w:cs="仿宋"/>
                <w:kern w:val="0"/>
                <w:sz w:val="24"/>
                <w:szCs w:val="24"/>
              </w:rPr>
              <w:t>（三）</w:t>
            </w:r>
            <w:bookmarkEnd w:id="2"/>
          </w:p>
        </w:tc>
        <w:tc>
          <w:tcPr>
            <w:tcW w:w="1305" w:type="dxa"/>
            <w:vMerge w:val="restart"/>
            <w:tcBorders>
              <w:tl2br w:val="nil"/>
              <w:tr2bl w:val="nil"/>
            </w:tcBorders>
            <w:vAlign w:val="center"/>
          </w:tcPr>
          <w:p>
            <w:pPr>
              <w:rPr>
                <w:rFonts w:ascii="仿宋" w:hAnsi="仿宋" w:eastAsia="仿宋" w:cs="仿宋"/>
                <w:kern w:val="0"/>
                <w:sz w:val="24"/>
                <w:szCs w:val="24"/>
              </w:rPr>
            </w:pPr>
            <w:r>
              <w:rPr>
                <w:rFonts w:hint="eastAsia" w:ascii="仿宋_GB2312" w:hAnsi="仿宋_GB2312" w:eastAsia="仿宋_GB2312" w:cs="仿宋_GB2312"/>
                <w:sz w:val="24"/>
              </w:rPr>
              <w:t>体式显微镜</w:t>
            </w: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仿宋" w:hAnsi="仿宋" w:eastAsia="仿宋" w:cs="仿宋"/>
                <w:kern w:val="0"/>
                <w:sz w:val="24"/>
                <w:szCs w:val="24"/>
              </w:rPr>
              <w:t>1.商品组成： 体式显微镜主机、数码相机及图像系统、图像工作站</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科研级体视显微镜</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SMZ800N变倍主体：SMZ800N Zooming Body</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总放大倍数：10x~80x@1x物镜，10x目镜</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10X目镜：C-W10XB EYEPIECE LENS 10X</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P-B双目镜筒：P-B Binocular Tube</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1X 平场物镜：P-PLAN 1X  (W.D. 78 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机座：透射照明光源底座，内置微调焦功能</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C-DS透射底座：C-DS Diascopic Focusing Stand S with reflecting mirror</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ascii="宋体" w:hAnsi="宋体" w:eastAsia="宋体" w:cs="宋体"/>
                <w:kern w:val="0"/>
                <w:szCs w:val="21"/>
                <w:shd w:val="clear" w:color="auto" w:fill="FCFCFC"/>
                <w:lang w:bidi="ar"/>
              </w:rPr>
              <w:t>supplied with transparent stage glass, armrest</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ascii="宋体" w:hAnsi="宋体" w:eastAsia="宋体" w:cs="宋体"/>
                <w:kern w:val="0"/>
                <w:szCs w:val="21"/>
                <w:shd w:val="clear" w:color="auto" w:fill="FCFCFC"/>
                <w:lang w:bidi="ar"/>
              </w:rPr>
              <w:t>C-DSLU2 LED Unit for Dia Illumination Stand 2</w:t>
            </w:r>
            <w:r>
              <w:rPr>
                <w:rFonts w:hint="eastAsia" w:ascii="宋体" w:hAnsi="宋体" w:eastAsia="宋体" w:cs="宋体"/>
                <w:kern w:val="0"/>
                <w:szCs w:val="21"/>
                <w:shd w:val="clear" w:color="auto" w:fill="FCFCFC"/>
                <w:lang w:bidi="ar"/>
              </w:rPr>
              <w:t>：</w:t>
            </w:r>
            <w:r>
              <w:rPr>
                <w:rFonts w:ascii="宋体" w:hAnsi="宋体" w:eastAsia="宋体" w:cs="宋体"/>
                <w:kern w:val="0"/>
                <w:szCs w:val="21"/>
                <w:shd w:val="clear" w:color="auto" w:fill="FCFCFC"/>
                <w:lang w:bidi="ar"/>
              </w:rPr>
              <w:t>C-DSLU2 LED Unit for Dia Illumination Stand 2</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平板底座：P-PP32 plain Stand</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变倍比≥8:1</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调焦机构：粗微调同轴调焦机构</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物镜： 1X 高分辨率平场复消色差物镜， W.D.:≥70mm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人机工程学设计的三目镜筒， FOV≥22</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带屈光度调节的目镜一对， FOV≥22</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三目分光系统：适合于显微照相设备连接</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数码相机系统：显微镜同品牌彩色数码相机，可即插即用</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物理像素≥2300万</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芯片尺寸≥40mm（对角线长度）</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环形光源：24w环形光源</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AC适配器：4-AC AC Adapter / CN</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电源线：Power Cord Type BE (220/240V)</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分光器：P-IBSS2 Beam Splitter S2</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TV管：LV-TV Tube Adapter</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1倍C接口</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DS-Fi3相机：DS-Fi3 Microscope Camera</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USB3.0线（适用于安装在倒置显微镜上的DS-Ri2/Qi2）：USB3.0 Cable R (for inverted microscope or DS50M)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相机控制：自动手动曝光，白平衡，增益，各种场景模式选择，标尺，拍照参数设定和下载等</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配置要求：电脑1台，配置不低于i5CPU，16G内存，1T硬盘，独立显卡，23寸液晶显示器</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tcBorders>
              <w:tl2br w:val="nil"/>
              <w:tr2bl w:val="nil"/>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（四）</w:t>
            </w:r>
          </w:p>
        </w:tc>
        <w:tc>
          <w:tcPr>
            <w:tcW w:w="1305" w:type="dxa"/>
            <w:vMerge w:val="restart"/>
            <w:tcBorders>
              <w:tl2br w:val="nil"/>
              <w:tr2bl w:val="nil"/>
            </w:tcBorders>
            <w:vAlign w:val="center"/>
          </w:tcPr>
          <w:p>
            <w:pPr>
              <w:rPr>
                <w:rFonts w:ascii="仿宋" w:hAnsi="仿宋" w:eastAsia="仿宋" w:cs="仿宋"/>
                <w:kern w:val="0"/>
                <w:sz w:val="24"/>
                <w:szCs w:val="24"/>
              </w:rPr>
            </w:pPr>
            <w:r>
              <w:rPr>
                <w:rFonts w:hint="eastAsia" w:ascii="仿宋_GB2312" w:hAnsi="仿宋_GB2312" w:eastAsia="仿宋_GB2312" w:cs="仿宋_GB2312"/>
                <w:sz w:val="24"/>
              </w:rPr>
              <w:t>正置金相显微镜</w:t>
            </w: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1.商品组成： 金相显微镜、成像系统、图像分析软件</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1）总放大率：50X-800X</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2）铰链式三目观察头，30°倾斜，瞳距48-75mm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3）大视场目镜：WF10X/20mm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4）物镜：无限远平场消色差物镜：PL L5X/0.12 工作距离：26.1 mm，PL L10X/0.25 工作距离：20.2 mm，PL L20X/0.4 工作距离：8.8mm，PL L50X/0.7工作距离：3.68 mm，PL L80X/0.80 工作距离：1.25 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5）转换器：内向式五孔转换器</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6）载物台：矩形双层活动平台 280X270mm，移动范围204mmX204mm焦距调节：同轴粗微动调焦机构</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7）照明系统：柯勒照明，垂直照明系统带孔径可变光栏和视场可变光栏，反射光照明6V/30W卤素灯,亮度连续可调</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8）滤色镜：绿、灰、黄滤色片、色温片</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9）630万像素数字式摄像头（USB3.0接口直接连接电脑）</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10）摄像系统：SONY 进口芯片，600万像素传感器IMX178，靶面尺寸1/ 1.8"，像素尺寸2.4X2.4μm ，41fps(分辨率3072x2048)，全分辨率下可实现41帧/秒的快速成像，USB3.0 高速传输接口，相机支持自动曝光、色阶、白平衡，支持手动曝光、增益、降噪、伽马、平场校正</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11）调焦机构：粗微动同轴调焦，带锁紧和限位装置，微动格值0.7um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12）常规软件功能：支持拍照，录像、延时视频自动生成；绘制: 点、线、矩形、多边形、圆、圆弧、角度 ；支持动态\静态测量，支持分图层测量</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13）设备配置：含金相显微镜1台，630万成像系统，PHMIAS图像分析软件</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kern w:val="0"/>
                <w:szCs w:val="21"/>
                <w:shd w:val="clear" w:color="auto" w:fill="FCFCFC"/>
                <w:lang w:bidi="ar"/>
              </w:rPr>
            </w:pPr>
            <w:r>
              <w:rPr>
                <w:rFonts w:hint="eastAsia" w:ascii="宋体" w:hAnsi="宋体" w:eastAsia="宋体" w:cs="宋体"/>
                <w:kern w:val="0"/>
                <w:szCs w:val="21"/>
                <w:shd w:val="clear" w:color="auto" w:fill="FCFCFC"/>
                <w:lang w:bidi="ar"/>
              </w:rPr>
              <w:t>14）DIC观察系统：微分干涉组件插板(DIC插板)与相适配的物镜校正好干涉平面高度，不需特别调整，方便用户使用。干涉色的变化可通精密丝杆的旋转调节而改变。适用于LMPlan5X/LMPlan10X/LMPlan20X DIC物镜用的DIC装置，无限远长工作距离平场消色差物镜：LMPlan5X、LMPlan10X、LMPlan20X</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tcBorders>
              <w:tl2br w:val="nil"/>
              <w:tr2bl w:val="nil"/>
            </w:tcBorders>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（五）</w:t>
            </w:r>
          </w:p>
        </w:tc>
        <w:tc>
          <w:tcPr>
            <w:tcW w:w="1305" w:type="dxa"/>
            <w:vMerge w:val="restart"/>
            <w:tcBorders>
              <w:tl2br w:val="nil"/>
              <w:tr2bl w:val="nil"/>
            </w:tcBorders>
            <w:vAlign w:val="center"/>
          </w:tcPr>
          <w:p>
            <w:pPr>
              <w:rPr>
                <w:rFonts w:ascii="仿宋" w:hAnsi="仿宋" w:eastAsia="仿宋" w:cs="仿宋"/>
                <w:kern w:val="0"/>
                <w:sz w:val="24"/>
                <w:szCs w:val="24"/>
              </w:rPr>
            </w:pPr>
            <w:r>
              <w:rPr>
                <w:rFonts w:hint="eastAsia" w:ascii="仿宋_GB2312" w:hAnsi="仿宋_GB2312" w:eastAsia="仿宋_GB2312" w:cs="仿宋_GB2312"/>
                <w:sz w:val="24"/>
              </w:rPr>
              <w:t>倒置荧光显微镜</w:t>
            </w: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仿宋" w:hAnsi="仿宋" w:eastAsia="仿宋" w:cs="仿宋"/>
                <w:kern w:val="0"/>
                <w:sz w:val="24"/>
                <w:szCs w:val="24"/>
              </w:rPr>
              <w:t>1.商品组成：倒置荧光显微镜、成像系统、图像分析软件</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1、光学放大倍数：50-400倍光学放大</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2、广角目镜：WF10X大视野目镜，FOV大于20mm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3、无限远平场消色差物镜：</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PL L10X/0.25 工作距离：4.3 mm ，</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PL L20X/0.40 工作距离：8.00 mm，</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PL L40X/0.60 工作距离：3.5 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4、高级平场相衬物镜：</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PH-PL L10X/0.25 工作距离：4.3 mm ,</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PH-PL L20X/0.40 工作距离：8.00 mm,</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PH-PL L40X/0.60 工作距离：3.5 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5、转换器：五孔内向式滚珠内定位转换器</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ascii="宋体" w:hAnsi="宋体" w:eastAsia="宋体" w:cs="宋体"/>
                <w:color w:val="000000"/>
                <w:kern w:val="0"/>
                <w:szCs w:val="21"/>
                <w:shd w:val="clear" w:color="auto" w:fill="FCFCFC"/>
                <w:lang w:bidi="ar"/>
              </w:rPr>
              <w:t>6</w:t>
            </w:r>
            <w:r>
              <w:rPr>
                <w:rFonts w:hint="eastAsia" w:ascii="宋体" w:hAnsi="宋体" w:eastAsia="宋体" w:cs="宋体"/>
                <w:color w:val="000000"/>
                <w:kern w:val="0"/>
                <w:szCs w:val="21"/>
                <w:shd w:val="clear" w:color="auto" w:fill="FCFCFC"/>
                <w:lang w:bidi="ar"/>
              </w:rPr>
              <w:t>、观察头：三目镜筒，</w:t>
            </w:r>
            <w:r>
              <w:rPr>
                <w:rFonts w:ascii="宋体" w:hAnsi="宋体" w:eastAsia="宋体" w:cs="宋体"/>
                <w:color w:val="000000"/>
                <w:kern w:val="0"/>
                <w:szCs w:val="21"/>
                <w:shd w:val="clear" w:color="auto" w:fill="FCFCFC"/>
                <w:lang w:bidi="ar"/>
              </w:rPr>
              <w:t>45</w:t>
            </w:r>
            <w:r>
              <w:rPr>
                <w:rFonts w:hint="eastAsia" w:ascii="微软雅黑" w:hAnsi="微软雅黑" w:eastAsia="微软雅黑" w:cs="微软雅黑"/>
                <w:color w:val="000000"/>
                <w:kern w:val="0"/>
                <w:szCs w:val="21"/>
                <w:shd w:val="clear" w:color="auto" w:fill="FCFCFC"/>
                <w:lang w:bidi="ar"/>
              </w:rPr>
              <w:t>˚</w:t>
            </w:r>
            <w:r>
              <w:rPr>
                <w:rFonts w:hint="eastAsia" w:ascii="宋体" w:hAnsi="宋体" w:eastAsia="宋体" w:cs="宋体"/>
                <w:color w:val="000000"/>
                <w:kern w:val="0"/>
                <w:szCs w:val="21"/>
                <w:shd w:val="clear" w:color="auto" w:fill="FCFCFC"/>
                <w:lang w:bidi="ar"/>
              </w:rPr>
              <w:t>倾斜</w:t>
            </w:r>
            <w:r>
              <w:rPr>
                <w:rFonts w:ascii="宋体" w:hAnsi="宋体" w:eastAsia="宋体" w:cs="宋体"/>
                <w:color w:val="000000"/>
                <w:kern w:val="0"/>
                <w:szCs w:val="21"/>
                <w:shd w:val="clear" w:color="auto" w:fill="FCFCFC"/>
                <w:lang w:bidi="ar"/>
              </w:rPr>
              <w:t>,</w:t>
            </w:r>
            <w:r>
              <w:rPr>
                <w:rFonts w:hint="eastAsia" w:ascii="宋体" w:hAnsi="宋体" w:eastAsia="宋体" w:cs="宋体"/>
                <w:color w:val="000000"/>
                <w:kern w:val="0"/>
                <w:szCs w:val="21"/>
                <w:shd w:val="clear" w:color="auto" w:fill="FCFCFC"/>
                <w:lang w:bidi="ar"/>
              </w:rPr>
              <w:t>瞳距调节范围</w:t>
            </w:r>
            <w:r>
              <w:rPr>
                <w:rFonts w:ascii="宋体" w:hAnsi="宋体" w:eastAsia="宋体" w:cs="宋体"/>
                <w:color w:val="000000"/>
                <w:kern w:val="0"/>
                <w:szCs w:val="21"/>
                <w:shd w:val="clear" w:color="auto" w:fill="FCFCFC"/>
                <w:lang w:bidi="ar"/>
              </w:rPr>
              <w:t>53~75mm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7、调焦机构：粗微动同轴调焦,带锁紧装置,微动格值:2μm. 粗微动同轴调焦,带锁紧装置,微动格值:2μm.五孔(内向式滚珠内定位)</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8、载物台：机械移动载物台，外形尺寸：227mmX208mm，移动范围30mmX30mm.圆形可旋转载物台板尺寸：最大外径Ф118mm，最小通光口径小于Ф20mm</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9、透射照明系统：6V30W卤素灯，亮度可调6V30W ，内置视场光阑、孔径光阑与拉板式起偏器，配磨砂玻璃，黄、绿、蓝滤色片</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10、落射照明系统：100W汞灯/DC  110V/220V电源箱</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11、推拉双波段荧光激发组件：</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11.1、B蓝色荧光激发滤色片：激发片波长450-490nm;</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11.2、G绿色荧光激发滤色片：激发片波长495-555nm;</w:t>
            </w:r>
          </w:p>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12、摄像系统：SONY 进口芯片，600万像素传感器IMX178，靶面尺寸1/ 1.8"，像素尺寸2.4X2.4μm ，41fps(分辨率3072x2048)，全分辨率下可实现41帧/秒的快速成像，USB3.0 高速传输接口，相机支持自动曝光、色阶、白平衡，支持手动曝光、增益、降噪、伽马、平场校正。</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13、常规软件功能：支持拍照，录像、延时视频自动生成；绘制: 点、线、矩形、多边形、圆、圆弧、角度 ；支持动态\静态测量，支持分图层测量，一键荧光融合；</w:t>
            </w:r>
          </w:p>
        </w:tc>
        <w:tc>
          <w:tcPr>
            <w:tcW w:w="1267"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tcBorders>
              <w:tl2br w:val="nil"/>
              <w:tr2bl w:val="nil"/>
            </w:tcBorders>
            <w:vAlign w:val="center"/>
          </w:tcPr>
          <w:p>
            <w:pPr>
              <w:jc w:val="center"/>
              <w:rPr>
                <w:rFonts w:ascii="仿宋" w:hAnsi="仿宋" w:eastAsia="仿宋" w:cs="仿宋"/>
                <w:kern w:val="0"/>
                <w:sz w:val="24"/>
                <w:szCs w:val="24"/>
              </w:rPr>
            </w:pPr>
          </w:p>
        </w:tc>
        <w:tc>
          <w:tcPr>
            <w:tcW w:w="1305" w:type="dxa"/>
            <w:vMerge w:val="continue"/>
            <w:tcBorders>
              <w:tl2br w:val="nil"/>
              <w:tr2bl w:val="nil"/>
            </w:tcBorders>
            <w:vAlign w:val="center"/>
          </w:tcPr>
          <w:p>
            <w:pPr>
              <w:rPr>
                <w:rFonts w:ascii="仿宋" w:hAnsi="仿宋" w:eastAsia="仿宋" w:cs="仿宋"/>
                <w:kern w:val="0"/>
                <w:sz w:val="24"/>
                <w:szCs w:val="24"/>
              </w:rPr>
            </w:pPr>
          </w:p>
        </w:tc>
        <w:tc>
          <w:tcPr>
            <w:tcW w:w="5718" w:type="dxa"/>
            <w:tcBorders>
              <w:tl2br w:val="nil"/>
              <w:tr2bl w:val="nil"/>
            </w:tcBorders>
            <w:vAlign w:val="center"/>
          </w:tcPr>
          <w:p>
            <w:pPr>
              <w:jc w:val="left"/>
              <w:rPr>
                <w:rFonts w:ascii="宋体" w:hAnsi="宋体" w:eastAsia="宋体" w:cs="宋体"/>
                <w:color w:val="000000"/>
                <w:kern w:val="0"/>
                <w:szCs w:val="21"/>
                <w:shd w:val="clear" w:color="auto" w:fill="FCFCFC"/>
                <w:lang w:bidi="ar"/>
              </w:rPr>
            </w:pPr>
            <w:r>
              <w:rPr>
                <w:rFonts w:hint="eastAsia" w:ascii="宋体" w:hAnsi="宋体" w:eastAsia="宋体" w:cs="宋体"/>
                <w:color w:val="000000"/>
                <w:kern w:val="0"/>
                <w:szCs w:val="21"/>
                <w:shd w:val="clear" w:color="auto" w:fill="FCFCFC"/>
                <w:lang w:bidi="ar"/>
              </w:rPr>
              <w:t>14、高级软件功能：软件支持实时景深融合功能，转动微调手轮可以将不同焦层的图像融合成清晰的图层；软件支持实时图像拼接功能，移动X-Y轴移动平台可以将标本局部图像自动拼接成全局图像；支持实验报告自动生成和打印，实验报告可以导成WORD格式进行编辑</w:t>
            </w:r>
          </w:p>
        </w:tc>
        <w:tc>
          <w:tcPr>
            <w:tcW w:w="1267" w:type="dxa"/>
            <w:tcBorders>
              <w:tl2br w:val="nil"/>
              <w:tr2bl w:val="nil"/>
            </w:tcBorders>
            <w:vAlign w:val="center"/>
          </w:tcPr>
          <w:p>
            <w:pPr>
              <w:rPr>
                <w:rFonts w:ascii="仿宋" w:hAnsi="仿宋" w:eastAsia="仿宋" w:cs="仿宋"/>
                <w:kern w:val="0"/>
                <w:sz w:val="24"/>
                <w:szCs w:val="24"/>
              </w:rPr>
            </w:pPr>
          </w:p>
        </w:tc>
      </w:tr>
    </w:tbl>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自合同签订生效，设备（或软件或服务）安装调试完毕并经甲方验收合格之日起免费质保</w:t>
      </w:r>
      <w:r>
        <w:rPr>
          <w:rFonts w:hint="eastAsia"/>
          <w:u w:val="single"/>
        </w:rPr>
        <w:t xml:space="preserve"> 3 </w:t>
      </w:r>
      <w:r>
        <w:rPr>
          <w:rFonts w:hint="eastAsia"/>
        </w:rPr>
        <w:t>年，质保期内上门对损坏的设备（或软件）进行安装、升级、更换、调试，包括配件费、材料费、软件升级费、人工费等全部免费。质保期内被免费更换的零部件质量保证期再延续</w:t>
      </w:r>
      <w:r>
        <w:rPr>
          <w:rFonts w:hint="eastAsia"/>
          <w:u w:val="single"/>
        </w:rPr>
        <w:t xml:space="preserve"> 3 </w:t>
      </w:r>
      <w:r>
        <w:rPr>
          <w:rFonts w:hint="eastAsia"/>
        </w:rPr>
        <w:t>年。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交付和安装时间为合同签订</w:t>
      </w:r>
      <w:r>
        <w:rPr>
          <w:rFonts w:hint="eastAsia"/>
          <w:u w:val="single"/>
        </w:rPr>
        <w:t xml:space="preserve">  3  </w:t>
      </w:r>
      <w:r>
        <w:rPr>
          <w:rFonts w:hint="eastAsia"/>
        </w:rPr>
        <w:t>日之内。</w:t>
      </w:r>
    </w:p>
    <w:p>
      <w:pPr>
        <w:pStyle w:val="15"/>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5"/>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r>
        <w:rPr>
          <w:rFonts w:hint="eastAsia"/>
        </w:rPr>
        <w:t>（此处仅填写报价人额外提供需方的服务承诺，与本采购文件询价要求相左条款的其他说明视作无效说明。若无其他服务承诺的请填写“无”）</w:t>
      </w:r>
    </w:p>
    <w:p>
      <w:pPr>
        <w:pStyle w:val="3"/>
        <w:rPr>
          <w:u w:val="single"/>
        </w:rPr>
      </w:pPr>
      <w:r>
        <w:rPr>
          <w:rFonts w:hint="eastAsia"/>
        </w:rPr>
        <w:t xml:space="preserve">    </w:t>
      </w:r>
      <w:r>
        <w:rPr>
          <w:rFonts w:hint="eastAsia"/>
          <w:u w:val="single"/>
        </w:rPr>
        <w:t xml:space="preserve">                                                                                </w:t>
      </w:r>
    </w:p>
    <w:p>
      <w:pPr>
        <w:pStyle w:val="3"/>
        <w:rPr>
          <w:u w:val="single"/>
        </w:rPr>
      </w:pPr>
      <w:r>
        <w:rPr>
          <w:rFonts w:hint="eastAsia"/>
        </w:rPr>
        <w:t xml:space="preserve">    </w:t>
      </w:r>
      <w:r>
        <w:rPr>
          <w:rFonts w:hint="eastAsia"/>
          <w:u w:val="single"/>
        </w:rPr>
        <w:t xml:space="preserve">                                                                                 </w:t>
      </w:r>
    </w:p>
    <w:p>
      <w:pPr>
        <w:pStyle w:val="15"/>
        <w:numPr>
          <w:ilvl w:val="0"/>
          <w:numId w:val="2"/>
        </w:numPr>
        <w:spacing w:before="156" w:beforeLines="50" w:line="360" w:lineRule="auto"/>
        <w:ind w:left="601" w:hanging="601" w:firstLineChars="0"/>
      </w:pPr>
      <w:r>
        <w:rPr>
          <w:rFonts w:hint="eastAsia"/>
          <w:b/>
          <w:bCs/>
          <w:sz w:val="28"/>
          <w:szCs w:val="28"/>
        </w:rPr>
        <w:t>附件</w:t>
      </w:r>
      <w:r>
        <w:rPr>
          <w:rFonts w:hint="eastAsia"/>
        </w:rPr>
        <w:t>（</w:t>
      </w:r>
      <w:r>
        <w:rPr>
          <w:rFonts w:hint="eastAsia"/>
          <w:lang w:val="en-US" w:eastAsia="zh-CN"/>
        </w:rPr>
        <w:t>填</w:t>
      </w:r>
      <w:r>
        <w:rPr>
          <w:rFonts w:hint="eastAsia"/>
        </w:rPr>
        <w:t>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jc w:val="left"/>
      </w:pPr>
    </w:p>
    <w:sectPr>
      <w:pgSz w:w="11906" w:h="16838"/>
      <w:pgMar w:top="1270" w:right="1304" w:bottom="1270" w:left="130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305E0124">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491C440D">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C4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4A7310"/>
    <w:rsid w:val="00003A4E"/>
    <w:rsid w:val="00007C6A"/>
    <w:rsid w:val="000220A7"/>
    <w:rsid w:val="000224B3"/>
    <w:rsid w:val="000258FA"/>
    <w:rsid w:val="00094AB1"/>
    <w:rsid w:val="000A3914"/>
    <w:rsid w:val="000C1ED1"/>
    <w:rsid w:val="000C3974"/>
    <w:rsid w:val="00191B46"/>
    <w:rsid w:val="001950A4"/>
    <w:rsid w:val="001A748A"/>
    <w:rsid w:val="001B132A"/>
    <w:rsid w:val="001D180B"/>
    <w:rsid w:val="00205554"/>
    <w:rsid w:val="00206F4C"/>
    <w:rsid w:val="002137B9"/>
    <w:rsid w:val="00255607"/>
    <w:rsid w:val="0026340E"/>
    <w:rsid w:val="002B76CC"/>
    <w:rsid w:val="002C274B"/>
    <w:rsid w:val="002C73B9"/>
    <w:rsid w:val="002F7438"/>
    <w:rsid w:val="00317002"/>
    <w:rsid w:val="00377A16"/>
    <w:rsid w:val="003A387F"/>
    <w:rsid w:val="003B45AD"/>
    <w:rsid w:val="003C6C9B"/>
    <w:rsid w:val="00414D0B"/>
    <w:rsid w:val="00440DB8"/>
    <w:rsid w:val="0049070F"/>
    <w:rsid w:val="004A7310"/>
    <w:rsid w:val="004C3B2E"/>
    <w:rsid w:val="004E30C3"/>
    <w:rsid w:val="005216B0"/>
    <w:rsid w:val="005250B9"/>
    <w:rsid w:val="005528B5"/>
    <w:rsid w:val="00585E67"/>
    <w:rsid w:val="005B2F0E"/>
    <w:rsid w:val="005F61FC"/>
    <w:rsid w:val="0063525B"/>
    <w:rsid w:val="00666DA0"/>
    <w:rsid w:val="006763A5"/>
    <w:rsid w:val="006A6D9E"/>
    <w:rsid w:val="006B066E"/>
    <w:rsid w:val="00716FBE"/>
    <w:rsid w:val="0073287A"/>
    <w:rsid w:val="007625CC"/>
    <w:rsid w:val="00777E85"/>
    <w:rsid w:val="007878D1"/>
    <w:rsid w:val="007D62B0"/>
    <w:rsid w:val="00804441"/>
    <w:rsid w:val="00820274"/>
    <w:rsid w:val="00830972"/>
    <w:rsid w:val="0086129C"/>
    <w:rsid w:val="00874493"/>
    <w:rsid w:val="008D2A99"/>
    <w:rsid w:val="00940A26"/>
    <w:rsid w:val="00947010"/>
    <w:rsid w:val="00973A6E"/>
    <w:rsid w:val="009946AB"/>
    <w:rsid w:val="00994EE8"/>
    <w:rsid w:val="009A3CE5"/>
    <w:rsid w:val="009E52B3"/>
    <w:rsid w:val="009E6EB2"/>
    <w:rsid w:val="00A336F2"/>
    <w:rsid w:val="00A41F4A"/>
    <w:rsid w:val="00A77754"/>
    <w:rsid w:val="00A97A35"/>
    <w:rsid w:val="00AA450F"/>
    <w:rsid w:val="00AA6A58"/>
    <w:rsid w:val="00AB4D96"/>
    <w:rsid w:val="00AB6EAE"/>
    <w:rsid w:val="00AD72B6"/>
    <w:rsid w:val="00B05296"/>
    <w:rsid w:val="00B33736"/>
    <w:rsid w:val="00B3757D"/>
    <w:rsid w:val="00B87B31"/>
    <w:rsid w:val="00C320A4"/>
    <w:rsid w:val="00CD4C4D"/>
    <w:rsid w:val="00CE23D7"/>
    <w:rsid w:val="00CF3360"/>
    <w:rsid w:val="00D520E6"/>
    <w:rsid w:val="00D608BD"/>
    <w:rsid w:val="00D61ED0"/>
    <w:rsid w:val="00D637DF"/>
    <w:rsid w:val="00DB7994"/>
    <w:rsid w:val="00DD073B"/>
    <w:rsid w:val="00DD42DD"/>
    <w:rsid w:val="00E205E3"/>
    <w:rsid w:val="00E457B5"/>
    <w:rsid w:val="00E53372"/>
    <w:rsid w:val="00E71751"/>
    <w:rsid w:val="00E8790E"/>
    <w:rsid w:val="00EB0889"/>
    <w:rsid w:val="00EB3E7C"/>
    <w:rsid w:val="00EF3DC5"/>
    <w:rsid w:val="00EF45F8"/>
    <w:rsid w:val="00F04380"/>
    <w:rsid w:val="00F25090"/>
    <w:rsid w:val="00F31A97"/>
    <w:rsid w:val="00F47259"/>
    <w:rsid w:val="00F7563E"/>
    <w:rsid w:val="00FB1CAD"/>
    <w:rsid w:val="00FC35AE"/>
    <w:rsid w:val="03156F1D"/>
    <w:rsid w:val="09704E30"/>
    <w:rsid w:val="09C66DFB"/>
    <w:rsid w:val="0AF3466E"/>
    <w:rsid w:val="0B3C6CDF"/>
    <w:rsid w:val="0C633E1E"/>
    <w:rsid w:val="0FA75CEB"/>
    <w:rsid w:val="0FE971DB"/>
    <w:rsid w:val="104A286C"/>
    <w:rsid w:val="118C13CF"/>
    <w:rsid w:val="12390E64"/>
    <w:rsid w:val="151948DE"/>
    <w:rsid w:val="15E81AA3"/>
    <w:rsid w:val="17EA303B"/>
    <w:rsid w:val="1BD919CB"/>
    <w:rsid w:val="1E2832B9"/>
    <w:rsid w:val="1F58723F"/>
    <w:rsid w:val="20D5260B"/>
    <w:rsid w:val="21E967BB"/>
    <w:rsid w:val="22074106"/>
    <w:rsid w:val="22AF0DE3"/>
    <w:rsid w:val="240C68C8"/>
    <w:rsid w:val="27713BB2"/>
    <w:rsid w:val="28861EF1"/>
    <w:rsid w:val="28C26890"/>
    <w:rsid w:val="28FC3758"/>
    <w:rsid w:val="28FE357E"/>
    <w:rsid w:val="2C1C3739"/>
    <w:rsid w:val="2EA71016"/>
    <w:rsid w:val="317F3408"/>
    <w:rsid w:val="352C10D7"/>
    <w:rsid w:val="35745B33"/>
    <w:rsid w:val="36706D87"/>
    <w:rsid w:val="38E0238B"/>
    <w:rsid w:val="3B0F7020"/>
    <w:rsid w:val="3B9E58F1"/>
    <w:rsid w:val="402D26BC"/>
    <w:rsid w:val="40585519"/>
    <w:rsid w:val="41BF67B1"/>
    <w:rsid w:val="437534D7"/>
    <w:rsid w:val="446820A4"/>
    <w:rsid w:val="473606EC"/>
    <w:rsid w:val="478C21F8"/>
    <w:rsid w:val="47F760B2"/>
    <w:rsid w:val="48D31ACB"/>
    <w:rsid w:val="496359FC"/>
    <w:rsid w:val="49955712"/>
    <w:rsid w:val="4D307FF6"/>
    <w:rsid w:val="4E8D02C2"/>
    <w:rsid w:val="50C06596"/>
    <w:rsid w:val="51D34BF4"/>
    <w:rsid w:val="52387FE0"/>
    <w:rsid w:val="53113544"/>
    <w:rsid w:val="541C17B1"/>
    <w:rsid w:val="58C540D2"/>
    <w:rsid w:val="590D2C0F"/>
    <w:rsid w:val="5A106B39"/>
    <w:rsid w:val="5A8E4F01"/>
    <w:rsid w:val="5CA44174"/>
    <w:rsid w:val="5E287636"/>
    <w:rsid w:val="5E384D61"/>
    <w:rsid w:val="64FF5C92"/>
    <w:rsid w:val="65664B22"/>
    <w:rsid w:val="66FF5846"/>
    <w:rsid w:val="676238A5"/>
    <w:rsid w:val="68675936"/>
    <w:rsid w:val="6A1D6328"/>
    <w:rsid w:val="6B7B7B2B"/>
    <w:rsid w:val="6ECF7FBD"/>
    <w:rsid w:val="6F681329"/>
    <w:rsid w:val="6FEA0BFB"/>
    <w:rsid w:val="7010196F"/>
    <w:rsid w:val="71494705"/>
    <w:rsid w:val="73862212"/>
    <w:rsid w:val="74E2018E"/>
    <w:rsid w:val="76946333"/>
    <w:rsid w:val="76E871E8"/>
    <w:rsid w:val="779152ED"/>
    <w:rsid w:val="793A5E13"/>
    <w:rsid w:val="797322A4"/>
    <w:rsid w:val="79E121C1"/>
    <w:rsid w:val="7ABA7439"/>
    <w:rsid w:val="7ADC196E"/>
    <w:rsid w:val="7C1363C4"/>
    <w:rsid w:val="7CD50596"/>
    <w:rsid w:val="7CD81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845</Words>
  <Characters>4823</Characters>
  <Lines>40</Lines>
  <Paragraphs>11</Paragraphs>
  <TotalTime>16</TotalTime>
  <ScaleCrop>false</ScaleCrop>
  <LinksUpToDate>false</LinksUpToDate>
  <CharactersWithSpaces>5657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2024-09-13T07:44:00Z</dcterms:created>
  <dc:creator>chh</dc:creator>
  <cp:lastModifiedBy>无风</cp:lastModifiedBy>
  <dcterms:modified xsi:type="dcterms:W3CDTF">2024-11-27T06:56:52Z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2C377FD8B4B94D1A8F188234C9D333A3_13</vt:lpwstr>
  </property>
</Properties>
</file>