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663F35">
      <w:pPr>
        <w:snapToGrid w:val="0"/>
        <w:spacing w:line="360" w:lineRule="auto"/>
        <w:ind w:left="238"/>
        <w:jc w:val="center"/>
        <w:rPr>
          <w:rFonts w:hint="eastAsia" w:ascii="黑体" w:hAnsi="宋体" w:eastAsia="黑体"/>
          <w:sz w:val="30"/>
          <w:szCs w:val="30"/>
          <w:lang w:val="en-US" w:eastAsia="zh-Hans"/>
        </w:rPr>
      </w:pPr>
      <w:r>
        <w:rPr>
          <w:rFonts w:hint="eastAsia" w:ascii="黑体" w:hAnsi="宋体" w:eastAsia="黑体"/>
          <w:sz w:val="30"/>
          <w:szCs w:val="30"/>
          <w:lang w:val="en-US" w:eastAsia="zh-Hans"/>
        </w:rPr>
        <w:t>浙江大学医学院附属第二医院</w:t>
      </w:r>
    </w:p>
    <w:p w14:paraId="2207C6BA">
      <w:pPr>
        <w:snapToGrid w:val="0"/>
        <w:spacing w:line="360" w:lineRule="auto"/>
        <w:ind w:left="238"/>
        <w:jc w:val="center"/>
        <w:rPr>
          <w:rFonts w:hint="eastAsia" w:ascii="黑体" w:hAnsi="宋体" w:eastAsia="黑体"/>
          <w:sz w:val="30"/>
          <w:szCs w:val="30"/>
          <w:lang w:val="en-US" w:eastAsia="zh-Hans"/>
        </w:rPr>
      </w:pPr>
      <w:r>
        <w:rPr>
          <w:rFonts w:hint="eastAsia" w:ascii="黑体" w:hAnsi="宋体" w:eastAsia="黑体"/>
          <w:sz w:val="30"/>
          <w:szCs w:val="30"/>
          <w:lang w:val="en-US" w:eastAsia="zh-CN"/>
        </w:rPr>
        <w:t>专用存储</w:t>
      </w:r>
      <w:r>
        <w:rPr>
          <w:rFonts w:hint="eastAsia" w:ascii="黑体" w:hAnsi="宋体" w:eastAsia="黑体"/>
          <w:sz w:val="30"/>
          <w:szCs w:val="30"/>
          <w:lang w:val="en-US" w:eastAsia="zh-Hans"/>
        </w:rPr>
        <w:t>项目</w:t>
      </w:r>
    </w:p>
    <w:p w14:paraId="1AAFEAB1">
      <w:pPr>
        <w:snapToGrid w:val="0"/>
        <w:spacing w:line="360" w:lineRule="auto"/>
        <w:ind w:left="238"/>
        <w:jc w:val="center"/>
        <w:rPr>
          <w:rFonts w:hint="eastAsia" w:ascii="黑体" w:hAnsi="宋体" w:eastAsia="黑体"/>
          <w:sz w:val="30"/>
          <w:szCs w:val="30"/>
          <w:lang w:val="en-US" w:eastAsia="zh-Hans"/>
        </w:rPr>
      </w:pPr>
    </w:p>
    <w:p w14:paraId="74B90C96">
      <w:pPr>
        <w:pStyle w:val="5"/>
        <w:widowControl/>
        <w:numPr>
          <w:ilvl w:val="0"/>
          <w:numId w:val="1"/>
        </w:numPr>
        <w:autoSpaceDE w:val="0"/>
        <w:autoSpaceDN w:val="0"/>
        <w:snapToGrid w:val="0"/>
        <w:spacing w:before="100" w:beforeAutospacing="1" w:line="360" w:lineRule="auto"/>
        <w:ind w:left="420" w:hanging="420" w:firstLineChars="0"/>
        <w:textAlignment w:val="bottom"/>
        <w:rPr>
          <w:rFonts w:ascii="宋体" w:hAnsi="宋体"/>
          <w:b/>
          <w:color w:val="000000"/>
          <w:sz w:val="28"/>
        </w:rPr>
      </w:pPr>
      <w:r>
        <w:rPr>
          <w:rFonts w:ascii="宋体" w:hAnsi="宋体"/>
          <w:b/>
          <w:color w:val="000000"/>
          <w:sz w:val="28"/>
        </w:rPr>
        <w:t>采购内容</w:t>
      </w:r>
    </w:p>
    <w:tbl>
      <w:tblPr>
        <w:tblStyle w:val="3"/>
        <w:tblW w:w="87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136"/>
        <w:gridCol w:w="1254"/>
        <w:gridCol w:w="3510"/>
        <w:gridCol w:w="812"/>
        <w:gridCol w:w="1397"/>
      </w:tblGrid>
      <w:tr w14:paraId="7D5F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5" w:type="dxa"/>
            <w:vAlign w:val="center"/>
          </w:tcPr>
          <w:p w14:paraId="21F277F4">
            <w:pPr>
              <w:jc w:val="center"/>
              <w:rPr>
                <w:rFonts w:eastAsia="宋体" w:asciiTheme="minorEastAsia" w:hAnsiTheme="minorEastAsia" w:cstheme="minorEastAsia"/>
                <w:kern w:val="0"/>
                <w:szCs w:val="21"/>
              </w:rPr>
            </w:pPr>
            <w:r>
              <w:rPr>
                <w:rFonts w:hint="eastAsia" w:asciiTheme="minorEastAsia" w:hAnsiTheme="minorEastAsia" w:cstheme="minorEastAsia"/>
                <w:kern w:val="0"/>
                <w:szCs w:val="21"/>
              </w:rPr>
              <w:t>序号</w:t>
            </w:r>
          </w:p>
        </w:tc>
        <w:tc>
          <w:tcPr>
            <w:tcW w:w="1136" w:type="dxa"/>
            <w:vAlign w:val="center"/>
          </w:tcPr>
          <w:p w14:paraId="1BB1D891">
            <w:pPr>
              <w:jc w:val="center"/>
              <w:rPr>
                <w:rFonts w:eastAsia="宋体" w:asciiTheme="minorEastAsia" w:hAnsiTheme="minorEastAsia" w:cstheme="minorEastAsia"/>
                <w:kern w:val="0"/>
                <w:szCs w:val="21"/>
              </w:rPr>
            </w:pPr>
            <w:r>
              <w:rPr>
                <w:rFonts w:hint="default" w:asciiTheme="minorEastAsia" w:hAnsiTheme="minorEastAsia" w:cstheme="minorEastAsia"/>
                <w:kern w:val="0"/>
                <w:szCs w:val="21"/>
              </w:rPr>
              <w:t>商品类目</w:t>
            </w:r>
          </w:p>
        </w:tc>
        <w:tc>
          <w:tcPr>
            <w:tcW w:w="1254" w:type="dxa"/>
            <w:vAlign w:val="center"/>
          </w:tcPr>
          <w:p w14:paraId="4B0DCBDE">
            <w:pPr>
              <w:jc w:val="center"/>
              <w:rPr>
                <w:rFonts w:hint="eastAsia" w:asciiTheme="minorEastAsia" w:hAnsiTheme="minorEastAsia" w:cstheme="minorEastAsia"/>
                <w:kern w:val="0"/>
                <w:szCs w:val="21"/>
              </w:rPr>
            </w:pPr>
            <w:r>
              <w:rPr>
                <w:rFonts w:hint="default" w:asciiTheme="minorEastAsia" w:hAnsiTheme="minorEastAsia" w:cstheme="minorEastAsia"/>
                <w:kern w:val="0"/>
                <w:szCs w:val="21"/>
              </w:rPr>
              <w:t>品牌型号</w:t>
            </w:r>
          </w:p>
        </w:tc>
        <w:tc>
          <w:tcPr>
            <w:tcW w:w="3510" w:type="dxa"/>
            <w:vAlign w:val="center"/>
          </w:tcPr>
          <w:p w14:paraId="7F1F72A8">
            <w:pPr>
              <w:jc w:val="center"/>
              <w:rPr>
                <w:rFonts w:eastAsia="宋体" w:asciiTheme="minorEastAsia" w:hAnsiTheme="minorEastAsia" w:cstheme="minorEastAsia"/>
                <w:kern w:val="0"/>
                <w:szCs w:val="21"/>
              </w:rPr>
            </w:pPr>
            <w:r>
              <w:rPr>
                <w:rFonts w:eastAsia="宋体" w:asciiTheme="minorEastAsia" w:hAnsiTheme="minorEastAsia" w:cstheme="minorEastAsia"/>
                <w:kern w:val="0"/>
                <w:szCs w:val="21"/>
              </w:rPr>
              <w:t>参数详情</w:t>
            </w:r>
          </w:p>
        </w:tc>
        <w:tc>
          <w:tcPr>
            <w:tcW w:w="812" w:type="dxa"/>
            <w:vAlign w:val="center"/>
          </w:tcPr>
          <w:p w14:paraId="13C20496">
            <w:pPr>
              <w:jc w:val="center"/>
              <w:rPr>
                <w:rFonts w:eastAsia="宋体" w:asciiTheme="minorEastAsia" w:hAnsiTheme="minorEastAsia" w:cstheme="minorEastAsia"/>
                <w:kern w:val="0"/>
                <w:szCs w:val="21"/>
              </w:rPr>
            </w:pPr>
            <w:r>
              <w:rPr>
                <w:rFonts w:hint="eastAsia" w:asciiTheme="minorEastAsia" w:hAnsiTheme="minorEastAsia" w:cstheme="minorEastAsia"/>
                <w:kern w:val="0"/>
                <w:szCs w:val="21"/>
              </w:rPr>
              <w:t>数量</w:t>
            </w:r>
          </w:p>
        </w:tc>
        <w:tc>
          <w:tcPr>
            <w:tcW w:w="1397" w:type="dxa"/>
            <w:vAlign w:val="center"/>
          </w:tcPr>
          <w:p w14:paraId="3A0D69AA">
            <w:pPr>
              <w:jc w:val="center"/>
              <w:rPr>
                <w:rFonts w:hint="eastAsia" w:asciiTheme="minorEastAsia" w:hAnsiTheme="minorEastAsia" w:cstheme="minorEastAsia"/>
                <w:kern w:val="0"/>
                <w:szCs w:val="21"/>
              </w:rPr>
            </w:pPr>
            <w:r>
              <w:rPr>
                <w:rFonts w:hint="default" w:asciiTheme="minorEastAsia" w:hAnsiTheme="minorEastAsia" w:cstheme="minorEastAsia"/>
                <w:kern w:val="0"/>
                <w:szCs w:val="21"/>
              </w:rPr>
              <w:t>总价</w:t>
            </w:r>
          </w:p>
        </w:tc>
      </w:tr>
      <w:tr w14:paraId="74268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 w:hRule="atLeast"/>
        </w:trPr>
        <w:tc>
          <w:tcPr>
            <w:tcW w:w="645" w:type="dxa"/>
            <w:vAlign w:val="center"/>
          </w:tcPr>
          <w:p w14:paraId="7EB20FA6">
            <w:pPr>
              <w:jc w:val="center"/>
              <w:rPr>
                <w:rFonts w:hint="default" w:eastAsia="宋体" w:asciiTheme="minorEastAsia" w:hAnsiTheme="minorEastAsia" w:cstheme="minorEastAsia"/>
                <w:kern w:val="0"/>
                <w:szCs w:val="21"/>
                <w:lang w:val="en-US" w:eastAsia="zh-CN"/>
              </w:rPr>
            </w:pPr>
            <w:r>
              <w:rPr>
                <w:rFonts w:hint="eastAsia" w:eastAsia="宋体" w:asciiTheme="minorEastAsia" w:hAnsiTheme="minorEastAsia" w:cstheme="minorEastAsia"/>
                <w:kern w:val="0"/>
                <w:szCs w:val="21"/>
                <w:lang w:val="en-US" w:eastAsia="zh-CN"/>
              </w:rPr>
              <w:t>2</w:t>
            </w:r>
          </w:p>
        </w:tc>
        <w:tc>
          <w:tcPr>
            <w:tcW w:w="1136" w:type="dxa"/>
            <w:vAlign w:val="center"/>
          </w:tcPr>
          <w:p w14:paraId="471151DD">
            <w:pPr>
              <w:jc w:val="both"/>
              <w:rPr>
                <w:rFonts w:hint="default" w:asciiTheme="minorEastAsia" w:hAnsiTheme="minorEastAsia" w:cstheme="minorEastAsia"/>
                <w:kern w:val="0"/>
                <w:szCs w:val="21"/>
                <w:lang w:val="en-US" w:eastAsia="zh-CN"/>
              </w:rPr>
            </w:pPr>
            <w:r>
              <w:rPr>
                <w:rFonts w:hint="eastAsia" w:asciiTheme="minorEastAsia" w:hAnsiTheme="minorEastAsia" w:cstheme="minorEastAsia"/>
                <w:kern w:val="0"/>
                <w:szCs w:val="21"/>
                <w:lang w:val="en-US" w:eastAsia="zh-CN"/>
              </w:rPr>
              <w:t>专用存储</w:t>
            </w:r>
          </w:p>
        </w:tc>
        <w:tc>
          <w:tcPr>
            <w:tcW w:w="1254" w:type="dxa"/>
            <w:vAlign w:val="center"/>
          </w:tcPr>
          <w:p w14:paraId="688B51C2">
            <w:pPr>
              <w:jc w:val="center"/>
              <w:rPr>
                <w:rFonts w:hint="default" w:asciiTheme="minorEastAsia" w:hAnsiTheme="minorEastAsia" w:eastAsiaTheme="minorEastAsia" w:cstheme="minorEastAsia"/>
                <w:b w:val="0"/>
                <w:kern w:val="0"/>
                <w:sz w:val="21"/>
                <w:szCs w:val="21"/>
                <w:lang w:val="en-US" w:eastAsia="zh-CN" w:bidi="ar-SA"/>
              </w:rPr>
            </w:pPr>
            <w:r>
              <w:rPr>
                <w:rFonts w:hint="eastAsia" w:asciiTheme="minorEastAsia" w:hAnsiTheme="minorEastAsia" w:cstheme="minorEastAsia"/>
                <w:b w:val="0"/>
                <w:kern w:val="0"/>
                <w:sz w:val="21"/>
                <w:szCs w:val="21"/>
                <w:lang w:val="en-US" w:eastAsia="zh-CN" w:bidi="ar-SA"/>
              </w:rPr>
              <w:t>神州云科NCS5524E</w:t>
            </w:r>
          </w:p>
        </w:tc>
        <w:tc>
          <w:tcPr>
            <w:tcW w:w="3510" w:type="dxa"/>
            <w:vAlign w:val="center"/>
          </w:tcPr>
          <w:p w14:paraId="1FB0EB9C">
            <w:pPr>
              <w:keepNext w:val="0"/>
              <w:keepLines w:val="0"/>
              <w:widowControl/>
              <w:suppressLineNumbers w:val="0"/>
              <w:jc w:val="left"/>
              <w:rPr>
                <w:rFonts w:hint="eastAsia" w:asciiTheme="minorEastAsia" w:hAnsiTheme="minorEastAsia" w:cstheme="minorEastAsia"/>
                <w:b w:val="0"/>
                <w:kern w:val="0"/>
                <w:sz w:val="21"/>
                <w:szCs w:val="21"/>
                <w:lang w:val="en-US" w:eastAsia="zh-Hans" w:bidi="ar-SA"/>
              </w:rPr>
            </w:pPr>
            <w:r>
              <w:rPr>
                <w:rFonts w:hint="eastAsia" w:asciiTheme="minorEastAsia" w:hAnsiTheme="minorEastAsia" w:cstheme="minorEastAsia"/>
                <w:b w:val="0"/>
                <w:kern w:val="0"/>
                <w:sz w:val="21"/>
                <w:szCs w:val="21"/>
                <w:lang w:val="en-US" w:eastAsia="zh-Hans" w:bidi="ar-SA"/>
              </w:rPr>
              <w:t>硬件平台及应用软件，详见附件</w:t>
            </w:r>
          </w:p>
        </w:tc>
        <w:tc>
          <w:tcPr>
            <w:tcW w:w="812" w:type="dxa"/>
            <w:vAlign w:val="center"/>
          </w:tcPr>
          <w:p w14:paraId="0F05E06C">
            <w:pPr>
              <w:jc w:val="center"/>
              <w:rPr>
                <w:rFonts w:hint="eastAsia" w:eastAsia="宋体" w:asciiTheme="minorEastAsia" w:hAnsiTheme="minorEastAsia" w:cstheme="minorEastAsia"/>
                <w:kern w:val="0"/>
                <w:szCs w:val="21"/>
                <w:lang w:val="en-US" w:eastAsia="zh-CN"/>
              </w:rPr>
            </w:pPr>
            <w:r>
              <w:rPr>
                <w:rFonts w:hint="eastAsia" w:eastAsia="宋体" w:asciiTheme="minorEastAsia" w:hAnsiTheme="minorEastAsia" w:cstheme="minorEastAsia"/>
                <w:kern w:val="0"/>
                <w:szCs w:val="21"/>
                <w:lang w:val="en-US" w:eastAsia="zh-CN"/>
              </w:rPr>
              <w:t>2</w:t>
            </w:r>
            <w:r>
              <w:rPr>
                <w:rFonts w:hint="eastAsia" w:eastAsia="宋体" w:asciiTheme="minorEastAsia" w:hAnsiTheme="minorEastAsia" w:cstheme="minorEastAsia"/>
                <w:kern w:val="0"/>
                <w:szCs w:val="21"/>
                <w:lang w:val="en-US" w:eastAsia="zh-Hans"/>
              </w:rPr>
              <w:t>台</w:t>
            </w:r>
          </w:p>
        </w:tc>
        <w:tc>
          <w:tcPr>
            <w:tcW w:w="1397" w:type="dxa"/>
            <w:vAlign w:val="center"/>
          </w:tcPr>
          <w:p w14:paraId="4917890F">
            <w:pPr>
              <w:jc w:val="center"/>
              <w:rPr>
                <w:rFonts w:hint="eastAsia" w:eastAsia="宋体" w:asciiTheme="minorEastAsia" w:hAnsiTheme="minorEastAsia" w:cstheme="minorEastAsia"/>
                <w:kern w:val="0"/>
                <w:szCs w:val="21"/>
                <w:lang w:val="en-US" w:eastAsia="zh-CN"/>
              </w:rPr>
            </w:pPr>
            <w:r>
              <w:rPr>
                <w:rFonts w:hint="eastAsia" w:asciiTheme="minorEastAsia" w:hAnsiTheme="minorEastAsia" w:cstheme="minorEastAsia"/>
                <w:b w:val="0"/>
                <w:kern w:val="0"/>
                <w:sz w:val="21"/>
                <w:szCs w:val="21"/>
                <w:lang w:val="en-US" w:eastAsia="zh-CN" w:bidi="ar-SA"/>
              </w:rPr>
              <w:t>720</w:t>
            </w:r>
            <w:r>
              <w:rPr>
                <w:rFonts w:hint="eastAsia" w:asciiTheme="minorEastAsia" w:hAnsiTheme="minorEastAsia" w:cstheme="minorEastAsia"/>
                <w:b w:val="0"/>
                <w:kern w:val="0"/>
                <w:sz w:val="21"/>
                <w:szCs w:val="21"/>
                <w:lang w:val="en-US" w:eastAsia="zh-Hans" w:bidi="ar-SA"/>
              </w:rPr>
              <w:t>,000.00</w:t>
            </w:r>
          </w:p>
        </w:tc>
      </w:tr>
    </w:tbl>
    <w:p w14:paraId="1F16F67D"/>
    <w:p w14:paraId="4C6ABB9D"/>
    <w:p w14:paraId="2868B9BE">
      <w:pPr>
        <w:pStyle w:val="5"/>
        <w:widowControl/>
        <w:numPr>
          <w:ilvl w:val="0"/>
          <w:numId w:val="1"/>
        </w:numPr>
        <w:autoSpaceDE w:val="0"/>
        <w:autoSpaceDN w:val="0"/>
        <w:snapToGrid w:val="0"/>
        <w:spacing w:before="100" w:beforeAutospacing="1" w:line="360" w:lineRule="auto"/>
        <w:ind w:left="420" w:hanging="420" w:firstLineChars="0"/>
        <w:textAlignment w:val="bottom"/>
        <w:rPr>
          <w:rFonts w:hint="eastAsia" w:ascii="宋体" w:hAnsi="宋体"/>
          <w:b/>
          <w:color w:val="000000"/>
          <w:sz w:val="28"/>
          <w:lang w:val="en-US" w:eastAsia="zh-Hans"/>
        </w:rPr>
      </w:pPr>
      <w:r>
        <w:rPr>
          <w:rFonts w:hint="eastAsia" w:ascii="宋体" w:hAnsi="宋体"/>
          <w:b/>
          <w:color w:val="000000"/>
          <w:sz w:val="28"/>
          <w:lang w:val="en-US" w:eastAsia="zh-Hans"/>
        </w:rPr>
        <w:t>技术规格要求</w:t>
      </w:r>
    </w:p>
    <w:p w14:paraId="27052A1F">
      <w:pPr>
        <w:rPr>
          <w:rFonts w:hint="default" w:eastAsiaTheme="minorEastAsia"/>
          <w:sz w:val="24"/>
          <w:szCs w:val="24"/>
          <w:lang w:val="en-US" w:eastAsia="zh-CN"/>
        </w:rPr>
      </w:pPr>
      <w:r>
        <w:rPr>
          <w:rFonts w:hint="eastAsia"/>
          <w:sz w:val="24"/>
          <w:szCs w:val="24"/>
          <w:lang w:val="en-US" w:eastAsia="zh-CN"/>
        </w:rPr>
        <w:t>1、技术规格要求</w:t>
      </w:r>
    </w:p>
    <w:tbl>
      <w:tblPr>
        <w:tblStyle w:val="2"/>
        <w:tblW w:w="9025" w:type="dxa"/>
        <w:tblInd w:w="-5" w:type="dxa"/>
        <w:tblLayout w:type="autofit"/>
        <w:tblCellMar>
          <w:top w:w="0" w:type="dxa"/>
          <w:left w:w="108" w:type="dxa"/>
          <w:bottom w:w="0" w:type="dxa"/>
          <w:right w:w="108" w:type="dxa"/>
        </w:tblCellMar>
      </w:tblPr>
      <w:tblGrid>
        <w:gridCol w:w="1689"/>
        <w:gridCol w:w="7336"/>
      </w:tblGrid>
      <w:tr w14:paraId="6B2F0B3A">
        <w:tblPrEx>
          <w:tblCellMar>
            <w:top w:w="0" w:type="dxa"/>
            <w:left w:w="108" w:type="dxa"/>
            <w:bottom w:w="0" w:type="dxa"/>
            <w:right w:w="108" w:type="dxa"/>
          </w:tblCellMar>
        </w:tblPrEx>
        <w:tc>
          <w:tcPr>
            <w:tcW w:w="1689" w:type="dxa"/>
            <w:tcBorders>
              <w:top w:val="single" w:color="auto" w:sz="4" w:space="0"/>
              <w:left w:val="single" w:color="auto" w:sz="4" w:space="0"/>
              <w:bottom w:val="single" w:color="auto" w:sz="4" w:space="0"/>
              <w:right w:val="single" w:color="auto" w:sz="4" w:space="0"/>
            </w:tcBorders>
            <w:shd w:val="clear" w:color="000000" w:fill="auto"/>
          </w:tcPr>
          <w:p w14:paraId="408E1073">
            <w:pPr>
              <w:widowControl/>
              <w:jc w:val="center"/>
              <w:rPr>
                <w:rFonts w:cs="Arial" w:asciiTheme="minorEastAsia" w:hAnsiTheme="minorEastAsia" w:eastAsiaTheme="minorEastAsia"/>
                <w:color w:val="000000"/>
                <w:kern w:val="0"/>
                <w:szCs w:val="21"/>
              </w:rPr>
            </w:pPr>
            <w:r>
              <w:rPr>
                <w:rFonts w:hint="eastAsia" w:cs="Arial" w:asciiTheme="minorEastAsia" w:hAnsiTheme="minorEastAsia" w:eastAsiaTheme="minorEastAsia"/>
                <w:color w:val="000000"/>
                <w:kern w:val="0"/>
                <w:szCs w:val="21"/>
              </w:rPr>
              <w:t>指标</w:t>
            </w:r>
          </w:p>
        </w:tc>
        <w:tc>
          <w:tcPr>
            <w:tcW w:w="7336" w:type="dxa"/>
            <w:tcBorders>
              <w:top w:val="single" w:color="auto" w:sz="4" w:space="0"/>
              <w:left w:val="nil"/>
              <w:bottom w:val="single" w:color="auto" w:sz="4" w:space="0"/>
              <w:right w:val="single" w:color="auto" w:sz="4" w:space="0"/>
            </w:tcBorders>
            <w:shd w:val="clear" w:color="000000" w:fill="auto"/>
          </w:tcPr>
          <w:p w14:paraId="2519D5E2">
            <w:pPr>
              <w:widowControl/>
              <w:jc w:val="center"/>
              <w:rPr>
                <w:rFonts w:cs="Arial" w:asciiTheme="minorEastAsia" w:hAnsiTheme="minorEastAsia" w:eastAsiaTheme="minorEastAsia"/>
                <w:color w:val="000000"/>
                <w:kern w:val="0"/>
                <w:szCs w:val="21"/>
              </w:rPr>
            </w:pPr>
            <w:r>
              <w:rPr>
                <w:rFonts w:hint="eastAsia" w:cs="Arial" w:asciiTheme="minorEastAsia" w:hAnsiTheme="minorEastAsia" w:eastAsiaTheme="minorEastAsia"/>
                <w:color w:val="000000"/>
                <w:kern w:val="0"/>
                <w:szCs w:val="21"/>
              </w:rPr>
              <w:t>规格</w:t>
            </w:r>
          </w:p>
        </w:tc>
      </w:tr>
      <w:tr w14:paraId="38AD8B13">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06CE9EE5">
            <w:pPr>
              <w:widowControl/>
              <w:jc w:val="left"/>
              <w:rPr>
                <w:rFonts w:hint="default" w:cs="Calibri" w:asciiTheme="minorEastAsia" w:hAnsiTheme="minorEastAsia" w:eastAsiaTheme="minorEastAsia"/>
                <w:color w:val="000000"/>
                <w:szCs w:val="21"/>
                <w:lang w:val="en-US" w:eastAsia="zh-CN"/>
              </w:rPr>
            </w:pPr>
            <w:r>
              <w:rPr>
                <w:rFonts w:hint="eastAsia" w:ascii="宋体" w:hAnsi="宋体"/>
                <w:b/>
                <w:szCs w:val="21"/>
              </w:rPr>
              <w:t>▲</w:t>
            </w:r>
            <w:r>
              <w:rPr>
                <w:rFonts w:hint="eastAsia" w:cs="Calibri" w:asciiTheme="minorEastAsia" w:hAnsiTheme="minorEastAsia" w:eastAsiaTheme="minorEastAsia"/>
                <w:color w:val="000000"/>
                <w:szCs w:val="21"/>
                <w:lang w:val="it-IT"/>
              </w:rPr>
              <w:t>品牌</w:t>
            </w:r>
            <w:r>
              <w:rPr>
                <w:rFonts w:hint="eastAsia" w:cs="Calibri" w:asciiTheme="minorEastAsia" w:hAnsiTheme="minorEastAsia"/>
                <w:color w:val="000000"/>
                <w:szCs w:val="21"/>
                <w:lang w:val="en-US" w:eastAsia="zh-CN"/>
              </w:rPr>
              <w:t>及型号</w:t>
            </w:r>
          </w:p>
        </w:tc>
        <w:tc>
          <w:tcPr>
            <w:tcW w:w="7336" w:type="dxa"/>
            <w:tcBorders>
              <w:top w:val="nil"/>
              <w:left w:val="nil"/>
              <w:bottom w:val="single" w:color="auto" w:sz="4" w:space="0"/>
              <w:right w:val="single" w:color="auto" w:sz="4" w:space="0"/>
            </w:tcBorders>
            <w:shd w:val="clear" w:color="auto" w:fill="auto"/>
          </w:tcPr>
          <w:p w14:paraId="3FB25D2E">
            <w:pPr>
              <w:rPr>
                <w:rFonts w:cs="Calibri" w:asciiTheme="minorEastAsia" w:hAnsiTheme="minorEastAsia" w:eastAsiaTheme="minorEastAsia"/>
                <w:color w:val="000000"/>
                <w:szCs w:val="21"/>
                <w:lang w:val="it-IT"/>
              </w:rPr>
            </w:pPr>
            <w:r>
              <w:rPr>
                <w:rFonts w:hint="eastAsia" w:asciiTheme="minorEastAsia" w:hAnsiTheme="minorEastAsia" w:cstheme="minorEastAsia"/>
                <w:b w:val="0"/>
                <w:kern w:val="0"/>
                <w:sz w:val="21"/>
                <w:szCs w:val="21"/>
                <w:lang w:val="en-US" w:eastAsia="zh-CN" w:bidi="ar-SA"/>
              </w:rPr>
              <w:t>神州云科NCS5524E</w:t>
            </w:r>
          </w:p>
        </w:tc>
      </w:tr>
      <w:tr w14:paraId="73B0C2E2">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74BD17D0">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架构</w:t>
            </w:r>
          </w:p>
        </w:tc>
        <w:tc>
          <w:tcPr>
            <w:tcW w:w="7336" w:type="dxa"/>
            <w:tcBorders>
              <w:top w:val="nil"/>
              <w:left w:val="nil"/>
              <w:bottom w:val="single" w:color="auto" w:sz="4" w:space="0"/>
              <w:right w:val="single" w:color="auto" w:sz="4" w:space="0"/>
            </w:tcBorders>
            <w:shd w:val="clear" w:color="auto" w:fill="auto"/>
          </w:tcPr>
          <w:p w14:paraId="15478472">
            <w:pPr>
              <w:widowControl/>
              <w:jc w:val="left"/>
              <w:rPr>
                <w:rFonts w:cs="Calibri" w:asciiTheme="minorEastAsia" w:hAnsiTheme="minorEastAsia" w:eastAsiaTheme="minorEastAsia"/>
                <w:color w:val="000000"/>
                <w:szCs w:val="21"/>
              </w:rPr>
            </w:pPr>
            <w:r>
              <w:rPr>
                <w:rFonts w:hint="eastAsia" w:cs="Calibri" w:asciiTheme="minorEastAsia" w:hAnsiTheme="minorEastAsia" w:eastAsiaTheme="minorEastAsia"/>
                <w:color w:val="000000"/>
                <w:szCs w:val="21"/>
                <w:lang w:val="it-IT"/>
              </w:rPr>
              <w:t>采用双活控制器冗余架构，支持SAN功能，存储控制器为AA双主动模式，</w:t>
            </w:r>
            <w:r>
              <w:rPr>
                <w:rFonts w:hint="eastAsia" w:cs="Calibri" w:asciiTheme="minorEastAsia" w:hAnsiTheme="minorEastAsia" w:eastAsiaTheme="minorEastAsia"/>
                <w:color w:val="000000"/>
                <w:szCs w:val="21"/>
              </w:rPr>
              <w:t>配置双控制器和冗余电源</w:t>
            </w:r>
          </w:p>
        </w:tc>
      </w:tr>
      <w:tr w14:paraId="13FDDC05">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5F313E27">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系统缓存</w:t>
            </w:r>
          </w:p>
        </w:tc>
        <w:tc>
          <w:tcPr>
            <w:tcW w:w="7336" w:type="dxa"/>
            <w:tcBorders>
              <w:top w:val="nil"/>
              <w:left w:val="nil"/>
              <w:bottom w:val="single" w:color="auto" w:sz="4" w:space="0"/>
              <w:right w:val="single" w:color="auto" w:sz="4" w:space="0"/>
            </w:tcBorders>
            <w:shd w:val="clear" w:color="auto" w:fill="auto"/>
          </w:tcPr>
          <w:p w14:paraId="7F2A474A">
            <w:pPr>
              <w:widowControl/>
              <w:jc w:val="left"/>
              <w:rPr>
                <w:rFonts w:cs="Calibri" w:asciiTheme="minorEastAsia" w:hAnsiTheme="minorEastAsia" w:eastAsiaTheme="minorEastAsia"/>
                <w:color w:val="000000"/>
                <w:szCs w:val="21"/>
                <w:lang w:val="it-IT"/>
              </w:rPr>
            </w:pPr>
            <w:bookmarkStart w:id="0" w:name="OLE_LINK14"/>
            <w:bookmarkStart w:id="1" w:name="OLE_LINK13"/>
            <w:bookmarkStart w:id="2" w:name="OLE_LINK15"/>
            <w:r>
              <w:rPr>
                <w:rFonts w:hint="eastAsia" w:cs="Calibri" w:asciiTheme="minorEastAsia" w:hAnsiTheme="minorEastAsia"/>
                <w:color w:val="000000"/>
                <w:szCs w:val="21"/>
                <w:lang w:val="en-US" w:eastAsia="zh-CN"/>
              </w:rPr>
              <w:t>每控制器</w:t>
            </w:r>
            <w:r>
              <w:rPr>
                <w:rFonts w:hint="eastAsia" w:cs="Calibri" w:asciiTheme="minorEastAsia" w:hAnsiTheme="minorEastAsia" w:eastAsiaTheme="minorEastAsia"/>
                <w:color w:val="000000"/>
                <w:szCs w:val="21"/>
                <w:lang w:val="it-IT"/>
              </w:rPr>
              <w:t>≥</w:t>
            </w:r>
            <w:bookmarkEnd w:id="0"/>
            <w:bookmarkEnd w:id="1"/>
            <w:bookmarkEnd w:id="2"/>
            <w:r>
              <w:rPr>
                <w:rFonts w:hint="eastAsia" w:cs="Calibri" w:asciiTheme="minorEastAsia" w:hAnsiTheme="minorEastAsia"/>
                <w:color w:val="000000"/>
                <w:szCs w:val="21"/>
                <w:lang w:val="en-US" w:eastAsia="zh-CN"/>
              </w:rPr>
              <w:t>128</w:t>
            </w:r>
            <w:r>
              <w:rPr>
                <w:rFonts w:hint="eastAsia" w:cs="Calibri" w:asciiTheme="minorEastAsia" w:hAnsiTheme="minorEastAsia" w:eastAsiaTheme="minorEastAsia"/>
                <w:color w:val="000000"/>
                <w:szCs w:val="21"/>
                <w:lang w:val="it-IT"/>
              </w:rPr>
              <w:t>GB RAM高速缓存</w:t>
            </w:r>
          </w:p>
        </w:tc>
      </w:tr>
      <w:tr w14:paraId="444D4963">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0CEE624B">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前端接口</w:t>
            </w:r>
          </w:p>
        </w:tc>
        <w:tc>
          <w:tcPr>
            <w:tcW w:w="7336" w:type="dxa"/>
            <w:tcBorders>
              <w:top w:val="nil"/>
              <w:left w:val="nil"/>
              <w:bottom w:val="single" w:color="auto" w:sz="4" w:space="0"/>
              <w:right w:val="single" w:color="auto" w:sz="4" w:space="0"/>
            </w:tcBorders>
            <w:shd w:val="clear" w:color="auto" w:fill="auto"/>
          </w:tcPr>
          <w:p w14:paraId="303D8CBF">
            <w:pPr>
              <w:widowControl/>
              <w:jc w:val="left"/>
              <w:rPr>
                <w:rFonts w:cs="Calibri" w:asciiTheme="minorEastAsia" w:hAnsiTheme="minorEastAsia" w:eastAsiaTheme="minorEastAsia"/>
                <w:color w:val="000000"/>
                <w:szCs w:val="21"/>
              </w:rPr>
            </w:pPr>
            <w:r>
              <w:rPr>
                <w:rFonts w:hint="eastAsia" w:cs="Calibri" w:asciiTheme="minorEastAsia" w:hAnsiTheme="minorEastAsia" w:eastAsiaTheme="minorEastAsia"/>
                <w:color w:val="000000"/>
                <w:szCs w:val="21"/>
                <w:lang w:val="it-IT"/>
              </w:rPr>
              <w:t>配置</w:t>
            </w:r>
            <w:r>
              <w:rPr>
                <w:rFonts w:hint="eastAsia" w:cs="Calibri" w:asciiTheme="minorEastAsia" w:hAnsiTheme="minorEastAsia"/>
                <w:color w:val="000000"/>
                <w:szCs w:val="21"/>
                <w:lang w:val="en-US" w:eastAsia="zh-CN"/>
              </w:rPr>
              <w:t>8</w:t>
            </w:r>
            <w:r>
              <w:rPr>
                <w:rFonts w:hint="eastAsia" w:cs="Calibri" w:asciiTheme="minorEastAsia" w:hAnsiTheme="minorEastAsia" w:eastAsiaTheme="minorEastAsia"/>
                <w:color w:val="000000"/>
                <w:szCs w:val="21"/>
                <w:lang w:val="it-IT"/>
              </w:rPr>
              <w:t>个</w:t>
            </w:r>
            <w:r>
              <w:rPr>
                <w:rFonts w:hint="eastAsia" w:cs="Calibri" w:asciiTheme="minorEastAsia" w:hAnsiTheme="minorEastAsia"/>
                <w:color w:val="000000"/>
                <w:szCs w:val="21"/>
                <w:lang w:val="en-US" w:eastAsia="zh-CN"/>
              </w:rPr>
              <w:t>32</w:t>
            </w:r>
            <w:r>
              <w:rPr>
                <w:rFonts w:hint="eastAsia" w:cs="Calibri" w:asciiTheme="minorEastAsia" w:hAnsiTheme="minorEastAsia" w:eastAsiaTheme="minorEastAsia"/>
                <w:color w:val="000000"/>
                <w:szCs w:val="21"/>
                <w:lang w:val="it-IT"/>
              </w:rPr>
              <w:t>Gb FC主机接口</w:t>
            </w:r>
            <w:r>
              <w:rPr>
                <w:rFonts w:hint="eastAsia" w:cs="Calibri" w:asciiTheme="minorEastAsia" w:hAnsiTheme="minorEastAsia"/>
                <w:color w:val="000000"/>
                <w:szCs w:val="21"/>
                <w:lang w:val="it-IT" w:eastAsia="zh-CN"/>
              </w:rPr>
              <w:t>、</w:t>
            </w:r>
            <w:r>
              <w:rPr>
                <w:rFonts w:hint="eastAsia" w:cs="Calibri" w:asciiTheme="minorEastAsia" w:hAnsiTheme="minorEastAsia"/>
                <w:color w:val="000000"/>
                <w:szCs w:val="21"/>
                <w:lang w:val="en-US" w:eastAsia="zh-CN"/>
              </w:rPr>
              <w:t>8个25G 主机端口</w:t>
            </w:r>
            <w:r>
              <w:rPr>
                <w:rFonts w:hint="eastAsia" w:cs="Calibri" w:asciiTheme="minorEastAsia" w:hAnsiTheme="minorEastAsia" w:eastAsiaTheme="minorEastAsia"/>
                <w:color w:val="000000"/>
                <w:szCs w:val="21"/>
                <w:lang w:val="it-IT"/>
              </w:rPr>
              <w:t>及相应模块，支持10</w:t>
            </w:r>
            <w:r>
              <w:rPr>
                <w:rFonts w:hint="eastAsia" w:cs="Calibri" w:asciiTheme="minorEastAsia" w:hAnsiTheme="minorEastAsia" w:eastAsiaTheme="minorEastAsia"/>
                <w:color w:val="000000"/>
                <w:szCs w:val="21"/>
              </w:rPr>
              <w:t>/25</w:t>
            </w:r>
            <w:r>
              <w:rPr>
                <w:rFonts w:hint="eastAsia" w:cs="Calibri" w:asciiTheme="minorEastAsia" w:hAnsiTheme="minorEastAsia" w:eastAsiaTheme="minorEastAsia"/>
                <w:color w:val="000000"/>
                <w:szCs w:val="21"/>
                <w:lang w:val="it-IT"/>
              </w:rPr>
              <w:t>Gb ISCSI和12Gb SAS接口</w:t>
            </w:r>
            <w:r>
              <w:rPr>
                <w:rFonts w:hint="eastAsia" w:cs="Calibri" w:asciiTheme="minorEastAsia" w:hAnsiTheme="minorEastAsia" w:eastAsiaTheme="minorEastAsia"/>
                <w:color w:val="000000"/>
                <w:szCs w:val="21"/>
              </w:rPr>
              <w:t>和32Gb FC接口</w:t>
            </w:r>
          </w:p>
        </w:tc>
      </w:tr>
      <w:tr w14:paraId="03F9B5B3">
        <w:tblPrEx>
          <w:tblCellMar>
            <w:top w:w="0" w:type="dxa"/>
            <w:left w:w="108" w:type="dxa"/>
            <w:bottom w:w="0" w:type="dxa"/>
            <w:right w:w="108" w:type="dxa"/>
          </w:tblCellMar>
        </w:tblPrEx>
        <w:trPr>
          <w:trHeight w:val="307" w:hRule="atLeast"/>
        </w:trPr>
        <w:tc>
          <w:tcPr>
            <w:tcW w:w="1689" w:type="dxa"/>
            <w:tcBorders>
              <w:top w:val="nil"/>
              <w:left w:val="single" w:color="auto" w:sz="4" w:space="0"/>
              <w:bottom w:val="single" w:color="auto" w:sz="4" w:space="0"/>
              <w:right w:val="single" w:color="auto" w:sz="4" w:space="0"/>
            </w:tcBorders>
            <w:shd w:val="clear" w:color="auto" w:fill="auto"/>
          </w:tcPr>
          <w:p w14:paraId="6405382C">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硬盘配置</w:t>
            </w:r>
          </w:p>
        </w:tc>
        <w:tc>
          <w:tcPr>
            <w:tcW w:w="7336" w:type="dxa"/>
            <w:tcBorders>
              <w:top w:val="nil"/>
              <w:left w:val="nil"/>
              <w:bottom w:val="single" w:color="auto" w:sz="4" w:space="0"/>
              <w:right w:val="single" w:color="auto" w:sz="4" w:space="0"/>
            </w:tcBorders>
            <w:shd w:val="clear" w:color="auto" w:fill="auto"/>
          </w:tcPr>
          <w:p w14:paraId="3748EEB0">
            <w:pPr>
              <w:widowControl/>
              <w:jc w:val="left"/>
              <w:rPr>
                <w:rFonts w:cs="Calibri" w:asciiTheme="minorEastAsia" w:hAnsiTheme="minorEastAsia" w:eastAsiaTheme="minorEastAsia"/>
                <w:color w:val="000000"/>
                <w:szCs w:val="21"/>
              </w:rPr>
            </w:pPr>
            <w:r>
              <w:rPr>
                <w:rFonts w:hint="eastAsia" w:cs="Calibri" w:asciiTheme="minorEastAsia" w:hAnsiTheme="minorEastAsia"/>
                <w:color w:val="000000"/>
                <w:szCs w:val="21"/>
                <w:lang w:val="en-US" w:eastAsia="zh-CN"/>
              </w:rPr>
              <w:t>24</w:t>
            </w:r>
            <w:r>
              <w:rPr>
                <w:rFonts w:hint="eastAsia" w:cs="Calibri" w:asciiTheme="minorEastAsia" w:hAnsiTheme="minorEastAsia" w:eastAsiaTheme="minorEastAsia"/>
                <w:color w:val="000000"/>
                <w:szCs w:val="21"/>
                <w:lang w:val="it-IT"/>
              </w:rPr>
              <w:t>块</w:t>
            </w:r>
            <w:r>
              <w:rPr>
                <w:rFonts w:hint="eastAsia" w:cs="Calibri" w:asciiTheme="minorEastAsia" w:hAnsiTheme="minorEastAsia"/>
                <w:color w:val="000000"/>
                <w:szCs w:val="21"/>
                <w:lang w:val="en-US" w:eastAsia="zh-CN"/>
              </w:rPr>
              <w:t>16</w:t>
            </w:r>
            <w:r>
              <w:rPr>
                <w:rFonts w:hint="eastAsia" w:cs="Calibri" w:asciiTheme="minorEastAsia" w:hAnsiTheme="minorEastAsia" w:eastAsiaTheme="minorEastAsia"/>
                <w:color w:val="000000"/>
                <w:szCs w:val="21"/>
                <w:lang w:val="it-IT"/>
              </w:rPr>
              <w:t xml:space="preserve">TB </w:t>
            </w:r>
            <w:r>
              <w:rPr>
                <w:rFonts w:hint="eastAsia" w:cs="Calibri" w:asciiTheme="minorEastAsia" w:hAnsiTheme="minorEastAsia"/>
                <w:color w:val="000000"/>
                <w:szCs w:val="21"/>
                <w:lang w:val="en-US" w:eastAsia="zh-CN"/>
              </w:rPr>
              <w:t>72</w:t>
            </w:r>
            <w:r>
              <w:rPr>
                <w:rFonts w:hint="eastAsia" w:cs="Calibri" w:asciiTheme="minorEastAsia" w:hAnsiTheme="minorEastAsia" w:eastAsiaTheme="minorEastAsia"/>
                <w:color w:val="000000"/>
                <w:szCs w:val="21"/>
                <w:lang w:val="it-IT"/>
              </w:rPr>
              <w:t>00转SA</w:t>
            </w:r>
            <w:r>
              <w:rPr>
                <w:rFonts w:hint="eastAsia" w:cs="Calibri" w:asciiTheme="minorEastAsia" w:hAnsiTheme="minorEastAsia"/>
                <w:color w:val="000000"/>
                <w:szCs w:val="21"/>
                <w:lang w:val="en-US" w:eastAsia="zh-CN"/>
              </w:rPr>
              <w:t>TA</w:t>
            </w:r>
            <w:r>
              <w:rPr>
                <w:rFonts w:hint="eastAsia" w:cs="Calibri" w:asciiTheme="minorEastAsia" w:hAnsiTheme="minorEastAsia" w:eastAsiaTheme="minorEastAsia"/>
                <w:color w:val="000000"/>
                <w:szCs w:val="21"/>
                <w:lang w:val="it-IT"/>
              </w:rPr>
              <w:t xml:space="preserve"> 热插拔</w:t>
            </w:r>
            <w:r>
              <w:rPr>
                <w:rFonts w:hint="eastAsia" w:cs="Calibri" w:asciiTheme="minorEastAsia" w:hAnsiTheme="minorEastAsia"/>
                <w:color w:val="000000"/>
                <w:szCs w:val="21"/>
                <w:lang w:val="en-US" w:eastAsia="zh-CN"/>
              </w:rPr>
              <w:t>数据</w:t>
            </w:r>
            <w:r>
              <w:rPr>
                <w:rFonts w:hint="eastAsia" w:cs="Calibri" w:asciiTheme="minorEastAsia" w:hAnsiTheme="minorEastAsia" w:eastAsiaTheme="minorEastAsia"/>
                <w:color w:val="000000"/>
                <w:szCs w:val="21"/>
                <w:lang w:val="it-IT"/>
              </w:rPr>
              <w:t>硬盘</w:t>
            </w:r>
          </w:p>
        </w:tc>
      </w:tr>
      <w:tr w14:paraId="34F2E282">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1DBC4CC0">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RAID 支持</w:t>
            </w:r>
          </w:p>
        </w:tc>
        <w:tc>
          <w:tcPr>
            <w:tcW w:w="7336" w:type="dxa"/>
            <w:tcBorders>
              <w:top w:val="nil"/>
              <w:left w:val="nil"/>
              <w:bottom w:val="single" w:color="auto" w:sz="4" w:space="0"/>
              <w:right w:val="single" w:color="auto" w:sz="4" w:space="0"/>
            </w:tcBorders>
            <w:shd w:val="clear" w:color="auto" w:fill="auto"/>
          </w:tcPr>
          <w:p w14:paraId="5BD9287B">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RAID 1、5、6、10、50 ；单个阵列中可存在 RAID 级别的任意组合</w:t>
            </w:r>
          </w:p>
        </w:tc>
      </w:tr>
      <w:tr w14:paraId="4FD12EE1">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64E85750">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存储管理</w:t>
            </w:r>
          </w:p>
        </w:tc>
        <w:tc>
          <w:tcPr>
            <w:tcW w:w="7336" w:type="dxa"/>
            <w:tcBorders>
              <w:top w:val="nil"/>
              <w:left w:val="nil"/>
              <w:bottom w:val="single" w:color="auto" w:sz="4" w:space="0"/>
              <w:right w:val="single" w:color="auto" w:sz="4" w:space="0"/>
            </w:tcBorders>
            <w:shd w:val="clear" w:color="auto" w:fill="auto"/>
          </w:tcPr>
          <w:p w14:paraId="406A79D8">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支持通过WEB和命令行方式管理，提供VCENTER管理插件</w:t>
            </w:r>
          </w:p>
        </w:tc>
      </w:tr>
      <w:tr w14:paraId="22086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89" w:type="dxa"/>
            <w:tcBorders>
              <w:top w:val="single" w:color="000000" w:sz="4" w:space="0"/>
              <w:left w:val="single" w:color="000000" w:sz="4" w:space="0"/>
              <w:bottom w:val="single" w:color="000000" w:sz="4" w:space="0"/>
              <w:right w:val="single" w:color="000000" w:sz="4" w:space="0"/>
            </w:tcBorders>
          </w:tcPr>
          <w:p w14:paraId="27005EA8">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行为追溯功能</w:t>
            </w:r>
          </w:p>
        </w:tc>
        <w:tc>
          <w:tcPr>
            <w:tcW w:w="7336" w:type="dxa"/>
            <w:tcBorders>
              <w:top w:val="single" w:color="000000" w:sz="4" w:space="0"/>
              <w:left w:val="single" w:color="000000" w:sz="4" w:space="0"/>
              <w:bottom w:val="single" w:color="000000" w:sz="4" w:space="0"/>
              <w:right w:val="single" w:color="000000" w:sz="4" w:space="0"/>
            </w:tcBorders>
          </w:tcPr>
          <w:p w14:paraId="543C229B">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支持对存储客户端操作记录追溯功能，具有文本日志生成功能，针对所有操作形成文本日志，方便检索。包括:所使用的软件,远程系统,商务软件和没有内部日志记录功能的软件；支持用户特殊操作行为识别，能够记录用户是否进行了复制、删除、USB设备使用或打印机，并支持文本查询和视频回放</w:t>
            </w:r>
          </w:p>
        </w:tc>
      </w:tr>
      <w:tr w14:paraId="02CF6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89" w:type="dxa"/>
            <w:tcBorders>
              <w:top w:val="single" w:color="000000" w:sz="4" w:space="0"/>
              <w:left w:val="single" w:color="000000" w:sz="4" w:space="0"/>
              <w:bottom w:val="single" w:color="000000" w:sz="4" w:space="0"/>
              <w:right w:val="single" w:color="000000" w:sz="4" w:space="0"/>
            </w:tcBorders>
          </w:tcPr>
          <w:p w14:paraId="37E6BFF2">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精简资源调配</w:t>
            </w:r>
          </w:p>
        </w:tc>
        <w:tc>
          <w:tcPr>
            <w:tcW w:w="7336" w:type="dxa"/>
            <w:tcBorders>
              <w:top w:val="single" w:color="000000" w:sz="4" w:space="0"/>
              <w:left w:val="single" w:color="000000" w:sz="4" w:space="0"/>
              <w:bottom w:val="single" w:color="000000" w:sz="4" w:space="0"/>
              <w:right w:val="single" w:color="000000" w:sz="4" w:space="0"/>
            </w:tcBorders>
          </w:tcPr>
          <w:p w14:paraId="2A5E682E">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默认在所有卷上已启用，可跨所有功能以完整性能运行</w:t>
            </w:r>
          </w:p>
        </w:tc>
      </w:tr>
      <w:tr w14:paraId="57E3A20C">
        <w:tblPrEx>
          <w:tblCellMar>
            <w:top w:w="0" w:type="dxa"/>
            <w:left w:w="108" w:type="dxa"/>
            <w:bottom w:w="0" w:type="dxa"/>
            <w:right w:w="108" w:type="dxa"/>
          </w:tblCellMar>
        </w:tblPrEx>
        <w:tc>
          <w:tcPr>
            <w:tcW w:w="1689" w:type="dxa"/>
            <w:tcBorders>
              <w:top w:val="nil"/>
              <w:left w:val="single" w:color="auto" w:sz="4" w:space="0"/>
              <w:bottom w:val="single" w:color="auto" w:sz="4" w:space="0"/>
              <w:right w:val="single" w:color="auto" w:sz="4" w:space="0"/>
            </w:tcBorders>
            <w:shd w:val="clear" w:color="auto" w:fill="auto"/>
          </w:tcPr>
          <w:p w14:paraId="7CAC924E">
            <w:pPr>
              <w:widowControl/>
              <w:jc w:val="both"/>
              <w:rPr>
                <w:rFonts w:cs="Calibri" w:asciiTheme="minorEastAsia" w:hAnsiTheme="minorEastAsia" w:eastAsiaTheme="minorEastAsia"/>
                <w:color w:val="000000"/>
                <w:szCs w:val="21"/>
                <w:lang w:val="it-IT"/>
              </w:rPr>
            </w:pPr>
            <w:r>
              <w:rPr>
                <w:rFonts w:hint="eastAsia" w:ascii="宋体" w:hAnsi="宋体" w:cs="宋体"/>
                <w:color w:val="000000"/>
                <w:szCs w:val="21"/>
              </w:rPr>
              <w:t>虚拟化软件支持</w:t>
            </w:r>
          </w:p>
        </w:tc>
        <w:tc>
          <w:tcPr>
            <w:tcW w:w="7336" w:type="dxa"/>
            <w:tcBorders>
              <w:top w:val="nil"/>
              <w:left w:val="nil"/>
              <w:bottom w:val="single" w:color="auto" w:sz="4" w:space="0"/>
              <w:right w:val="single" w:color="auto" w:sz="4" w:space="0"/>
            </w:tcBorders>
            <w:shd w:val="clear" w:color="auto" w:fill="auto"/>
          </w:tcPr>
          <w:p w14:paraId="0375C3C2">
            <w:pPr>
              <w:widowControl/>
              <w:jc w:val="left"/>
              <w:rPr>
                <w:rFonts w:cs="Calibri" w:asciiTheme="minorEastAsia" w:hAnsiTheme="minorEastAsia" w:eastAsiaTheme="minorEastAsia"/>
                <w:color w:val="000000"/>
                <w:szCs w:val="21"/>
                <w:lang w:val="it-IT"/>
              </w:rPr>
            </w:pPr>
            <w:r>
              <w:rPr>
                <w:rFonts w:hint="eastAsia" w:ascii="宋体" w:hAnsi="宋体" w:cs="宋体"/>
                <w:color w:val="000000"/>
                <w:szCs w:val="21"/>
              </w:rPr>
              <w:t>具有与存储同品牌国产化虚拟化软件</w:t>
            </w:r>
          </w:p>
        </w:tc>
      </w:tr>
      <w:tr w14:paraId="6BE7B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14:paraId="4201A2D1">
            <w:pPr>
              <w:widowControl/>
              <w:jc w:val="both"/>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数据保护</w:t>
            </w:r>
          </w:p>
        </w:tc>
        <w:tc>
          <w:tcPr>
            <w:tcW w:w="7336" w:type="dxa"/>
          </w:tcPr>
          <w:p w14:paraId="53CFF49B">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使用其他阵列复制 通过 FC 或 iSCSI 的异步数据块 目标/源关系可以是一对多或多对一</w:t>
            </w:r>
          </w:p>
        </w:tc>
      </w:tr>
      <w:tr w14:paraId="17B8D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vAlign w:val="center"/>
          </w:tcPr>
          <w:p w14:paraId="018FA807">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虚拟化数据保护</w:t>
            </w:r>
          </w:p>
        </w:tc>
        <w:tc>
          <w:tcPr>
            <w:tcW w:w="7336" w:type="dxa"/>
            <w:vAlign w:val="center"/>
          </w:tcPr>
          <w:p w14:paraId="7F2DB655">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支持VMware虚拟机连续数据保护功能，内置VMware平台I/O数据拆分器，实现IO级别恢复粒度，能够提供无限数据恢复点</w:t>
            </w:r>
          </w:p>
        </w:tc>
      </w:tr>
      <w:tr w14:paraId="3FBB1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14:paraId="4903B69E">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预测分析、异常检测、故障定位、机器学习</w:t>
            </w:r>
          </w:p>
        </w:tc>
        <w:tc>
          <w:tcPr>
            <w:tcW w:w="7336" w:type="dxa"/>
          </w:tcPr>
          <w:p w14:paraId="2E81AC48">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支持云智能管理系统，利用存储厂商大数据分析和</w:t>
            </w:r>
            <w:r>
              <w:rPr>
                <w:rFonts w:cs="Calibri" w:asciiTheme="minorEastAsia" w:hAnsiTheme="minorEastAsia" w:eastAsiaTheme="minorEastAsia"/>
                <w:color w:val="000000"/>
                <w:szCs w:val="21"/>
                <w:lang w:val="it-IT"/>
              </w:rPr>
              <w:t>AI</w:t>
            </w:r>
            <w:r>
              <w:rPr>
                <w:rFonts w:hint="eastAsia" w:cs="Calibri" w:asciiTheme="minorEastAsia" w:hAnsiTheme="minorEastAsia" w:eastAsiaTheme="minorEastAsia"/>
                <w:color w:val="000000"/>
                <w:szCs w:val="21"/>
                <w:lang w:val="it-IT"/>
              </w:rPr>
              <w:t>技术，提供自动报障、容量性能预测以及硬盘风险预测等服务，提前预防潜在风险，并为容量规划提供依据；预测分析：依据资源关联关系，自动规划未来资源分配，实现资源合理配置。异常检测：识别从虚拟机、服务器到存储设备的异常状况，识别故障根本原因给出修复建议，确保达成要求的服务等级。提供当前数据中心端到端拓扑视图，提供性能问题的根因分析，快速定位性能瓶颈。提供分析诊断以快速识别、隔离和确定问题的根本原因。可以生成恢复计划，为解决性能问题提供指导。</w:t>
            </w:r>
          </w:p>
        </w:tc>
      </w:tr>
      <w:tr w14:paraId="4C1A3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9" w:type="dxa"/>
          </w:tcPr>
          <w:p w14:paraId="34AA0ECE">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多路径管理软件</w:t>
            </w:r>
          </w:p>
        </w:tc>
        <w:tc>
          <w:tcPr>
            <w:tcW w:w="7336" w:type="dxa"/>
          </w:tcPr>
          <w:p w14:paraId="7B06B9FE">
            <w:pPr>
              <w:widowControl/>
              <w:jc w:val="left"/>
              <w:rPr>
                <w:rFonts w:cs="Calibri" w:asciiTheme="minorEastAsia" w:hAnsiTheme="minorEastAsia" w:eastAsiaTheme="minorEastAsia"/>
                <w:color w:val="000000"/>
                <w:szCs w:val="21"/>
                <w:lang w:val="it-IT"/>
              </w:rPr>
            </w:pPr>
            <w:r>
              <w:rPr>
                <w:rFonts w:hint="eastAsia" w:cs="Calibri" w:asciiTheme="minorEastAsia" w:hAnsiTheme="minorEastAsia" w:eastAsiaTheme="minorEastAsia"/>
                <w:color w:val="000000"/>
                <w:szCs w:val="21"/>
                <w:lang w:val="it-IT"/>
              </w:rPr>
              <w:t>配置多路径管理软件，实现主机通道负载自动均衡到同一虚拟存储组中的多个存储系统的不同IP端口。</w:t>
            </w:r>
          </w:p>
        </w:tc>
      </w:tr>
      <w:tr w14:paraId="27407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89" w:type="dxa"/>
            <w:shd w:val="clear" w:color="auto" w:fill="auto"/>
            <w:noWrap w:val="0"/>
            <w:vAlign w:val="center"/>
          </w:tcPr>
          <w:p w14:paraId="61C9E119">
            <w:pPr>
              <w:widowControl/>
              <w:rPr>
                <w:rFonts w:hint="default" w:ascii="宋体" w:hAnsi="宋体" w:eastAsiaTheme="minorEastAsia"/>
                <w:b/>
                <w:szCs w:val="21"/>
                <w:lang w:val="en-US" w:eastAsia="zh-CN"/>
              </w:rPr>
            </w:pPr>
            <w:r>
              <w:rPr>
                <w:rFonts w:hint="eastAsia" w:cs="Calibri" w:asciiTheme="minorEastAsia" w:hAnsiTheme="minorEastAsia" w:eastAsiaTheme="minorEastAsia"/>
                <w:color w:val="000000"/>
                <w:szCs w:val="21"/>
                <w:lang w:val="en-US" w:eastAsia="zh-CN"/>
              </w:rPr>
              <w:t>高可靠及数据保护授权</w:t>
            </w:r>
          </w:p>
        </w:tc>
        <w:tc>
          <w:tcPr>
            <w:tcW w:w="7336" w:type="dxa"/>
            <w:shd w:val="clear" w:color="000000" w:fill="FFFFFF"/>
            <w:noWrap w:val="0"/>
            <w:vAlign w:val="center"/>
          </w:tcPr>
          <w:p w14:paraId="59C7646A">
            <w:pPr>
              <w:keepNext w:val="0"/>
              <w:keepLines w:val="0"/>
              <w:widowControl/>
              <w:suppressLineNumbers w:val="0"/>
              <w:jc w:val="left"/>
              <w:textAlignment w:val="center"/>
              <w:rPr>
                <w:rFonts w:hint="eastAsia" w:ascii="宋体" w:hAnsi="宋体" w:cs="Arial" w:eastAsiaTheme="minorEastAsia"/>
                <w:color w:val="auto"/>
                <w:kern w:val="0"/>
                <w:sz w:val="21"/>
                <w:szCs w:val="21"/>
                <w:lang w:val="en-US" w:eastAsia="zh-CN" w:bidi="ar-SA"/>
              </w:rPr>
            </w:pPr>
            <w:r>
              <w:rPr>
                <w:rFonts w:hint="eastAsia" w:cs="Calibri" w:asciiTheme="minorEastAsia" w:hAnsiTheme="minorEastAsia" w:eastAsiaTheme="minorEastAsia"/>
                <w:color w:val="000000"/>
                <w:szCs w:val="21"/>
                <w:lang w:val="it-IT"/>
              </w:rPr>
              <w:t>配置</w:t>
            </w:r>
            <w:r>
              <w:rPr>
                <w:rFonts w:hint="eastAsia" w:cs="Calibri" w:asciiTheme="minorEastAsia" w:hAnsiTheme="minorEastAsia" w:eastAsiaTheme="minorEastAsia"/>
                <w:color w:val="000000"/>
                <w:szCs w:val="21"/>
                <w:lang w:val="en-US"/>
              </w:rPr>
              <w:t>AppSync Advanced • Connectrix SAN • Data Protection Suite：备份、归档和协作软件 • RP4VM • PowerPath Migration Enabler • • NCS Metro Node（数据块同步 Metro 主动/主动、零</w:t>
            </w:r>
            <w:r>
              <w:rPr>
                <w:rFonts w:hint="default" w:cs="Calibri" w:asciiTheme="minorEastAsia" w:hAnsiTheme="minorEastAsia" w:eastAsiaTheme="minorEastAsia"/>
                <w:color w:val="000000"/>
                <w:szCs w:val="21"/>
                <w:lang w:val="en-US"/>
              </w:rPr>
              <w:t>RPO/RTO）</w:t>
            </w:r>
          </w:p>
        </w:tc>
      </w:tr>
      <w:tr w14:paraId="0AC6A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89" w:type="dxa"/>
            <w:shd w:val="clear" w:color="auto" w:fill="auto"/>
            <w:noWrap w:val="0"/>
            <w:vAlign w:val="center"/>
          </w:tcPr>
          <w:p w14:paraId="12A11050">
            <w:pPr>
              <w:widowControl/>
              <w:rPr>
                <w:rFonts w:hint="default" w:ascii="宋体" w:hAnsi="宋体" w:eastAsiaTheme="minorEastAsia"/>
                <w:b/>
                <w:szCs w:val="21"/>
                <w:lang w:val="en-US" w:eastAsia="zh-CN"/>
              </w:rPr>
            </w:pPr>
            <w:r>
              <w:rPr>
                <w:rFonts w:hint="eastAsia" w:cs="Calibri" w:asciiTheme="minorEastAsia" w:hAnsiTheme="minorEastAsia" w:eastAsiaTheme="minorEastAsia"/>
                <w:color w:val="000000"/>
                <w:szCs w:val="21"/>
                <w:lang w:val="en-US" w:eastAsia="zh-CN"/>
              </w:rPr>
              <w:t>存储</w:t>
            </w:r>
            <w:r>
              <w:rPr>
                <w:rFonts w:hint="eastAsia" w:cs="Calibri" w:asciiTheme="minorEastAsia" w:hAnsiTheme="minorEastAsia"/>
                <w:color w:val="000000"/>
                <w:szCs w:val="21"/>
                <w:lang w:val="en-US" w:eastAsia="zh-CN"/>
              </w:rPr>
              <w:t>部署方式</w:t>
            </w:r>
            <w:bookmarkStart w:id="3" w:name="_GoBack"/>
            <w:bookmarkEnd w:id="3"/>
          </w:p>
        </w:tc>
        <w:tc>
          <w:tcPr>
            <w:tcW w:w="7336" w:type="dxa"/>
            <w:shd w:val="clear" w:color="000000" w:fill="FFFFFF"/>
            <w:noWrap w:val="0"/>
            <w:vAlign w:val="center"/>
          </w:tcPr>
          <w:p w14:paraId="6C0EC52F">
            <w:pPr>
              <w:keepNext w:val="0"/>
              <w:keepLines w:val="0"/>
              <w:widowControl/>
              <w:suppressLineNumbers w:val="0"/>
              <w:jc w:val="left"/>
              <w:textAlignment w:val="center"/>
              <w:rPr>
                <w:rFonts w:hint="eastAsia" w:ascii="宋体" w:hAnsi="宋体" w:cs="Arial" w:eastAsiaTheme="minorEastAsia"/>
                <w:color w:val="auto"/>
                <w:kern w:val="0"/>
                <w:sz w:val="21"/>
                <w:szCs w:val="21"/>
                <w:lang w:val="en-US" w:eastAsia="zh-CN" w:bidi="ar-SA"/>
              </w:rPr>
            </w:pPr>
            <w:r>
              <w:rPr>
                <w:rFonts w:hint="eastAsia" w:ascii="宋体" w:hAnsi="宋体" w:cs="Arial"/>
                <w:color w:val="auto"/>
                <w:kern w:val="0"/>
                <w:sz w:val="21"/>
                <w:szCs w:val="21"/>
                <w:lang w:val="en-US" w:eastAsia="zh-CN" w:bidi="ar-SA"/>
              </w:rPr>
              <w:t>2台存储分别部署在解放路院区和滨江院区机房，采用</w:t>
            </w:r>
            <w:r>
              <w:rPr>
                <w:rFonts w:hint="eastAsia" w:cs="Calibri" w:asciiTheme="minorEastAsia" w:hAnsiTheme="minorEastAsia" w:eastAsiaTheme="minorEastAsia"/>
                <w:color w:val="000000"/>
                <w:szCs w:val="21"/>
                <w:lang w:val="en-US"/>
              </w:rPr>
              <w:t>数据块同步</w:t>
            </w:r>
            <w:r>
              <w:rPr>
                <w:rFonts w:hint="eastAsia" w:cs="Calibri" w:asciiTheme="minorEastAsia" w:hAnsiTheme="minorEastAsia"/>
                <w:color w:val="000000"/>
                <w:szCs w:val="21"/>
                <w:lang w:val="en-US" w:eastAsia="zh-CN"/>
              </w:rPr>
              <w:t>技术</w:t>
            </w:r>
            <w:r>
              <w:rPr>
                <w:rFonts w:hint="eastAsia" w:cs="Calibri" w:asciiTheme="minorEastAsia" w:hAnsiTheme="minorEastAsia" w:eastAsiaTheme="minorEastAsia"/>
                <w:color w:val="000000"/>
                <w:szCs w:val="21"/>
                <w:lang w:val="en-US"/>
              </w:rPr>
              <w:t xml:space="preserve"> Metro 主动/主动、零</w:t>
            </w:r>
            <w:r>
              <w:rPr>
                <w:rFonts w:hint="default" w:cs="Calibri" w:asciiTheme="minorEastAsia" w:hAnsiTheme="minorEastAsia" w:eastAsiaTheme="minorEastAsia"/>
                <w:color w:val="000000"/>
                <w:szCs w:val="21"/>
                <w:lang w:val="en-US"/>
              </w:rPr>
              <w:t>RPO/RTO</w:t>
            </w:r>
            <w:r>
              <w:rPr>
                <w:rFonts w:hint="eastAsia" w:cs="Calibri" w:asciiTheme="minorEastAsia" w:hAnsiTheme="minorEastAsia"/>
                <w:color w:val="000000"/>
                <w:szCs w:val="21"/>
                <w:lang w:val="en-US" w:eastAsia="zh-CN"/>
              </w:rPr>
              <w:t>。</w:t>
            </w:r>
          </w:p>
        </w:tc>
      </w:tr>
      <w:tr w14:paraId="00157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89" w:type="dxa"/>
            <w:shd w:val="clear" w:color="auto" w:fill="auto"/>
            <w:noWrap w:val="0"/>
            <w:vAlign w:val="center"/>
          </w:tcPr>
          <w:p w14:paraId="6C7275C0">
            <w:pPr>
              <w:widowControl/>
              <w:rPr>
                <w:rFonts w:hint="default" w:ascii="宋体" w:hAnsi="宋体" w:cs="Arial"/>
                <w:kern w:val="0"/>
                <w:szCs w:val="21"/>
                <w:lang w:val="en-US" w:eastAsia="zh-CN"/>
              </w:rPr>
            </w:pPr>
            <w:r>
              <w:rPr>
                <w:rFonts w:hint="eastAsia" w:ascii="宋体" w:hAnsi="宋体"/>
                <w:b/>
                <w:szCs w:val="21"/>
              </w:rPr>
              <w:t>▲</w:t>
            </w:r>
            <w:r>
              <w:rPr>
                <w:rFonts w:hint="eastAsia" w:ascii="宋体" w:hAnsi="宋体" w:cs="Arial"/>
                <w:kern w:val="0"/>
                <w:szCs w:val="21"/>
              </w:rPr>
              <w:t>售后</w:t>
            </w:r>
            <w:r>
              <w:rPr>
                <w:rFonts w:ascii="宋体" w:hAnsi="宋体" w:cs="Arial"/>
                <w:kern w:val="0"/>
                <w:szCs w:val="21"/>
              </w:rPr>
              <w:t>服务</w:t>
            </w:r>
          </w:p>
        </w:tc>
        <w:tc>
          <w:tcPr>
            <w:tcW w:w="7336" w:type="dxa"/>
            <w:shd w:val="clear" w:color="000000" w:fill="FFFFFF"/>
            <w:noWrap w:val="0"/>
            <w:vAlign w:val="center"/>
          </w:tcPr>
          <w:p w14:paraId="06ADB7BA">
            <w:pPr>
              <w:keepNext w:val="0"/>
              <w:keepLines w:val="0"/>
              <w:widowControl/>
              <w:suppressLineNumbers w:val="0"/>
              <w:jc w:val="left"/>
              <w:textAlignment w:val="center"/>
              <w:rPr>
                <w:rFonts w:hint="default" w:ascii="宋体" w:hAnsi="宋体" w:cs="Arial" w:eastAsiaTheme="minorEastAsia"/>
                <w:color w:val="auto"/>
                <w:kern w:val="0"/>
                <w:sz w:val="21"/>
                <w:szCs w:val="21"/>
                <w:lang w:val="en-US" w:eastAsia="zh-Hans" w:bidi="ar-SA"/>
              </w:rPr>
            </w:pPr>
            <w:r>
              <w:rPr>
                <w:rFonts w:hint="eastAsia" w:ascii="宋体" w:hAnsi="宋体" w:cs="Arial" w:eastAsiaTheme="minorEastAsia"/>
                <w:color w:val="auto"/>
                <w:kern w:val="0"/>
                <w:sz w:val="21"/>
                <w:szCs w:val="21"/>
                <w:lang w:val="en-US" w:eastAsia="zh-CN" w:bidi="ar-SA"/>
              </w:rPr>
              <w:t>提供</w:t>
            </w:r>
            <w:r>
              <w:rPr>
                <w:rFonts w:hint="eastAsia" w:ascii="宋体" w:hAnsi="宋体" w:cs="Arial" w:eastAsiaTheme="minorEastAsia"/>
                <w:color w:val="auto"/>
                <w:kern w:val="0"/>
                <w:sz w:val="21"/>
                <w:szCs w:val="21"/>
                <w:lang w:val="en-US" w:eastAsia="zh-Hans" w:bidi="ar-SA"/>
              </w:rPr>
              <w:t>服务器</w:t>
            </w:r>
            <w:r>
              <w:rPr>
                <w:rFonts w:hint="eastAsia" w:ascii="宋体" w:hAnsi="宋体" w:cs="Arial" w:eastAsiaTheme="minorEastAsia"/>
                <w:color w:val="auto"/>
                <w:kern w:val="0"/>
                <w:sz w:val="21"/>
                <w:szCs w:val="21"/>
                <w:lang w:val="en-US" w:eastAsia="zh-CN" w:bidi="ar-SA"/>
              </w:rPr>
              <w:t>原厂5年免费人工、部件，7x24小时响应，4小时带备件上门服务</w:t>
            </w:r>
            <w:r>
              <w:rPr>
                <w:rFonts w:hint="eastAsia" w:ascii="宋体" w:hAnsi="宋体" w:cs="Arial" w:eastAsiaTheme="minorEastAsia"/>
                <w:color w:val="auto"/>
                <w:kern w:val="0"/>
                <w:sz w:val="21"/>
                <w:szCs w:val="21"/>
                <w:lang w:val="en-US" w:eastAsia="zh-Hans" w:bidi="ar-SA"/>
              </w:rPr>
              <w:t>、集群管理软件原厂</w:t>
            </w:r>
            <w:r>
              <w:rPr>
                <w:rFonts w:hint="default" w:ascii="宋体" w:hAnsi="宋体" w:cs="Arial" w:eastAsiaTheme="minorEastAsia"/>
                <w:color w:val="auto"/>
                <w:kern w:val="0"/>
                <w:sz w:val="21"/>
                <w:szCs w:val="21"/>
                <w:lang w:val="en-US" w:eastAsia="zh-Hans" w:bidi="ar-SA"/>
              </w:rPr>
              <w:t>5</w:t>
            </w:r>
            <w:r>
              <w:rPr>
                <w:rFonts w:hint="eastAsia" w:ascii="宋体" w:hAnsi="宋体" w:cs="Arial" w:eastAsiaTheme="minorEastAsia"/>
                <w:color w:val="auto"/>
                <w:kern w:val="0"/>
                <w:sz w:val="21"/>
                <w:szCs w:val="21"/>
                <w:lang w:val="en-US" w:eastAsia="zh-Hans" w:bidi="ar-SA"/>
              </w:rPr>
              <w:t>年技术支持服务。</w:t>
            </w:r>
          </w:p>
          <w:p w14:paraId="56EA2167">
            <w:pPr>
              <w:keepNext w:val="0"/>
              <w:keepLines w:val="0"/>
              <w:widowControl/>
              <w:suppressLineNumbers w:val="0"/>
              <w:jc w:val="left"/>
              <w:textAlignment w:val="center"/>
              <w:rPr>
                <w:rFonts w:hint="eastAsia" w:ascii="宋体" w:hAnsi="宋体" w:cs="Arial" w:eastAsiaTheme="minorEastAsia"/>
                <w:color w:val="auto"/>
                <w:kern w:val="0"/>
                <w:sz w:val="21"/>
                <w:szCs w:val="21"/>
                <w:lang w:val="en-US" w:eastAsia="zh-Hans" w:bidi="ar-SA"/>
              </w:rPr>
            </w:pPr>
            <w:r>
              <w:rPr>
                <w:rFonts w:hint="eastAsia" w:ascii="宋体" w:hAnsi="宋体" w:cs="Arial" w:eastAsiaTheme="minorEastAsia"/>
                <w:color w:val="auto"/>
                <w:kern w:val="0"/>
                <w:sz w:val="21"/>
                <w:szCs w:val="21"/>
                <w:lang w:val="en-US" w:eastAsia="zh-CN" w:bidi="ar-SA"/>
              </w:rPr>
              <w:t>为保证原厂服务的有效执行，要求所有硬件设备保修信息均为</w:t>
            </w:r>
            <w:r>
              <w:rPr>
                <w:rFonts w:hint="eastAsia" w:ascii="宋体" w:hAnsi="宋体" w:cs="Arial" w:eastAsiaTheme="minorEastAsia"/>
                <w:color w:val="auto"/>
                <w:kern w:val="0"/>
                <w:sz w:val="21"/>
                <w:szCs w:val="21"/>
                <w:lang w:val="en-US" w:eastAsia="zh-Hans" w:bidi="ar-SA"/>
              </w:rPr>
              <w:t>浙江大学医学院附属第二医院</w:t>
            </w:r>
            <w:r>
              <w:rPr>
                <w:rFonts w:hint="eastAsia" w:ascii="宋体" w:hAnsi="宋体" w:cs="Arial" w:eastAsiaTheme="minorEastAsia"/>
                <w:color w:val="auto"/>
                <w:kern w:val="0"/>
                <w:sz w:val="21"/>
                <w:szCs w:val="21"/>
                <w:lang w:val="en-US" w:eastAsia="zh-CN" w:bidi="ar-SA"/>
              </w:rPr>
              <w:t>，可以从原厂得到查询验证，签订合同前提供设备原厂商</w:t>
            </w:r>
            <w:r>
              <w:rPr>
                <w:rFonts w:hint="default" w:ascii="宋体" w:hAnsi="宋体" w:cs="Arial" w:eastAsiaTheme="minorEastAsia"/>
                <w:color w:val="auto"/>
                <w:kern w:val="0"/>
                <w:sz w:val="21"/>
                <w:szCs w:val="21"/>
                <w:lang w:val="en-US" w:eastAsia="zh-CN" w:bidi="ar-SA"/>
              </w:rPr>
              <w:t>、</w:t>
            </w:r>
            <w:r>
              <w:rPr>
                <w:rFonts w:hint="eastAsia" w:ascii="宋体" w:hAnsi="宋体" w:cs="Arial" w:eastAsiaTheme="minorEastAsia"/>
                <w:color w:val="auto"/>
                <w:kern w:val="0"/>
                <w:sz w:val="21"/>
                <w:szCs w:val="21"/>
                <w:lang w:val="en-US" w:eastAsia="zh-Hans" w:bidi="ar-SA"/>
              </w:rPr>
              <w:t>软件厂商</w:t>
            </w:r>
            <w:r>
              <w:rPr>
                <w:rFonts w:hint="eastAsia" w:ascii="宋体" w:hAnsi="宋体" w:cs="Arial" w:eastAsiaTheme="minorEastAsia"/>
                <w:color w:val="auto"/>
                <w:kern w:val="0"/>
                <w:sz w:val="21"/>
                <w:szCs w:val="21"/>
                <w:lang w:val="en-US" w:eastAsia="zh-CN" w:bidi="ar-SA"/>
              </w:rPr>
              <w:t>针对本项目的授权函原件和</w:t>
            </w:r>
            <w:r>
              <w:rPr>
                <w:rFonts w:hint="default" w:ascii="宋体" w:hAnsi="宋体" w:cs="Arial" w:eastAsiaTheme="minorEastAsia"/>
                <w:color w:val="auto"/>
                <w:kern w:val="0"/>
                <w:sz w:val="21"/>
                <w:szCs w:val="21"/>
                <w:lang w:val="en-US" w:eastAsia="zh-CN" w:bidi="ar-SA"/>
              </w:rPr>
              <w:t>5</w:t>
            </w:r>
            <w:r>
              <w:rPr>
                <w:rFonts w:hint="eastAsia" w:ascii="宋体" w:hAnsi="宋体" w:cs="Arial" w:eastAsiaTheme="minorEastAsia"/>
                <w:color w:val="auto"/>
                <w:kern w:val="0"/>
                <w:sz w:val="21"/>
                <w:szCs w:val="21"/>
                <w:lang w:val="en-US" w:eastAsia="zh-CN" w:bidi="ar-SA"/>
              </w:rPr>
              <w:t>年原厂免费质保服务函原件</w:t>
            </w:r>
            <w:r>
              <w:rPr>
                <w:rFonts w:hint="eastAsia" w:ascii="宋体" w:hAnsi="宋体" w:cs="Arial" w:eastAsiaTheme="minorEastAsia"/>
                <w:color w:val="auto"/>
                <w:kern w:val="0"/>
                <w:sz w:val="21"/>
                <w:szCs w:val="21"/>
                <w:lang w:val="zh-CN" w:eastAsia="zh-CN" w:bidi="ar-SA"/>
              </w:rPr>
              <w:t>。</w:t>
            </w:r>
          </w:p>
        </w:tc>
      </w:tr>
      <w:tr w14:paraId="0C6AB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689" w:type="dxa"/>
            <w:tcBorders>
              <w:top w:val="single" w:color="auto" w:sz="4" w:space="0"/>
              <w:left w:val="single" w:color="auto" w:sz="4" w:space="0"/>
              <w:bottom w:val="single" w:color="auto" w:sz="4" w:space="0"/>
              <w:right w:val="single" w:color="auto" w:sz="4" w:space="0"/>
            </w:tcBorders>
            <w:vAlign w:val="center"/>
          </w:tcPr>
          <w:p w14:paraId="528149C0">
            <w:pPr>
              <w:tabs>
                <w:tab w:val="left" w:pos="6463"/>
              </w:tabs>
              <w:rPr>
                <w:rFonts w:asciiTheme="minorEastAsia" w:hAnsiTheme="minorEastAsia" w:eastAsiaTheme="minorEastAsia"/>
                <w:szCs w:val="21"/>
              </w:rPr>
            </w:pPr>
            <w:r>
              <w:rPr>
                <w:rFonts w:hint="eastAsia" w:ascii="宋体" w:hAnsi="宋体"/>
                <w:b/>
                <w:szCs w:val="21"/>
              </w:rPr>
              <w:t>▲</w:t>
            </w:r>
            <w:r>
              <w:rPr>
                <w:rFonts w:hint="eastAsia" w:asciiTheme="minorEastAsia" w:hAnsiTheme="minorEastAsia" w:eastAsiaTheme="minorEastAsia"/>
                <w:szCs w:val="21"/>
                <w:lang w:val="en-US" w:eastAsia="zh-CN"/>
              </w:rPr>
              <w:t>原厂授权质保</w:t>
            </w:r>
          </w:p>
        </w:tc>
        <w:tc>
          <w:tcPr>
            <w:tcW w:w="7336" w:type="dxa"/>
            <w:tcBorders>
              <w:top w:val="single" w:color="auto" w:sz="4" w:space="0"/>
              <w:left w:val="single" w:color="auto" w:sz="4" w:space="0"/>
              <w:bottom w:val="single" w:color="auto" w:sz="4" w:space="0"/>
              <w:right w:val="single" w:color="auto" w:sz="4" w:space="0"/>
            </w:tcBorders>
          </w:tcPr>
          <w:p w14:paraId="4883E751">
            <w:pPr>
              <w:tabs>
                <w:tab w:val="left" w:pos="6463"/>
              </w:tabs>
              <w:rPr>
                <w:rFonts w:hint="default"/>
                <w:sz w:val="28"/>
                <w:szCs w:val="28"/>
                <w:lang w:val="en-US"/>
              </w:rPr>
            </w:pPr>
            <w:r>
              <w:rPr>
                <w:rFonts w:hint="eastAsia" w:asciiTheme="minorEastAsia" w:hAnsiTheme="minorEastAsia"/>
                <w:color w:val="000000"/>
                <w:szCs w:val="21"/>
                <w:lang w:val="en-US" w:eastAsia="zh-CN"/>
              </w:rPr>
              <w:t>1.中标</w:t>
            </w:r>
            <w:r>
              <w:rPr>
                <w:rFonts w:asciiTheme="minorEastAsia" w:hAnsiTheme="minorEastAsia" w:eastAsiaTheme="minorEastAsia"/>
                <w:color w:val="000000"/>
                <w:szCs w:val="21"/>
                <w:lang w:val="en-US" w:eastAsia="zh-CN"/>
              </w:rPr>
              <w:t>方所供货物必须是全新、未使用过的、进货渠道合法的原装合格正品</w:t>
            </w:r>
            <w:r>
              <w:rPr>
                <w:rFonts w:hint="eastAsia" w:asciiTheme="minorEastAsia" w:hAnsiTheme="minorEastAsia"/>
                <w:color w:val="000000"/>
                <w:szCs w:val="21"/>
                <w:lang w:val="en-US" w:eastAsia="zh-CN"/>
              </w:rPr>
              <w:t>。</w:t>
            </w:r>
            <w:r>
              <w:rPr>
                <w:rFonts w:hint="eastAsia" w:asciiTheme="minorEastAsia" w:hAnsiTheme="minorEastAsia" w:eastAsiaTheme="minorEastAsia"/>
                <w:color w:val="000000"/>
                <w:szCs w:val="21"/>
                <w:lang w:val="en-US" w:eastAsia="zh-CN"/>
              </w:rPr>
              <w:t>交换机的</w:t>
            </w:r>
            <w:r>
              <w:rPr>
                <w:rFonts w:asciiTheme="minorEastAsia" w:hAnsiTheme="minorEastAsia" w:eastAsiaTheme="minorEastAsia"/>
                <w:color w:val="000000"/>
                <w:szCs w:val="21"/>
                <w:lang w:val="en-US" w:eastAsia="zh-CN"/>
              </w:rPr>
              <w:t>最终用户为</w:t>
            </w:r>
            <w:r>
              <w:rPr>
                <w:rFonts w:hint="eastAsia" w:asciiTheme="minorEastAsia" w:hAnsiTheme="minorEastAsia"/>
                <w:color w:val="000000"/>
                <w:szCs w:val="21"/>
                <w:lang w:val="en-US" w:eastAsia="zh-CN"/>
              </w:rPr>
              <w:t>浙江大学医学院附属第二</w:t>
            </w:r>
            <w:r>
              <w:rPr>
                <w:rFonts w:asciiTheme="minorEastAsia" w:hAnsiTheme="minorEastAsia" w:eastAsiaTheme="minorEastAsia"/>
                <w:color w:val="000000"/>
                <w:szCs w:val="21"/>
                <w:lang w:val="en-US" w:eastAsia="zh-CN"/>
              </w:rPr>
              <w:t>医院</w:t>
            </w:r>
            <w:r>
              <w:rPr>
                <w:rFonts w:hint="eastAsia" w:asciiTheme="minorEastAsia" w:hAnsiTheme="minorEastAsia"/>
                <w:color w:val="000000"/>
                <w:szCs w:val="21"/>
                <w:lang w:val="en-US" w:eastAsia="zh-CN"/>
              </w:rPr>
              <w:t>，可通过官网400服务电话查询；</w:t>
            </w:r>
          </w:p>
          <w:p w14:paraId="4D39A3A1">
            <w:pPr>
              <w:keepNext w:val="0"/>
              <w:keepLines w:val="0"/>
              <w:widowControl/>
              <w:suppressLineNumbers w:val="0"/>
              <w:spacing w:line="35" w:lineRule="atLeast"/>
              <w:jc w:val="left"/>
              <w:rPr>
                <w:rFonts w:hint="eastAsia" w:asciiTheme="minorEastAsia" w:hAnsiTheme="minorEastAsia" w:eastAsiaTheme="minorEastAsia"/>
                <w:szCs w:val="21"/>
                <w:lang w:eastAsia="zh-CN"/>
              </w:rPr>
            </w:pPr>
            <w:r>
              <w:rPr>
                <w:rFonts w:hint="eastAsia" w:asciiTheme="minorEastAsia" w:hAnsiTheme="minorEastAsia"/>
                <w:szCs w:val="21"/>
                <w:lang w:val="en-US" w:eastAsia="zh-CN"/>
              </w:rPr>
              <w:t>2</w:t>
            </w:r>
            <w:r>
              <w:rPr>
                <w:rFonts w:hint="default" w:asciiTheme="minorEastAsia" w:hAnsiTheme="minorEastAsia"/>
                <w:szCs w:val="21"/>
                <w:lang w:val="en-US" w:eastAsia="zh-CN"/>
              </w:rPr>
              <w:t>.</w:t>
            </w:r>
            <w:r>
              <w:rPr>
                <w:rFonts w:asciiTheme="minorEastAsia" w:hAnsiTheme="minorEastAsia" w:eastAsiaTheme="minorEastAsia"/>
                <w:szCs w:val="21"/>
                <w:lang w:val="en-US" w:eastAsia="zh-CN"/>
              </w:rPr>
              <w:t>中标单位在签订合同前必须提供所投设备的原厂</w:t>
            </w:r>
            <w:r>
              <w:rPr>
                <w:rFonts w:hint="eastAsia" w:asciiTheme="minorEastAsia" w:hAnsiTheme="minorEastAsia"/>
                <w:szCs w:val="21"/>
                <w:lang w:val="en-US" w:eastAsia="zh-CN"/>
              </w:rPr>
              <w:t>5</w:t>
            </w:r>
            <w:r>
              <w:rPr>
                <w:rFonts w:asciiTheme="minorEastAsia" w:hAnsiTheme="minorEastAsia" w:eastAsiaTheme="minorEastAsia"/>
                <w:szCs w:val="21"/>
                <w:lang w:val="en-US" w:eastAsia="zh-CN"/>
              </w:rPr>
              <w:t>年质保承诺函原件，否则不予签订合同，并作废标处理。</w:t>
            </w:r>
          </w:p>
        </w:tc>
      </w:tr>
    </w:tbl>
    <w:p w14:paraId="77692C22"/>
    <w:p w14:paraId="715B02CF">
      <w:pPr>
        <w:rPr>
          <w:rFonts w:hint="default"/>
          <w:sz w:val="24"/>
          <w:szCs w:val="24"/>
          <w:lang w:val="en-US" w:eastAsia="zh-CN"/>
        </w:rPr>
      </w:pPr>
      <w:r>
        <w:rPr>
          <w:rFonts w:hint="eastAsia"/>
          <w:sz w:val="24"/>
          <w:szCs w:val="24"/>
          <w:lang w:val="en-US" w:eastAsia="zh-CN"/>
        </w:rPr>
        <w:t>2、商务要求</w:t>
      </w:r>
    </w:p>
    <w:p w14:paraId="0A38962F">
      <w:pPr>
        <w:tabs>
          <w:tab w:val="left" w:pos="6463"/>
        </w:tabs>
        <w:spacing w:line="360" w:lineRule="auto"/>
        <w:rPr>
          <w:rFonts w:hint="default" w:asciiTheme="minorEastAsia" w:hAnsiTheme="minorEastAsia"/>
          <w:color w:val="000000"/>
          <w:szCs w:val="21"/>
          <w:lang w:val="en-US" w:eastAsia="zh-CN"/>
        </w:rPr>
      </w:pPr>
      <w:r>
        <w:rPr>
          <w:rFonts w:hint="eastAsia" w:asciiTheme="minorEastAsia" w:hAnsiTheme="minorEastAsia"/>
          <w:color w:val="000000"/>
          <w:szCs w:val="21"/>
          <w:lang w:val="en-US" w:eastAsia="zh-CN"/>
        </w:rPr>
        <w:t>（1）</w:t>
      </w:r>
      <w:r>
        <w:rPr>
          <w:rFonts w:asciiTheme="minorEastAsia" w:hAnsiTheme="minorEastAsia" w:eastAsiaTheme="minorEastAsia"/>
          <w:szCs w:val="21"/>
          <w:lang w:val="en-US" w:eastAsia="zh-CN"/>
        </w:rPr>
        <w:t>中标单位</w:t>
      </w:r>
      <w:r>
        <w:rPr>
          <w:rFonts w:hint="eastAsia" w:asciiTheme="minorEastAsia" w:hAnsiTheme="minorEastAsia"/>
          <w:szCs w:val="21"/>
          <w:lang w:val="en-US" w:eastAsia="zh-CN"/>
        </w:rPr>
        <w:t>在</w:t>
      </w:r>
      <w:r>
        <w:rPr>
          <w:rFonts w:hint="eastAsia" w:asciiTheme="minorEastAsia" w:hAnsiTheme="minorEastAsia"/>
          <w:color w:val="000000"/>
          <w:szCs w:val="21"/>
          <w:lang w:val="en-US" w:eastAsia="zh-CN"/>
        </w:rPr>
        <w:t>中标成交公示结束后3</w:t>
      </w:r>
      <w:r>
        <w:rPr>
          <w:rFonts w:asciiTheme="minorEastAsia" w:hAnsiTheme="minorEastAsia" w:eastAsiaTheme="minorEastAsia"/>
          <w:color w:val="000000"/>
          <w:szCs w:val="21"/>
          <w:lang w:val="en-US" w:eastAsia="zh-CN"/>
        </w:rPr>
        <w:t>工作日</w:t>
      </w:r>
      <w:r>
        <w:rPr>
          <w:rFonts w:hint="eastAsia" w:asciiTheme="minorEastAsia" w:hAnsiTheme="minorEastAsia"/>
          <w:color w:val="000000"/>
          <w:szCs w:val="21"/>
          <w:lang w:val="en-US" w:eastAsia="zh-CN"/>
        </w:rPr>
        <w:t>内与医院签订合同，</w:t>
      </w:r>
      <w:r>
        <w:rPr>
          <w:rFonts w:asciiTheme="minorEastAsia" w:hAnsiTheme="minorEastAsia" w:eastAsiaTheme="minorEastAsia"/>
          <w:szCs w:val="21"/>
          <w:lang w:val="en-US" w:eastAsia="zh-CN"/>
        </w:rPr>
        <w:t>签订合同前必须提供所投设备的原厂</w:t>
      </w:r>
      <w:r>
        <w:rPr>
          <w:rFonts w:hint="eastAsia" w:asciiTheme="minorEastAsia" w:hAnsiTheme="minorEastAsia"/>
          <w:szCs w:val="21"/>
          <w:lang w:val="en-US" w:eastAsia="zh-CN"/>
        </w:rPr>
        <w:t>5</w:t>
      </w:r>
      <w:r>
        <w:rPr>
          <w:rFonts w:asciiTheme="minorEastAsia" w:hAnsiTheme="minorEastAsia" w:eastAsiaTheme="minorEastAsia"/>
          <w:szCs w:val="21"/>
          <w:lang w:val="en-US" w:eastAsia="zh-CN"/>
        </w:rPr>
        <w:t>年质保承诺函原</w:t>
      </w:r>
      <w:r>
        <w:rPr>
          <w:rFonts w:hint="eastAsia" w:asciiTheme="minorEastAsia" w:hAnsiTheme="minorEastAsia"/>
          <w:color w:val="000000"/>
          <w:szCs w:val="21"/>
          <w:lang w:val="en-US" w:eastAsia="zh-CN"/>
        </w:rPr>
        <w:t>件。未响应招标文件标注“▲”的实质性要求的，投标文件将被视为无效。</w:t>
      </w:r>
    </w:p>
    <w:p w14:paraId="63649218">
      <w:pPr>
        <w:tabs>
          <w:tab w:val="left" w:pos="6463"/>
        </w:tabs>
        <w:spacing w:line="360" w:lineRule="auto"/>
        <w:rPr>
          <w:rFonts w:asciiTheme="minorEastAsia" w:hAnsiTheme="minorEastAsia" w:eastAsiaTheme="minorEastAsia"/>
          <w:color w:val="000000"/>
          <w:szCs w:val="21"/>
          <w:lang w:val="en-US" w:eastAsia="zh-CN"/>
        </w:rPr>
      </w:pPr>
      <w:r>
        <w:rPr>
          <w:rFonts w:hint="eastAsia" w:asciiTheme="minorEastAsia" w:hAnsiTheme="minorEastAsia"/>
          <w:color w:val="000000"/>
          <w:szCs w:val="21"/>
          <w:lang w:val="en-US" w:eastAsia="zh-CN"/>
        </w:rPr>
        <w:t>（2）</w:t>
      </w:r>
      <w:r>
        <w:rPr>
          <w:rFonts w:hint="eastAsia" w:ascii="宋体" w:hAnsi="宋体" w:cs="Arial" w:eastAsiaTheme="minorEastAsia"/>
          <w:color w:val="auto"/>
          <w:kern w:val="0"/>
          <w:sz w:val="21"/>
          <w:szCs w:val="21"/>
          <w:lang w:val="en-US" w:eastAsia="zh-Hans" w:bidi="ar-SA"/>
        </w:rPr>
        <w:t>合同签订</w:t>
      </w:r>
      <w:r>
        <w:rPr>
          <w:rFonts w:hint="eastAsia" w:ascii="宋体" w:hAnsi="宋体" w:cs="Arial"/>
          <w:color w:val="auto"/>
          <w:kern w:val="0"/>
          <w:sz w:val="21"/>
          <w:szCs w:val="21"/>
          <w:lang w:val="en-US" w:eastAsia="zh-CN" w:bidi="ar-SA"/>
        </w:rPr>
        <w:t>完毕</w:t>
      </w:r>
      <w:r>
        <w:rPr>
          <w:rFonts w:hint="eastAsia" w:ascii="宋体" w:hAnsi="宋体" w:cs="Arial" w:eastAsiaTheme="minorEastAsia"/>
          <w:color w:val="auto"/>
          <w:kern w:val="0"/>
          <w:sz w:val="21"/>
          <w:szCs w:val="21"/>
          <w:lang w:val="en-US" w:eastAsia="zh-Hans" w:bidi="ar-SA"/>
        </w:rPr>
        <w:t>后</w:t>
      </w:r>
      <w:r>
        <w:rPr>
          <w:rFonts w:hint="default" w:ascii="宋体" w:hAnsi="宋体" w:cs="Arial" w:eastAsiaTheme="minorEastAsia"/>
          <w:color w:val="auto"/>
          <w:kern w:val="0"/>
          <w:sz w:val="21"/>
          <w:szCs w:val="21"/>
          <w:lang w:val="en-US" w:eastAsia="zh-Hans" w:bidi="ar-SA"/>
        </w:rPr>
        <w:t>10</w:t>
      </w:r>
      <w:r>
        <w:rPr>
          <w:rFonts w:hint="eastAsia" w:ascii="宋体" w:hAnsi="宋体" w:cs="Arial" w:eastAsiaTheme="minorEastAsia"/>
          <w:color w:val="auto"/>
          <w:kern w:val="0"/>
          <w:sz w:val="21"/>
          <w:szCs w:val="21"/>
          <w:lang w:val="en-US" w:eastAsia="zh-Hans" w:bidi="ar-SA"/>
        </w:rPr>
        <w:t>日内供货，</w:t>
      </w:r>
      <w:r>
        <w:rPr>
          <w:rFonts w:hint="eastAsia" w:ascii="宋体" w:hAnsi="宋体" w:cs="Arial"/>
          <w:color w:val="auto"/>
          <w:kern w:val="0"/>
          <w:sz w:val="21"/>
          <w:szCs w:val="21"/>
          <w:lang w:val="en-US" w:eastAsia="zh-Hans" w:bidi="ar-SA"/>
        </w:rPr>
        <w:t>服务器</w:t>
      </w:r>
      <w:r>
        <w:rPr>
          <w:rFonts w:hint="eastAsia" w:ascii="宋体" w:hAnsi="宋体" w:cs="Arial" w:eastAsiaTheme="minorEastAsia"/>
          <w:color w:val="auto"/>
          <w:kern w:val="0"/>
          <w:sz w:val="21"/>
          <w:szCs w:val="21"/>
          <w:lang w:val="en-US" w:eastAsia="zh-CN" w:bidi="ar-SA"/>
        </w:rPr>
        <w:t>由</w:t>
      </w:r>
      <w:r>
        <w:rPr>
          <w:rFonts w:hint="eastAsia" w:ascii="宋体" w:hAnsi="宋体" w:cs="Arial"/>
          <w:color w:val="auto"/>
          <w:kern w:val="0"/>
          <w:sz w:val="21"/>
          <w:szCs w:val="21"/>
          <w:lang w:val="en-US" w:eastAsia="zh-Hans" w:bidi="ar-SA"/>
        </w:rPr>
        <w:t>神州云科</w:t>
      </w:r>
      <w:r>
        <w:rPr>
          <w:rFonts w:hint="eastAsia" w:ascii="宋体" w:hAnsi="宋体" w:cs="Arial" w:eastAsiaTheme="minorEastAsia"/>
          <w:color w:val="auto"/>
          <w:kern w:val="0"/>
          <w:sz w:val="21"/>
          <w:szCs w:val="21"/>
          <w:lang w:val="en-US" w:eastAsia="zh-CN" w:bidi="ar-SA"/>
        </w:rPr>
        <w:t>原</w:t>
      </w:r>
      <w:r>
        <w:rPr>
          <w:rFonts w:hint="default" w:ascii="宋体" w:hAnsi="宋体" w:cs="Arial" w:eastAsiaTheme="minorEastAsia"/>
          <w:color w:val="auto"/>
          <w:kern w:val="0"/>
          <w:sz w:val="21"/>
          <w:szCs w:val="21"/>
          <w:lang w:val="en-US" w:eastAsia="zh-CN" w:bidi="ar-SA"/>
        </w:rPr>
        <w:t>厂直发到</w:t>
      </w:r>
      <w:r>
        <w:rPr>
          <w:rFonts w:hint="eastAsia" w:ascii="宋体" w:hAnsi="宋体" w:cs="Arial"/>
          <w:color w:val="auto"/>
          <w:kern w:val="0"/>
          <w:sz w:val="21"/>
          <w:szCs w:val="21"/>
          <w:lang w:val="en-US" w:eastAsia="zh-Hans" w:bidi="ar-SA"/>
        </w:rPr>
        <w:t>浙江大学医学院附属第二医院</w:t>
      </w:r>
      <w:r>
        <w:rPr>
          <w:rFonts w:hint="default" w:ascii="宋体" w:hAnsi="宋体" w:cs="Arial" w:eastAsiaTheme="minorEastAsia"/>
          <w:color w:val="auto"/>
          <w:kern w:val="0"/>
          <w:sz w:val="21"/>
          <w:szCs w:val="21"/>
          <w:lang w:val="en-US" w:eastAsia="zh-CN" w:bidi="ar-SA"/>
        </w:rPr>
        <w:t>,机器外包装收货地址为</w:t>
      </w:r>
      <w:r>
        <w:rPr>
          <w:rFonts w:hint="eastAsia" w:ascii="宋体" w:hAnsi="宋体" w:cs="Arial"/>
          <w:color w:val="auto"/>
          <w:kern w:val="0"/>
          <w:sz w:val="21"/>
          <w:szCs w:val="21"/>
          <w:lang w:val="en-US" w:eastAsia="zh-Hans" w:bidi="ar-SA"/>
        </w:rPr>
        <w:t>浙江大学医学院附属第二医院</w:t>
      </w:r>
      <w:r>
        <w:rPr>
          <w:rFonts w:hint="default" w:ascii="宋体" w:hAnsi="宋体" w:cs="Arial" w:eastAsiaTheme="minorEastAsia"/>
          <w:color w:val="auto"/>
          <w:kern w:val="0"/>
          <w:sz w:val="21"/>
          <w:szCs w:val="21"/>
          <w:lang w:val="en-US" w:eastAsia="zh-CN" w:bidi="ar-SA"/>
        </w:rPr>
        <w:t>,不接受经销商送货上门,保证是</w:t>
      </w:r>
      <w:r>
        <w:rPr>
          <w:rFonts w:hint="eastAsia" w:ascii="宋体" w:hAnsi="宋体" w:cs="Arial"/>
          <w:color w:val="auto"/>
          <w:kern w:val="0"/>
          <w:sz w:val="21"/>
          <w:szCs w:val="21"/>
          <w:lang w:val="en-US" w:eastAsia="zh-Hans" w:bidi="ar-SA"/>
        </w:rPr>
        <w:t>神州云科</w:t>
      </w:r>
      <w:r>
        <w:rPr>
          <w:rFonts w:hint="default" w:ascii="宋体" w:hAnsi="宋体" w:cs="Arial" w:eastAsiaTheme="minorEastAsia"/>
          <w:color w:val="auto"/>
          <w:kern w:val="0"/>
          <w:sz w:val="21"/>
          <w:szCs w:val="21"/>
          <w:lang w:val="en-US" w:eastAsia="zh-CN" w:bidi="ar-SA"/>
        </w:rPr>
        <w:t>厂商原装全新正品</w:t>
      </w:r>
      <w:r>
        <w:rPr>
          <w:rFonts w:hint="eastAsia" w:ascii="宋体" w:hAnsi="宋体" w:cs="Arial"/>
          <w:color w:val="auto"/>
          <w:kern w:val="0"/>
          <w:sz w:val="21"/>
          <w:szCs w:val="21"/>
          <w:lang w:val="en-US" w:eastAsia="zh-Hans" w:bidi="ar-SA"/>
        </w:rPr>
        <w:t>。</w:t>
      </w:r>
    </w:p>
    <w:p w14:paraId="3002DCDE">
      <w:pPr>
        <w:tabs>
          <w:tab w:val="left" w:pos="6463"/>
        </w:tabs>
        <w:spacing w:line="360" w:lineRule="auto"/>
        <w:rPr>
          <w:rFonts w:asciiTheme="minorEastAsia" w:hAnsiTheme="minorEastAsia" w:eastAsiaTheme="minorEastAsia"/>
          <w:color w:val="000000"/>
          <w:szCs w:val="21"/>
          <w:lang w:val="en-US" w:eastAsia="zh-CN"/>
        </w:rPr>
      </w:pPr>
      <w:r>
        <w:rPr>
          <w:rFonts w:hint="eastAsia" w:asciiTheme="minorEastAsia" w:hAnsiTheme="minorEastAsia"/>
          <w:color w:val="000000"/>
          <w:szCs w:val="21"/>
          <w:lang w:val="en-US" w:eastAsia="zh-CN"/>
        </w:rPr>
        <w:t>（3）</w:t>
      </w:r>
      <w:r>
        <w:rPr>
          <w:rFonts w:asciiTheme="minorEastAsia" w:hAnsiTheme="minorEastAsia" w:eastAsiaTheme="minorEastAsia"/>
          <w:color w:val="000000"/>
          <w:szCs w:val="21"/>
          <w:lang w:val="en-US" w:eastAsia="zh-CN"/>
        </w:rPr>
        <w:t>提供</w:t>
      </w:r>
      <w:r>
        <w:rPr>
          <w:rFonts w:hint="eastAsia" w:asciiTheme="minorEastAsia" w:hAnsiTheme="minorEastAsia"/>
          <w:color w:val="000000"/>
          <w:szCs w:val="21"/>
          <w:lang w:val="en-US" w:eastAsia="zh-CN"/>
        </w:rPr>
        <w:t>5年</w:t>
      </w:r>
      <w:r>
        <w:rPr>
          <w:rFonts w:asciiTheme="minorEastAsia" w:hAnsiTheme="minorEastAsia" w:eastAsiaTheme="minorEastAsia"/>
          <w:color w:val="000000"/>
          <w:szCs w:val="21"/>
          <w:lang w:val="en-US" w:eastAsia="zh-CN"/>
        </w:rPr>
        <w:t>7×24小时技术支持服务及设备维保服务，每年至少</w:t>
      </w:r>
      <w:r>
        <w:rPr>
          <w:rFonts w:hint="eastAsia" w:asciiTheme="minorEastAsia" w:hAnsiTheme="minorEastAsia"/>
          <w:color w:val="000000"/>
          <w:szCs w:val="21"/>
          <w:lang w:val="en-US" w:eastAsia="zh-CN"/>
        </w:rPr>
        <w:t>4</w:t>
      </w:r>
      <w:r>
        <w:rPr>
          <w:rFonts w:asciiTheme="minorEastAsia" w:hAnsiTheme="minorEastAsia" w:eastAsiaTheme="minorEastAsia"/>
          <w:color w:val="000000"/>
          <w:szCs w:val="21"/>
          <w:lang w:val="en-US" w:eastAsia="zh-CN"/>
        </w:rPr>
        <w:t>次定期设备巡检，并出具巡检报告；发现质量问题或故障，成交方在收到采购方通知后，在5分钟内响应，重大质量问题或故障1小时之内到达现场，24小时内解决故障；如须返厂维修，当天提供备品备件。</w:t>
      </w:r>
    </w:p>
    <w:p w14:paraId="0CEAC511">
      <w:pPr>
        <w:tabs>
          <w:tab w:val="left" w:pos="6463"/>
        </w:tabs>
        <w:spacing w:line="360" w:lineRule="auto"/>
        <w:rPr>
          <w:rFonts w:asciiTheme="minorEastAsia" w:hAnsiTheme="minorEastAsia" w:eastAsiaTheme="minorEastAsia"/>
          <w:color w:val="000000"/>
          <w:szCs w:val="21"/>
          <w:lang w:val="en-US" w:eastAsia="zh-CN"/>
        </w:rPr>
      </w:pPr>
      <w:r>
        <w:rPr>
          <w:rFonts w:hint="eastAsia" w:asciiTheme="minorEastAsia" w:hAnsiTheme="minorEastAsia"/>
          <w:color w:val="000000"/>
          <w:szCs w:val="21"/>
          <w:lang w:val="en-US" w:eastAsia="zh-CN"/>
        </w:rPr>
        <w:t>（4）</w:t>
      </w:r>
      <w:r>
        <w:rPr>
          <w:rFonts w:asciiTheme="minorEastAsia" w:hAnsiTheme="minorEastAsia" w:eastAsiaTheme="minorEastAsia"/>
          <w:color w:val="000000"/>
          <w:szCs w:val="21"/>
          <w:lang w:val="en-US" w:eastAsia="zh-CN"/>
        </w:rPr>
        <w:t>成交方所供货物必须是全新、未使用过的、进货渠道合法的原装合格正品。若技术性能无特殊说明，则按国家有关部门最新颁布的标准及规范为准。采购单的商品及功能技术参数、商务条款必须全部满足，否则采购方有权取消成交资格，如是因供应商不合理理由导致的，采购方有权向上级财政部门申诉，将做严肃处理，由此造成的所有后果由成交供应商自行承担。</w:t>
      </w:r>
    </w:p>
    <w:p w14:paraId="2F028E69">
      <w:pPr>
        <w:tabs>
          <w:tab w:val="left" w:pos="6463"/>
        </w:tabs>
        <w:rPr>
          <w:rFonts w:asciiTheme="minorEastAsia" w:hAnsiTheme="minorEastAsia" w:eastAsiaTheme="minorEastAsia"/>
          <w:color w:val="000000"/>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7E3B06"/>
    <w:multiLevelType w:val="singleLevel"/>
    <w:tmpl w:val="5C7E3B06"/>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3B14F0"/>
    <w:rsid w:val="002B7779"/>
    <w:rsid w:val="018C7A99"/>
    <w:rsid w:val="10032AF3"/>
    <w:rsid w:val="10D225C6"/>
    <w:rsid w:val="17F93E7F"/>
    <w:rsid w:val="1B00175D"/>
    <w:rsid w:val="1FB243AB"/>
    <w:rsid w:val="1FE02E2E"/>
    <w:rsid w:val="210E0147"/>
    <w:rsid w:val="29633211"/>
    <w:rsid w:val="378C0D4E"/>
    <w:rsid w:val="3D04488E"/>
    <w:rsid w:val="482A1A6E"/>
    <w:rsid w:val="4B3B14F0"/>
    <w:rsid w:val="56464A92"/>
    <w:rsid w:val="60964868"/>
    <w:rsid w:val="62A24E62"/>
    <w:rsid w:val="634714A5"/>
    <w:rsid w:val="653C158A"/>
    <w:rsid w:val="6E4262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列出段落1"/>
    <w:basedOn w:val="1"/>
    <w:qFormat/>
    <w:uiPriority w:val="99"/>
    <w:pPr>
      <w:ind w:firstLine="420" w:firstLineChars="200"/>
    </w:pPr>
    <w:rPr>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1676</Words>
  <Characters>1879</Characters>
  <Lines>0</Lines>
  <Paragraphs>0</Paragraphs>
  <TotalTime>1</TotalTime>
  <ScaleCrop>false</ScaleCrop>
  <LinksUpToDate>false</LinksUpToDate>
  <CharactersWithSpaces>1919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2025-01-03T09:54:00Z</dcterms:created>
  <dc:creator>XINBA</dc:creator>
  <cp:lastModifiedBy>XINBA</cp:lastModifiedBy>
  <dcterms:modified xsi:type="dcterms:W3CDTF">2025-01-13T06:34:08Z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3DD28E41EC194624B9F7B01E5DB07990_13</vt:lpwstr>
  </property>
  <property fmtid="{D5CDD505-2E9C-101B-9397-08002B2CF9AE}" pid="4" name="KSOTemplateDocerSaveRecord">
    <vt:lpwstr>eyJoZGlkIjoiZGEzMWIzZjNiZjFhMjhjZDQ3NTk1ZTc3ODgxMmRkNmMiLCJ1c2VySWQiOiIyMDAxMzU4NDgifQ==</vt:lpwstr>
  </property>
</Properties>
</file>