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Times New Roman"/>
          <w:b/>
          <w:sz w:val="48"/>
          <w:szCs w:val="48"/>
        </w:rPr>
      </w:pPr>
      <w:r>
        <w:rPr>
          <w:rFonts w:ascii="微软雅黑" w:hAnsi="微软雅黑" w:eastAsia="微软雅黑" w:cs="Times New Roman"/>
          <w:b/>
          <w:sz w:val="48"/>
          <w:szCs w:val="48"/>
        </w:rPr>
        <w:t>JX5040XQCMKA26</w:t>
      </w:r>
      <w:r>
        <w:rPr>
          <w:rFonts w:hint="eastAsia" w:ascii="微软雅黑" w:hAnsi="微软雅黑" w:eastAsia="微软雅黑" w:cs="Times New Roman"/>
          <w:b/>
          <w:sz w:val="48"/>
          <w:szCs w:val="48"/>
        </w:rPr>
        <w:t>型转运囚车</w:t>
      </w:r>
    </w:p>
    <w:p>
      <w:pPr>
        <w:jc w:val="center"/>
        <w:rPr>
          <w:rFonts w:ascii="微软雅黑" w:hAnsi="微软雅黑" w:eastAsia="微软雅黑" w:cs="Times New Roman"/>
          <w:b/>
          <w:sz w:val="48"/>
          <w:szCs w:val="48"/>
        </w:rPr>
      </w:pPr>
      <w:r>
        <w:rPr>
          <w:rFonts w:hint="eastAsia" w:ascii="微软雅黑" w:hAnsi="微软雅黑" w:eastAsia="微软雅黑" w:cs="Times New Roman"/>
          <w:b/>
          <w:sz w:val="48"/>
          <w:szCs w:val="48"/>
        </w:rPr>
        <w:t>技术方案</w:t>
      </w:r>
    </w:p>
    <w:p>
      <w:pPr>
        <w:numPr>
          <w:ilvl w:val="0"/>
          <w:numId w:val="2"/>
        </w:numPr>
        <w:spacing w:before="156" w:beforeLines="50" w:line="288" w:lineRule="auto"/>
        <w:ind w:left="635" w:hanging="425"/>
        <w:jc w:val="left"/>
        <w:outlineLvl w:val="0"/>
        <w:rPr>
          <w:rFonts w:ascii="宋体" w:hAnsi="宋体" w:eastAsia="宋体" w:cs="宋体"/>
          <w:b/>
          <w:bCs/>
          <w:sz w:val="28"/>
          <w:szCs w:val="36"/>
        </w:rPr>
      </w:pPr>
      <w:bookmarkStart w:id="0" w:name="_Toc30071"/>
      <w:bookmarkStart w:id="1" w:name="_Toc14960"/>
      <w:bookmarkStart w:id="2" w:name="_Toc11111"/>
      <w:bookmarkStart w:id="3" w:name="_Toc8032"/>
      <w:bookmarkStart w:id="4" w:name="_Toc29083"/>
      <w:bookmarkStart w:id="5" w:name="_Toc16176"/>
      <w:r>
        <w:rPr>
          <w:rFonts w:hint="eastAsia" w:ascii="宋体" w:hAnsi="宋体" w:eastAsia="宋体" w:cs="宋体"/>
          <w:b/>
          <w:bCs/>
          <w:sz w:val="28"/>
          <w:szCs w:val="36"/>
        </w:rPr>
        <w:t>方案概述</w:t>
      </w:r>
      <w:bookmarkEnd w:id="0"/>
      <w:bookmarkEnd w:id="1"/>
      <w:bookmarkEnd w:id="2"/>
      <w:bookmarkEnd w:id="3"/>
      <w:bookmarkEnd w:id="4"/>
      <w:bookmarkEnd w:id="5"/>
    </w:p>
    <w:p>
      <w:pPr>
        <w:pStyle w:val="6"/>
        <w:ind w:firstLine="480"/>
        <w:rPr>
          <w:rFonts w:ascii="宋体" w:hAnsi="宋体" w:eastAsia="宋体" w:cs="宋体"/>
          <w:szCs w:val="32"/>
        </w:rPr>
      </w:pPr>
      <w:r>
        <w:rPr>
          <w:rFonts w:ascii="宋体" w:hAnsi="宋体" w:eastAsia="宋体" w:cs="宋体"/>
          <w:szCs w:val="32"/>
        </w:rPr>
        <w:t>JX5040XQCMKA26</w:t>
      </w:r>
      <w:r>
        <w:rPr>
          <w:rFonts w:hint="eastAsia" w:ascii="宋体" w:hAnsi="宋体" w:eastAsia="宋体" w:cs="宋体"/>
          <w:szCs w:val="32"/>
        </w:rPr>
        <w:t>型转运囚车是选用江铃福顺长轴中高顶商用车为装载平台，</w:t>
      </w:r>
      <w:r>
        <w:rPr>
          <w:rFonts w:hint="eastAsia"/>
        </w:rPr>
        <w:t>依据公安部“GA702-2007 《囚车》”，最高人民法院关于《人民法院“六专四室”建设规范》的通知等行业标准设计</w:t>
      </w:r>
      <w:r>
        <w:t>而成</w:t>
      </w:r>
      <w:r>
        <w:rPr>
          <w:rFonts w:hint="eastAsia"/>
        </w:rPr>
        <w:t>，</w:t>
      </w:r>
      <w:r>
        <w:rPr>
          <w:rFonts w:hint="eastAsia" w:ascii="宋体" w:hAnsi="宋体" w:eastAsia="宋体" w:cs="宋体"/>
          <w:szCs w:val="32"/>
        </w:rPr>
        <w:t>集成了</w:t>
      </w:r>
      <w:r>
        <w:rPr>
          <w:rFonts w:hint="eastAsia"/>
        </w:rPr>
        <w:t>警示系统、囚室系统、视频监控系统、约束囚椅、车辆的前后防护等，能够快速安全地转运囚犯、嫌犯等人员，将其在</w:t>
      </w:r>
      <w:r>
        <w:t>现场勘查、抓捕犯罪嫌疑人、治安巡逻、大型活动安保等方面发挥重要作用</w:t>
      </w:r>
      <w:r>
        <w:rPr>
          <w:rFonts w:hint="eastAsia"/>
        </w:rPr>
        <w:t>。</w:t>
      </w:r>
    </w:p>
    <w:p>
      <w:pPr>
        <w:ind w:firstLine="482" w:firstLineChars="200"/>
        <w:rPr>
          <w:rFonts w:ascii="宋体" w:hAnsi="宋体" w:eastAsia="宋体" w:cs="宋体"/>
          <w:b/>
          <w:bCs/>
          <w:sz w:val="24"/>
          <w:szCs w:val="32"/>
        </w:rPr>
      </w:pPr>
      <w:bookmarkStart w:id="6" w:name="_Toc2267"/>
      <w:bookmarkStart w:id="7" w:name="_Toc24017"/>
      <w:bookmarkStart w:id="8" w:name="_Toc25820"/>
      <w:r>
        <w:rPr>
          <w:rFonts w:hint="eastAsia" w:ascii="宋体" w:hAnsi="宋体" w:eastAsia="宋体" w:cs="宋体"/>
          <w:b/>
          <w:bCs/>
          <w:sz w:val="24"/>
          <w:szCs w:val="32"/>
        </w:rPr>
        <w:t>设计原则</w:t>
      </w:r>
      <w:bookmarkEnd w:id="6"/>
      <w:bookmarkEnd w:id="7"/>
      <w:bookmarkEnd w:id="8"/>
      <w:r>
        <w:rPr>
          <w:rFonts w:hint="eastAsia" w:ascii="宋体" w:hAnsi="宋体" w:eastAsia="宋体" w:cs="宋体"/>
          <w:b/>
          <w:bCs/>
          <w:sz w:val="24"/>
          <w:szCs w:val="32"/>
        </w:rPr>
        <w:t>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车辆设计、制造、检验遵循简捷、实用、安全、可靠的建设理念，在各个环节严格遵守以下建设原则：</w:t>
      </w:r>
    </w:p>
    <w:p>
      <w:pPr>
        <w:pStyle w:val="7"/>
        <w:numPr>
          <w:ilvl w:val="0"/>
          <w:numId w:val="3"/>
        </w:numPr>
        <w:autoSpaceDE w:val="0"/>
        <w:autoSpaceDN w:val="0"/>
        <w:adjustRightInd w:val="0"/>
        <w:ind w:left="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符合国家和行业的汽车技术</w:t>
      </w:r>
      <w:r>
        <w:rPr>
          <w:color w:val="000000"/>
          <w:sz w:val="24"/>
        </w:rPr>
        <w:t>或法规</w:t>
      </w:r>
      <w:r>
        <w:rPr>
          <w:rFonts w:hint="eastAsia"/>
          <w:color w:val="000000"/>
          <w:sz w:val="24"/>
        </w:rPr>
        <w:t>相关标准；</w:t>
      </w:r>
    </w:p>
    <w:p>
      <w:pPr>
        <w:pStyle w:val="7"/>
        <w:numPr>
          <w:ilvl w:val="0"/>
          <w:numId w:val="3"/>
        </w:numPr>
        <w:autoSpaceDE w:val="0"/>
        <w:autoSpaceDN w:val="0"/>
        <w:adjustRightInd w:val="0"/>
        <w:ind w:left="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整车主要性能不低于底盘要求</w:t>
      </w:r>
      <w:r>
        <w:rPr>
          <w:color w:val="000000"/>
          <w:sz w:val="24"/>
        </w:rPr>
        <w:t>的</w:t>
      </w:r>
      <w:r>
        <w:rPr>
          <w:rFonts w:hint="eastAsia"/>
          <w:color w:val="000000"/>
          <w:sz w:val="24"/>
        </w:rPr>
        <w:t xml:space="preserve">相关指标。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7"/>
        <w:numPr>
          <w:ilvl w:val="0"/>
          <w:numId w:val="3"/>
        </w:numPr>
        <w:autoSpaceDE w:val="0"/>
        <w:autoSpaceDN w:val="0"/>
        <w:adjustRightInd w:val="0"/>
        <w:ind w:left="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贯彻“简单、实用、可靠、机动、标准”的设计原则；</w:t>
      </w:r>
    </w:p>
    <w:p>
      <w:pPr>
        <w:pStyle w:val="7"/>
        <w:numPr>
          <w:ilvl w:val="0"/>
          <w:numId w:val="3"/>
        </w:numPr>
        <w:autoSpaceDE w:val="0"/>
        <w:autoSpaceDN w:val="0"/>
        <w:adjustRightInd w:val="0"/>
        <w:ind w:left="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遵循通用化、模块化、标准化的设计原则，提高系统的可靠性和维修性；</w:t>
      </w:r>
    </w:p>
    <w:p>
      <w:pPr>
        <w:pStyle w:val="7"/>
        <w:numPr>
          <w:ilvl w:val="0"/>
          <w:numId w:val="3"/>
        </w:numPr>
        <w:autoSpaceDE w:val="0"/>
        <w:autoSpaceDN w:val="0"/>
        <w:adjustRightInd w:val="0"/>
        <w:ind w:left="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充分考虑安装、使用、维修的方便性和可达性；</w:t>
      </w:r>
    </w:p>
    <w:p>
      <w:pPr>
        <w:pStyle w:val="7"/>
        <w:numPr>
          <w:ilvl w:val="0"/>
          <w:numId w:val="3"/>
        </w:numPr>
        <w:autoSpaceDE w:val="0"/>
        <w:autoSpaceDN w:val="0"/>
        <w:adjustRightInd w:val="0"/>
        <w:ind w:left="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优先选用国家标准进行产品设计，提高产品的标准化系数。</w:t>
      </w:r>
    </w:p>
    <w:p>
      <w:pPr>
        <w:pStyle w:val="7"/>
        <w:numPr>
          <w:ilvl w:val="0"/>
          <w:numId w:val="3"/>
        </w:numPr>
        <w:autoSpaceDE w:val="0"/>
        <w:autoSpaceDN w:val="0"/>
        <w:adjustRightInd w:val="0"/>
        <w:ind w:left="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遵守合约</w:t>
      </w:r>
      <w:r>
        <w:rPr>
          <w:color w:val="000000"/>
          <w:sz w:val="24"/>
        </w:rPr>
        <w:t>中</w:t>
      </w:r>
      <w:r>
        <w:rPr>
          <w:rFonts w:hint="eastAsia"/>
          <w:color w:val="000000"/>
          <w:sz w:val="24"/>
        </w:rPr>
        <w:t>约定</w:t>
      </w:r>
      <w:r>
        <w:rPr>
          <w:color w:val="000000"/>
          <w:sz w:val="24"/>
        </w:rPr>
        <w:t>的相关</w:t>
      </w:r>
      <w:r>
        <w:rPr>
          <w:rFonts w:hint="eastAsia"/>
          <w:color w:val="000000"/>
          <w:sz w:val="24"/>
        </w:rPr>
        <w:t>使用</w:t>
      </w:r>
      <w:r>
        <w:rPr>
          <w:color w:val="000000"/>
          <w:sz w:val="24"/>
        </w:rPr>
        <w:t>要求和技术</w:t>
      </w:r>
      <w:r>
        <w:rPr>
          <w:rFonts w:hint="eastAsia"/>
          <w:color w:val="000000"/>
          <w:sz w:val="24"/>
        </w:rPr>
        <w:t>指标</w:t>
      </w:r>
      <w:r>
        <w:rPr>
          <w:color w:val="000000"/>
          <w:sz w:val="24"/>
        </w:rPr>
        <w:t>。</w:t>
      </w:r>
    </w:p>
    <w:p>
      <w:pPr>
        <w:numPr>
          <w:ilvl w:val="0"/>
          <w:numId w:val="2"/>
        </w:numPr>
        <w:spacing w:before="156" w:beforeLines="50" w:line="288" w:lineRule="auto"/>
        <w:ind w:left="635" w:hanging="425"/>
        <w:jc w:val="left"/>
        <w:outlineLvl w:val="0"/>
        <w:rPr>
          <w:rFonts w:ascii="宋体" w:hAnsi="宋体" w:eastAsia="宋体" w:cs="宋体"/>
          <w:b/>
          <w:bCs/>
          <w:sz w:val="28"/>
          <w:szCs w:val="36"/>
        </w:rPr>
      </w:pPr>
      <w:bookmarkStart w:id="9" w:name="_Toc32422"/>
      <w:bookmarkStart w:id="10" w:name="_Toc24398"/>
      <w:bookmarkStart w:id="11" w:name="_Toc14925"/>
      <w:bookmarkStart w:id="12" w:name="_Toc26602"/>
      <w:bookmarkStart w:id="13" w:name="_Toc16901"/>
      <w:bookmarkStart w:id="14" w:name="_Toc23968"/>
      <w:r>
        <w:rPr>
          <w:rFonts w:hint="eastAsia" w:ascii="宋体" w:hAnsi="宋体" w:eastAsia="宋体" w:cs="宋体"/>
          <w:b/>
          <w:bCs/>
          <w:sz w:val="28"/>
          <w:szCs w:val="36"/>
        </w:rPr>
        <w:t>总体方案设计</w:t>
      </w:r>
      <w:bookmarkEnd w:id="9"/>
      <w:bookmarkEnd w:id="10"/>
      <w:bookmarkEnd w:id="11"/>
      <w:bookmarkEnd w:id="12"/>
      <w:bookmarkEnd w:id="13"/>
      <w:bookmarkEnd w:id="14"/>
    </w:p>
    <w:p>
      <w:pPr>
        <w:numPr>
          <w:ilvl w:val="1"/>
          <w:numId w:val="4"/>
        </w:numPr>
        <w:spacing w:line="360" w:lineRule="auto"/>
        <w:jc w:val="left"/>
        <w:outlineLvl w:val="1"/>
        <w:rPr>
          <w:rFonts w:ascii="宋体" w:hAnsi="宋体" w:eastAsia="宋体" w:cs="宋体"/>
          <w:b/>
          <w:bCs/>
          <w:sz w:val="24"/>
          <w:szCs w:val="32"/>
        </w:rPr>
      </w:pPr>
      <w:bookmarkStart w:id="15" w:name="_Toc11580"/>
      <w:bookmarkStart w:id="16" w:name="_Toc25553"/>
      <w:bookmarkStart w:id="17" w:name="_Toc20817"/>
      <w:bookmarkStart w:id="18" w:name="_Toc17189"/>
      <w:r>
        <w:rPr>
          <w:rFonts w:hint="eastAsia" w:ascii="宋体" w:hAnsi="宋体" w:eastAsia="宋体" w:cs="宋体"/>
          <w:b/>
          <w:bCs/>
          <w:sz w:val="24"/>
          <w:szCs w:val="32"/>
        </w:rPr>
        <w:t>车辆主要参数</w:t>
      </w:r>
      <w:bookmarkEnd w:id="15"/>
      <w:bookmarkEnd w:id="16"/>
      <w:bookmarkEnd w:id="17"/>
      <w:bookmarkEnd w:id="18"/>
    </w:p>
    <w:p>
      <w:pPr>
        <w:snapToGrid w:val="0"/>
        <w:spacing w:line="360" w:lineRule="auto"/>
        <w:ind w:firstLine="480" w:firstLineChars="200"/>
        <w:rPr>
          <w:rFonts w:hAnsi="宋体"/>
          <w:sz w:val="24"/>
        </w:rPr>
      </w:pPr>
      <w:r>
        <w:rPr>
          <w:rFonts w:ascii="宋体" w:hAnsi="宋体" w:eastAsia="宋体" w:cs="宋体"/>
          <w:sz w:val="24"/>
          <w:szCs w:val="40"/>
        </w:rPr>
        <w:t>JX5040XQCMKA26</w:t>
      </w:r>
      <w:r>
        <w:rPr>
          <w:rFonts w:hint="eastAsia" w:ascii="宋体" w:hAnsi="宋体" w:eastAsia="宋体" w:cs="宋体"/>
          <w:sz w:val="24"/>
          <w:szCs w:val="40"/>
        </w:rPr>
        <w:t>型转运囚</w:t>
      </w:r>
      <w:r>
        <w:rPr>
          <w:rFonts w:hint="eastAsia" w:ascii="宋体" w:hAnsi="宋体"/>
          <w:color w:val="000000"/>
          <w:sz w:val="24"/>
        </w:rPr>
        <w:t>车</w:t>
      </w:r>
      <w:r>
        <w:rPr>
          <w:rFonts w:hint="eastAsia" w:hAnsi="宋体"/>
          <w:sz w:val="24"/>
        </w:rPr>
        <w:t>遵守底盘生产商的改装手册的要求，在改装过程中，底盘的核心部件、主要参数及性能指标未被改变或者符合原车设计指标要求。改装后的车辆按法规公告要求进行相关检测与试验，具备产品准入资格，符合国家及车辆使用地的上牌要求，确保车辆能顺利完成上牌。</w:t>
      </w:r>
    </w:p>
    <w:p>
      <w:pPr>
        <w:numPr>
          <w:ilvl w:val="1"/>
          <w:numId w:val="4"/>
        </w:numPr>
        <w:spacing w:before="156" w:beforeLines="50" w:line="360" w:lineRule="auto"/>
        <w:jc w:val="left"/>
        <w:outlineLvl w:val="1"/>
        <w:rPr>
          <w:rFonts w:ascii="宋体" w:hAnsi="宋体" w:eastAsia="宋体" w:cs="宋体"/>
          <w:b/>
          <w:bCs/>
          <w:sz w:val="24"/>
          <w:szCs w:val="32"/>
        </w:rPr>
      </w:pPr>
      <w:bookmarkStart w:id="19" w:name="_Toc32183"/>
      <w:bookmarkStart w:id="20" w:name="_Toc9926"/>
      <w:bookmarkStart w:id="21" w:name="_Toc24220"/>
      <w:bookmarkStart w:id="22" w:name="_Toc21640"/>
      <w:r>
        <w:rPr>
          <w:rFonts w:hint="eastAsia" w:ascii="宋体" w:hAnsi="宋体" w:eastAsia="宋体" w:cs="宋体"/>
          <w:b/>
          <w:bCs/>
          <w:sz w:val="24"/>
          <w:szCs w:val="32"/>
        </w:rPr>
        <w:t>总体布置方案</w:t>
      </w:r>
      <w:bookmarkEnd w:id="19"/>
      <w:bookmarkEnd w:id="20"/>
      <w:bookmarkEnd w:id="21"/>
      <w:bookmarkEnd w:id="22"/>
    </w:p>
    <w:p>
      <w:pPr>
        <w:spacing w:line="360" w:lineRule="auto"/>
        <w:ind w:firstLine="540" w:firstLineChars="225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车辆布置设计以满足系统功能和使用需求为目标，充分合理的基于车辆实际情况和需求规划空间和分配载荷，减少系统间的干涉、干扰，提高整车使用的安全性和便利性。</w:t>
      </w:r>
    </w:p>
    <w:p>
      <w:pPr>
        <w:numPr>
          <w:ilvl w:val="2"/>
          <w:numId w:val="5"/>
        </w:numPr>
        <w:spacing w:line="360" w:lineRule="auto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装载平台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装载平台是整个系统承载和综合保障的支撑，是整车系统可靠工作、人员操作便利的重要载体，选择合适的底盘作为装载平台是车辆布置方案的基础。底盘选型立足于国内外现有的定型车辆，综合考虑应用环境、机动性能、承载能力、空间尺寸、舒适性和安全性，结合</w:t>
      </w:r>
      <w:r>
        <w:rPr>
          <w:rFonts w:ascii="宋体" w:hAnsi="宋体" w:eastAsia="宋体" w:cs="宋体"/>
          <w:sz w:val="24"/>
          <w:szCs w:val="40"/>
        </w:rPr>
        <w:t>JX5040XQCMKA26</w:t>
      </w:r>
      <w:r>
        <w:rPr>
          <w:rFonts w:hint="eastAsia" w:ascii="宋体" w:hAnsi="宋体" w:eastAsia="宋体" w:cs="宋体"/>
          <w:sz w:val="24"/>
          <w:szCs w:val="40"/>
        </w:rPr>
        <w:t>型转运囚</w:t>
      </w:r>
      <w:r>
        <w:rPr>
          <w:rFonts w:hint="eastAsia" w:ascii="宋体" w:hAnsi="宋体"/>
          <w:color w:val="000000"/>
          <w:sz w:val="24"/>
        </w:rPr>
        <w:t>车产品的定位，采用江铃股份公司生产的</w:t>
      </w:r>
      <w:r>
        <w:rPr>
          <w:rFonts w:ascii="宋体" w:hAnsi="宋体" w:eastAsia="宋体" w:cs="宋体"/>
          <w:sz w:val="24"/>
          <w:szCs w:val="40"/>
        </w:rPr>
        <w:t>JX6605TB-N6</w:t>
      </w:r>
      <w:r>
        <w:rPr>
          <w:rFonts w:hint="eastAsia" w:ascii="宋体" w:hAnsi="宋体" w:eastAsia="宋体" w:cs="宋体"/>
          <w:sz w:val="24"/>
          <w:szCs w:val="40"/>
        </w:rPr>
        <w:t>型</w:t>
      </w:r>
      <w:r>
        <w:rPr>
          <w:rFonts w:hint="eastAsia" w:ascii="宋体" w:hAnsi="宋体"/>
          <w:color w:val="000000"/>
          <w:sz w:val="24"/>
        </w:rPr>
        <w:t>客车为基础车型。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底盘技术参数如下：</w:t>
      </w:r>
    </w:p>
    <w:tbl>
      <w:tblPr>
        <w:tblStyle w:val="5"/>
        <w:tblW w:w="8543" w:type="dxa"/>
        <w:jc w:val="center"/>
        <w:tblInd w:w="0" w:type="dxa"/>
        <w:tblLayout w:type="fixed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1620"/>
        <w:gridCol w:w="2526"/>
        <w:gridCol w:w="1647"/>
        <w:gridCol w:w="2750"/>
      </w:tblGrid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公告批次: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367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目录序号: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61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中文品牌: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江铃牌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生产厂家: 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江铃汽车股份有限公司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 xml:space="preserve"> 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发动机型号: 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JX4D20A6H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发动机功率: 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10</w:t>
            </w:r>
            <w:r>
              <w:rPr>
                <w:rFonts w:ascii="宋体" w:hAnsi="宋体" w:eastAsia="宋体" w:cs="宋体"/>
                <w:sz w:val="22"/>
                <w:szCs w:val="22"/>
              </w:rPr>
              <w:t>7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（kw)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发动机排量: 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sz w:val="22"/>
                <w:szCs w:val="22"/>
              </w:rPr>
              <w:t>000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(ml)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燃料种类: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柴油 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外形尺寸: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5998×2098×2</w:t>
            </w:r>
            <w:r>
              <w:rPr>
                <w:rFonts w:ascii="宋体" w:hAnsi="宋体" w:eastAsia="宋体" w:cs="宋体"/>
                <w:sz w:val="22"/>
                <w:szCs w:val="22"/>
              </w:rPr>
              <w:t>498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(mm）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总质量: 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4250(Kg)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轴距: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3750(mm）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整备质量: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27</w:t>
            </w:r>
            <w:r>
              <w:rPr>
                <w:rFonts w:ascii="宋体" w:hAnsi="宋体" w:eastAsia="宋体" w:cs="宋体"/>
                <w:sz w:val="22"/>
                <w:szCs w:val="22"/>
              </w:rPr>
              <w:t>25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(Kg)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前悬: 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9</w:t>
            </w:r>
            <w:r>
              <w:rPr>
                <w:rFonts w:ascii="宋体" w:hAnsi="宋体" w:eastAsia="宋体" w:cs="宋体"/>
                <w:sz w:val="22"/>
                <w:szCs w:val="22"/>
              </w:rPr>
              <w:t>80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(mm）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前轴荷: 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z w:val="22"/>
                <w:szCs w:val="22"/>
              </w:rPr>
              <w:t>730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(Kg)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后悬: 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z w:val="22"/>
                <w:szCs w:val="22"/>
              </w:rPr>
              <w:t>268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(mm）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后轴荷: 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sz w:val="22"/>
                <w:szCs w:val="22"/>
              </w:rPr>
              <w:t>520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(Kg)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前轮距: 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174</w:t>
            </w:r>
            <w:r>
              <w:rPr>
                <w:rFonts w:ascii="宋体" w:hAnsi="宋体" w:eastAsia="宋体" w:cs="宋体"/>
                <w:sz w:val="22"/>
                <w:szCs w:val="22"/>
              </w:rPr>
              <w:t>5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(mm）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最高车速: 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z w:val="22"/>
                <w:szCs w:val="22"/>
              </w:rPr>
              <w:t>60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(km/h)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后轮距: 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1642(mm）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轴数: 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2 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接近角: 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(°)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轮胎数: 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6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离去角: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(°)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轮胎规格: 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185/75R16LT 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额定载客: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10-1</w:t>
            </w:r>
            <w:r>
              <w:rPr>
                <w:rFonts w:ascii="宋体" w:hAnsi="宋体" w:eastAsia="宋体" w:cs="宋体"/>
                <w:sz w:val="22"/>
                <w:szCs w:val="22"/>
              </w:rPr>
              <w:t>5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(人)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弹簧片数: 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-/3</w:t>
            </w:r>
          </w:p>
        </w:tc>
      </w:tr>
      <w:tr>
        <w:tblPrEx>
          <w:tblLayout w:type="fixed"/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依据标准: </w:t>
            </w:r>
          </w:p>
        </w:tc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GB17691-2018国Ⅵ 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防抱死系统:</w:t>
            </w:r>
          </w:p>
        </w:tc>
        <w:tc>
          <w:tcPr>
            <w:tcW w:w="2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Autospacing="1" w:afterAutospac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有 </w:t>
            </w:r>
          </w:p>
        </w:tc>
      </w:tr>
    </w:tbl>
    <w:p>
      <w:pPr>
        <w:spacing w:before="156" w:beforeLines="50" w:line="360" w:lineRule="auto"/>
        <w:jc w:val="center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drawing>
          <wp:inline distT="0" distB="0" distL="114300" distR="114300">
            <wp:extent cx="2348865" cy="1568450"/>
            <wp:effectExtent l="0" t="0" r="13335" b="12700"/>
            <wp:docPr id="6" name="图片 6" descr="168759522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75952246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3338" cy="15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color w:val="000000"/>
          <w:sz w:val="24"/>
        </w:rPr>
        <w:t xml:space="preserve"> </w:t>
      </w:r>
      <w:r>
        <w:rPr>
          <w:rFonts w:ascii="宋体" w:hAnsi="宋体"/>
          <w:b/>
          <w:bCs/>
          <w:color w:val="000000"/>
          <w:sz w:val="24"/>
        </w:rPr>
        <w:drawing>
          <wp:inline distT="0" distB="0" distL="0" distR="0">
            <wp:extent cx="2104390" cy="1570990"/>
            <wp:effectExtent l="0" t="0" r="10160" b="1016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197" cy="157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color w:val="000000"/>
          <w:sz w:val="24"/>
        </w:rPr>
        <w:t xml:space="preserve"> </w:t>
      </w:r>
    </w:p>
    <w:p>
      <w:pPr>
        <w:numPr>
          <w:ilvl w:val="2"/>
          <w:numId w:val="5"/>
        </w:numPr>
        <w:spacing w:line="360" w:lineRule="auto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外观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车辆外观样式是根据用户方特定的要求进行设计和施工。对于特殊的行业用户和使用单位，可以参考相关行业的标准、规范。</w:t>
      </w:r>
      <w:r>
        <w:rPr>
          <w:rFonts w:ascii="宋体" w:hAnsi="宋体" w:eastAsia="宋体" w:cs="宋体"/>
          <w:sz w:val="24"/>
          <w:szCs w:val="40"/>
        </w:rPr>
        <w:t>JX5040XQCMKA26</w:t>
      </w:r>
      <w:r>
        <w:rPr>
          <w:rFonts w:hint="eastAsia" w:ascii="宋体" w:hAnsi="宋体" w:eastAsia="宋体" w:cs="宋体"/>
          <w:sz w:val="24"/>
          <w:szCs w:val="40"/>
        </w:rPr>
        <w:t>型转运</w:t>
      </w:r>
      <w:r>
        <w:rPr>
          <w:rFonts w:hint="eastAsia" w:ascii="宋体" w:hAnsi="宋体"/>
          <w:color w:val="000000"/>
          <w:sz w:val="24"/>
        </w:rPr>
        <w:t>囚车依据公安行业的“GA524-2004警用汽车类外观制式涂装规范”的要求设计的外观</w:t>
      </w:r>
    </w:p>
    <w:p>
      <w:pPr>
        <w:pStyle w:val="3"/>
        <w:jc w:val="left"/>
      </w:pPr>
      <w:r>
        <w:drawing>
          <wp:inline distT="0" distB="0" distL="114300" distR="114300">
            <wp:extent cx="3653155" cy="1879600"/>
            <wp:effectExtent l="0" t="0" r="444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4827" t="8053" r="6203" b="3137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5300" cy="1886585"/>
            <wp:effectExtent l="0" t="0" r="635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5"/>
        </w:numPr>
        <w:spacing w:line="360" w:lineRule="auto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车外布置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外部的布置方案主要：车身喷2004制警用外观，车顶布置长排警灯，车顶前/后布置监控摄像头，车窗贴深色防爆膜；示意图如下：</w:t>
      </w:r>
    </w:p>
    <w:p>
      <w:pPr>
        <w:spacing w:line="360" w:lineRule="auto"/>
        <w:jc w:val="center"/>
        <w:rPr>
          <w:rFonts w:ascii="宋体" w:hAnsi="宋体"/>
          <w:color w:val="000000"/>
          <w:sz w:val="24"/>
        </w:rPr>
      </w:pPr>
      <w:r>
        <w:drawing>
          <wp:inline distT="0" distB="0" distL="0" distR="0">
            <wp:extent cx="4762500" cy="219773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1571" cy="220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5"/>
        </w:numPr>
        <w:spacing w:line="360" w:lineRule="auto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车内布置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车内按功能分为乘警区、囚室两个功能区。</w:t>
      </w:r>
      <w:r>
        <w:rPr>
          <w:rFonts w:ascii="宋体" w:hAnsi="宋体"/>
          <w:color w:val="000000"/>
          <w:sz w:val="24"/>
        </w:rPr>
        <w:t>乘员舱可搭载7名警员，</w:t>
      </w:r>
      <w:r>
        <w:rPr>
          <w:rFonts w:hint="eastAsia" w:ascii="宋体" w:hAnsi="宋体"/>
          <w:color w:val="000000"/>
          <w:sz w:val="24"/>
        </w:rPr>
        <w:t>押解8名囚犯，副司机位置配遮阳板显示器，可随时观察囚室内的状态。具体布置如图：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4621530" cy="2445385"/>
            <wp:effectExtent l="0" t="0" r="7620" b="12065"/>
            <wp:docPr id="8" name="图片 8" descr="C:\Users\jsv\Documents\WeChat Files\wxid_1ce1a6lx14ft21\FileStorage\Temp\9a243d08c2d9e3b93b90b2e8bad75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sv\Documents\WeChat Files\wxid_1ce1a6lx14ft21\FileStorage\Temp\9a243d08c2d9e3b93b90b2e8bad75f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720" cy="24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3"/>
          <w:numId w:val="6"/>
        </w:numPr>
        <w:tabs>
          <w:tab w:val="left" w:pos="340"/>
          <w:tab w:val="clear" w:pos="0"/>
        </w:tabs>
        <w:spacing w:line="360" w:lineRule="auto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乘警区</w:t>
      </w:r>
    </w:p>
    <w:p>
      <w:pPr>
        <w:spacing w:line="360" w:lineRule="auto"/>
        <w:ind w:firstLine="480" w:firstLineChars="200"/>
        <w:jc w:val="left"/>
        <w:rPr>
          <w:sz w:val="24"/>
          <w:szCs w:val="32"/>
        </w:rPr>
      </w:pPr>
      <w:r>
        <w:rPr>
          <w:rFonts w:hint="eastAsia" w:ascii="宋体" w:hAnsi="宋体"/>
          <w:color w:val="000000"/>
          <w:sz w:val="24"/>
        </w:rPr>
        <w:t>驾驶区基本维持原状态不变，一般只在仪表区增加了警灯控制器、</w:t>
      </w:r>
      <w:r>
        <w:rPr>
          <w:rFonts w:hint="eastAsia"/>
          <w:sz w:val="24"/>
          <w:szCs w:val="32"/>
        </w:rPr>
        <w:t>行驶记录仪及监控系统开关等，具体视上装配置情况而定。前排乘坐</w:t>
      </w:r>
      <w:r>
        <w:rPr>
          <w:sz w:val="24"/>
          <w:szCs w:val="32"/>
        </w:rPr>
        <w:t>2</w:t>
      </w:r>
      <w:r>
        <w:rPr>
          <w:rFonts w:hint="eastAsia"/>
          <w:sz w:val="24"/>
          <w:szCs w:val="32"/>
        </w:rPr>
        <w:t>人，第二排乘坐2人，第三排乘坐3人，乘警区总共乘坐</w:t>
      </w:r>
      <w:r>
        <w:rPr>
          <w:sz w:val="24"/>
          <w:szCs w:val="32"/>
        </w:rPr>
        <w:t>7</w:t>
      </w:r>
      <w:r>
        <w:rPr>
          <w:rFonts w:hint="eastAsia"/>
          <w:sz w:val="24"/>
          <w:szCs w:val="32"/>
        </w:rPr>
        <w:t>名警察。</w:t>
      </w:r>
    </w:p>
    <w:p>
      <w:pPr>
        <w:numPr>
          <w:ilvl w:val="3"/>
          <w:numId w:val="6"/>
        </w:numPr>
        <w:tabs>
          <w:tab w:val="left" w:pos="340"/>
          <w:tab w:val="clear" w:pos="0"/>
        </w:tabs>
        <w:spacing w:line="360" w:lineRule="auto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囚室</w:t>
      </w:r>
    </w:p>
    <w:p>
      <w:pPr>
        <w:spacing w:line="360" w:lineRule="auto"/>
        <w:jc w:val="center"/>
      </w:pPr>
      <w:r>
        <w:drawing>
          <wp:inline distT="0" distB="0" distL="0" distR="0">
            <wp:extent cx="4941570" cy="2575560"/>
            <wp:effectExtent l="0" t="0" r="11430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2434" cy="257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囚室位于警员乘坐舱的后部，是本车最重要的功能区域，配备了不锈钢中隔断总成（带推拉门），不锈钢后隔断总成（带单开门），左/右两侧的后侧窗玻璃上固定不锈钢侧窗栅栏，囚室内左/右两侧固定两只双人翻板式囚椅，可关押8人；地板上固定</w:t>
      </w:r>
      <w:r>
        <w:rPr>
          <w:rFonts w:ascii="宋体" w:hAnsi="宋体"/>
          <w:color w:val="000000"/>
          <w:sz w:val="24"/>
        </w:rPr>
        <w:t>3</w:t>
      </w:r>
      <w:r>
        <w:rPr>
          <w:rFonts w:hint="eastAsia" w:ascii="宋体" w:hAnsi="宋体"/>
          <w:color w:val="000000"/>
          <w:sz w:val="24"/>
        </w:rPr>
        <w:t>只脚镣固定环。脚镣固定环与地板上表面齐平，无凸起。囚室内视频监控系统，监控犯人的相关动作。</w:t>
      </w:r>
    </w:p>
    <w:p>
      <w:pPr>
        <w:numPr>
          <w:ilvl w:val="1"/>
          <w:numId w:val="4"/>
        </w:numPr>
        <w:spacing w:before="156" w:beforeLines="50" w:line="360" w:lineRule="auto"/>
        <w:jc w:val="left"/>
        <w:outlineLvl w:val="1"/>
        <w:rPr>
          <w:rFonts w:ascii="宋体" w:hAnsi="宋体" w:eastAsia="宋体" w:cs="宋体"/>
          <w:b/>
          <w:bCs/>
          <w:sz w:val="24"/>
          <w:szCs w:val="32"/>
        </w:rPr>
      </w:pPr>
      <w:bookmarkStart w:id="23" w:name="_Toc28744"/>
      <w:bookmarkStart w:id="24" w:name="_Toc3380"/>
      <w:bookmarkStart w:id="25" w:name="_Toc32215"/>
      <w:bookmarkStart w:id="26" w:name="_Toc3179"/>
      <w:r>
        <w:rPr>
          <w:rFonts w:hint="eastAsia" w:ascii="宋体" w:hAnsi="宋体" w:eastAsia="宋体" w:cs="宋体"/>
          <w:b/>
          <w:bCs/>
          <w:sz w:val="24"/>
          <w:szCs w:val="32"/>
        </w:rPr>
        <w:t>设备配置明细</w:t>
      </w:r>
      <w:bookmarkEnd w:id="23"/>
      <w:bookmarkEnd w:id="24"/>
      <w:bookmarkEnd w:id="25"/>
      <w:bookmarkEnd w:id="26"/>
    </w:p>
    <w:tbl>
      <w:tblPr>
        <w:tblStyle w:val="5"/>
        <w:tblW w:w="8447" w:type="dxa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2200"/>
        <w:gridCol w:w="3880"/>
        <w:gridCol w:w="321"/>
        <w:gridCol w:w="426"/>
        <w:gridCol w:w="9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功能分类</w:t>
            </w:r>
          </w:p>
        </w:tc>
        <w:tc>
          <w:tcPr>
            <w:tcW w:w="2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设备名称</w:t>
            </w:r>
          </w:p>
        </w:tc>
        <w:tc>
          <w:tcPr>
            <w:tcW w:w="3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品牌型号或说明</w:t>
            </w:r>
          </w:p>
        </w:tc>
        <w:tc>
          <w:tcPr>
            <w:tcW w:w="7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数量</w:t>
            </w:r>
          </w:p>
        </w:tc>
        <w:tc>
          <w:tcPr>
            <w:tcW w:w="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车型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福顺长轴中高顶客车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江铃牌JX6605TB-N6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自动档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，柴油国六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台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警示系统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长排警灯警报器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TBD-GA-1341,1.4米、100W警报器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方形爆闪灯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固定在车辆的后部，红蓝各三盏，含脉冲器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盏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车辆外观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04制警用标识及警蓝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侧窗安全防暴膜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KDX，深色，4Mil厚度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囚室系统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中隔栅栏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不锈钢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中隔栅栏推拉门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满足法规要求，人员通道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尾部栅栏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不锈钢，带单开门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尾门栅栏天地锁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加强型三点式门锁，保证囚笼安全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中侧窗栅栏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不锈钢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后侧窗栅栏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不锈钢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透明亚克力板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4mm厚，紧贴中隔栅栏后部，防止嫌疑人通过栅栏间隙攻击警员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脚铐环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囚犯脚铐固定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座椅内饰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长条翻板座椅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满足四人使用，带支撑杠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法规要求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汽车行驶记录仪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满足法规要求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辅助材料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车体改制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JSV，局部开孔，加强、加固等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电器辅助材料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JSV，电路连接、控制、保险、电源、线束、插座、接触器及开关等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装配辅助材料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JSV，设备安装、胶、减震皮等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涂装辅助材料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JSV，自制件喷漆，扫尾及补漆等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47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highlight w:val="yellow"/>
              </w:rPr>
              <w:t>选装</w:t>
            </w: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highlight w:val="yellow"/>
              </w:rPr>
              <w:t>配置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功能分类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设备名称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品牌型号或说明</w:t>
            </w:r>
          </w:p>
        </w:tc>
        <w:tc>
          <w:tcPr>
            <w:tcW w:w="7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数量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车窗防护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前挡太阳膜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KDX品牌，透明，4Mil厚度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爆胎应急装置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突发爆胎时可有效防止车辆侧翻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监控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行车记录仪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32G,前后双录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环境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净化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车载空气净化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用于净化车内空气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暖风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加强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燃油加热器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加强车内暖风，适用较冷天气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囚室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设施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尾门栅栏指纹电子锁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支持指纹、刷卡、密码多种解锁方式，需取消标准配置里的“尾门栅栏天地锁”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软包囚室总成</w:t>
            </w:r>
          </w:p>
        </w:tc>
        <w:tc>
          <w:tcPr>
            <w:tcW w:w="3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前后中隔及车窗采用软包材质的栅栏结构，需取消标准配置里的“囚室系统”</w:t>
            </w:r>
          </w:p>
        </w:tc>
        <w:tc>
          <w:tcPr>
            <w:tcW w:w="3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囚室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升级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栅栏表面处理</w:t>
            </w:r>
          </w:p>
        </w:tc>
        <w:tc>
          <w:tcPr>
            <w:tcW w:w="3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不锈钢栅栏表现喷漆处理，更美观</w:t>
            </w:r>
          </w:p>
        </w:tc>
        <w:tc>
          <w:tcPr>
            <w:tcW w:w="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</w:pPr>
            <w:bookmarkStart w:id="27" w:name="_Toc22760"/>
            <w:bookmarkStart w:id="28" w:name="_Toc28939"/>
            <w:bookmarkStart w:id="29" w:name="_Toc16776"/>
            <w:bookmarkStart w:id="30" w:name="_Toc32343"/>
            <w:bookmarkStart w:id="31" w:name="_Toc12326"/>
            <w:bookmarkStart w:id="32" w:name="_Toc29259"/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监控系统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4G高清硬盘录像机</w:t>
            </w:r>
          </w:p>
        </w:tc>
        <w:tc>
          <w:tcPr>
            <w:tcW w:w="3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大华，8路高清网络输入，含1T 硬盘</w:t>
            </w:r>
          </w:p>
        </w:tc>
        <w:tc>
          <w:tcPr>
            <w:tcW w:w="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台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高清监控摄像头</w:t>
            </w:r>
          </w:p>
        </w:tc>
        <w:tc>
          <w:tcPr>
            <w:tcW w:w="3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大华，200W像素，内置MIC，IP67、IK10防护等级</w:t>
            </w:r>
          </w:p>
        </w:tc>
        <w:tc>
          <w:tcPr>
            <w:tcW w:w="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6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方形摄像机</w:t>
            </w:r>
          </w:p>
        </w:tc>
        <w:tc>
          <w:tcPr>
            <w:tcW w:w="3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大华，网络，200w像素，2.8mm焦距</w:t>
            </w:r>
          </w:p>
        </w:tc>
        <w:tc>
          <w:tcPr>
            <w:tcW w:w="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专用监视器</w:t>
            </w:r>
          </w:p>
        </w:tc>
        <w:tc>
          <w:tcPr>
            <w:tcW w:w="3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JSV，遮阳板式，9寸</w:t>
            </w:r>
          </w:p>
        </w:tc>
        <w:tc>
          <w:tcPr>
            <w:tcW w:w="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</w:tbl>
    <w:p>
      <w:pPr>
        <w:numPr>
          <w:ilvl w:val="0"/>
          <w:numId w:val="2"/>
        </w:numPr>
        <w:spacing w:before="156" w:beforeLines="50" w:line="288" w:lineRule="auto"/>
        <w:ind w:left="635" w:hanging="635"/>
        <w:jc w:val="left"/>
        <w:outlineLvl w:val="0"/>
        <w:rPr>
          <w:rFonts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t>专项功能</w:t>
      </w:r>
      <w:bookmarkEnd w:id="27"/>
      <w:bookmarkEnd w:id="28"/>
      <w:bookmarkEnd w:id="29"/>
      <w:bookmarkEnd w:id="30"/>
      <w:bookmarkEnd w:id="31"/>
      <w:r>
        <w:rPr>
          <w:rFonts w:hint="eastAsia" w:ascii="宋体" w:hAnsi="宋体" w:eastAsia="宋体" w:cs="宋体"/>
          <w:b/>
          <w:bCs/>
          <w:sz w:val="28"/>
          <w:szCs w:val="36"/>
        </w:rPr>
        <w:t>方案</w:t>
      </w:r>
      <w:bookmarkEnd w:id="32"/>
    </w:p>
    <w:p>
      <w:pPr>
        <w:pStyle w:val="2"/>
        <w:tabs>
          <w:tab w:val="clear" w:pos="567"/>
        </w:tabs>
        <w:spacing w:before="156" w:after="156"/>
        <w:ind w:left="640"/>
        <w:rPr>
          <w:sz w:val="24"/>
          <w:szCs w:val="32"/>
        </w:rPr>
      </w:pPr>
      <w:bookmarkStart w:id="33" w:name="_Toc20379"/>
      <w:bookmarkStart w:id="34" w:name="_Toc12493"/>
      <w:bookmarkStart w:id="35" w:name="_Toc26088"/>
      <w:bookmarkStart w:id="36" w:name="_Toc7464"/>
      <w:bookmarkStart w:id="37" w:name="_Toc699"/>
      <w:bookmarkStart w:id="38" w:name="_Toc35258414"/>
      <w:r>
        <w:rPr>
          <w:rFonts w:hint="eastAsia"/>
          <w:sz w:val="24"/>
          <w:szCs w:val="32"/>
        </w:rPr>
        <w:t>视频采集处理系统</w:t>
      </w:r>
      <w:bookmarkEnd w:id="33"/>
      <w:bookmarkEnd w:id="34"/>
      <w:bookmarkEnd w:id="35"/>
      <w:bookmarkEnd w:id="36"/>
      <w:bookmarkEnd w:id="37"/>
    </w:p>
    <w:p>
      <w:pPr>
        <w:spacing w:line="360" w:lineRule="auto"/>
        <w:ind w:firstLine="480"/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视频采集处理系统，主要由视频采集、视频输出设备（摄像机、硬盘录像机等），视频处理设备（视频矩阵），视频传输、播放设备（各显示屏等）组成。实现完整的视频采集处理功能。</w:t>
      </w:r>
    </w:p>
    <w:p>
      <w:pPr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>
        <w:drawing>
          <wp:inline distT="0" distB="0" distL="114300" distR="114300">
            <wp:extent cx="5234940" cy="289179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监控系统由高清监控摄像机、高清硬盘录像机和监视器组成。高清监控摄像机所采集的音、视频数据可被高清硬盘录像机压缩并存储，同时视频可由高清硬盘录像机实时解码，在监视器上播放出来。</w:t>
      </w:r>
    </w:p>
    <w:bookmarkEnd w:id="38"/>
    <w:p>
      <w:pPr>
        <w:numPr>
          <w:ilvl w:val="0"/>
          <w:numId w:val="2"/>
        </w:numPr>
        <w:spacing w:before="156" w:beforeLines="50" w:line="288" w:lineRule="auto"/>
        <w:ind w:left="635" w:hanging="425"/>
        <w:jc w:val="left"/>
        <w:outlineLvl w:val="0"/>
        <w:rPr>
          <w:rFonts w:ascii="宋体" w:hAnsi="宋体" w:eastAsia="宋体" w:cs="宋体"/>
          <w:b/>
          <w:bCs/>
          <w:sz w:val="28"/>
          <w:szCs w:val="36"/>
        </w:rPr>
      </w:pPr>
      <w:bookmarkStart w:id="39" w:name="_Toc16076"/>
      <w:bookmarkStart w:id="40" w:name="_Toc23026"/>
      <w:bookmarkStart w:id="41" w:name="_Toc13390"/>
      <w:bookmarkStart w:id="42" w:name="_Toc23426"/>
      <w:bookmarkStart w:id="43" w:name="_Toc15934"/>
      <w:bookmarkStart w:id="44" w:name="_Toc30338"/>
      <w:r>
        <w:rPr>
          <w:rFonts w:hint="eastAsia" w:ascii="宋体" w:hAnsi="宋体" w:eastAsia="宋体" w:cs="宋体"/>
          <w:b/>
          <w:bCs/>
          <w:sz w:val="28"/>
          <w:szCs w:val="36"/>
        </w:rPr>
        <w:t>验证及测试</w:t>
      </w:r>
      <w:bookmarkEnd w:id="39"/>
      <w:bookmarkEnd w:id="40"/>
      <w:bookmarkEnd w:id="41"/>
      <w:bookmarkEnd w:id="42"/>
      <w:bookmarkEnd w:id="43"/>
      <w:bookmarkEnd w:id="44"/>
    </w:p>
    <w:p>
      <w:pPr>
        <w:spacing w:line="360" w:lineRule="auto"/>
        <w:ind w:firstLine="540" w:firstLineChars="225"/>
        <w:rPr>
          <w:sz w:val="24"/>
        </w:rPr>
      </w:pPr>
      <w:r>
        <w:rPr>
          <w:rFonts w:hint="eastAsia" w:ascii="宋体" w:hAnsi="宋体"/>
          <w:color w:val="000000"/>
          <w:sz w:val="24"/>
        </w:rPr>
        <w:t>车辆下线后，在</w:t>
      </w:r>
      <w:r>
        <w:rPr>
          <w:rFonts w:hint="eastAsia"/>
          <w:sz w:val="24"/>
        </w:rPr>
        <w:t>提交产品给采购方验收前，公司质量及法规部门</w:t>
      </w:r>
      <w:r>
        <w:rPr>
          <w:rFonts w:hint="eastAsia" w:ascii="宋体" w:hAnsi="宋体"/>
          <w:color w:val="000000"/>
          <w:sz w:val="24"/>
        </w:rPr>
        <w:t>依据国家、行业及公司的</w:t>
      </w:r>
      <w:r>
        <w:rPr>
          <w:rFonts w:hint="eastAsia"/>
          <w:sz w:val="24"/>
        </w:rPr>
        <w:t>产品质量要求完成</w:t>
      </w:r>
      <w:bookmarkStart w:id="45" w:name="OLE_LINK1"/>
      <w:r>
        <w:rPr>
          <w:rFonts w:hint="eastAsia"/>
          <w:sz w:val="24"/>
        </w:rPr>
        <w:t>内部自检</w:t>
      </w:r>
      <w:bookmarkEnd w:id="45"/>
      <w:r>
        <w:rPr>
          <w:rFonts w:hint="eastAsia"/>
          <w:sz w:val="24"/>
        </w:rPr>
        <w:t>和测试。</w:t>
      </w:r>
    </w:p>
    <w:p>
      <w:pPr>
        <w:spacing w:line="360" w:lineRule="auto"/>
        <w:jc w:val="center"/>
        <w:rPr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4973320" cy="1567815"/>
            <wp:effectExtent l="0" t="0" r="17780" b="13335"/>
            <wp:docPr id="10" name="图片 10" descr="1662540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254060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7"/>
        </w:numPr>
        <w:spacing w:before="156" w:beforeLines="50" w:line="360" w:lineRule="auto"/>
        <w:outlineLvl w:val="1"/>
        <w:rPr>
          <w:rFonts w:asciiTheme="minorEastAsia" w:hAnsiTheme="minorEastAsia"/>
          <w:b/>
          <w:bCs/>
          <w:sz w:val="24"/>
          <w:szCs w:val="32"/>
        </w:rPr>
      </w:pPr>
      <w:bookmarkStart w:id="46" w:name="_Toc523917983"/>
      <w:bookmarkStart w:id="47" w:name="_Toc2817"/>
      <w:bookmarkStart w:id="48" w:name="_Toc24698"/>
      <w:bookmarkStart w:id="49" w:name="_Toc23616"/>
      <w:bookmarkStart w:id="50" w:name="_Toc11038"/>
      <w:bookmarkStart w:id="51" w:name="_Toc13397"/>
      <w:r>
        <w:rPr>
          <w:rFonts w:hint="eastAsia" w:asciiTheme="minorEastAsia" w:hAnsiTheme="minorEastAsia"/>
          <w:b/>
          <w:bCs/>
          <w:sz w:val="24"/>
          <w:szCs w:val="32"/>
        </w:rPr>
        <w:t>功能调试</w:t>
      </w:r>
      <w:bookmarkEnd w:id="46"/>
      <w:bookmarkEnd w:id="47"/>
      <w:bookmarkEnd w:id="48"/>
      <w:bookmarkEnd w:id="49"/>
      <w:bookmarkEnd w:id="50"/>
      <w:bookmarkEnd w:id="51"/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车辆制造工作完成后，对整车上装设备进行初步调试，测试各功能单元、系统工作状态是否达到设计要求，并做好相关记录。待跑车试验结束后，重复以上调试工作，确保各系统功能在动态测试后依然正常、稳定。</w:t>
      </w:r>
    </w:p>
    <w:p>
      <w:pPr>
        <w:keepNext/>
        <w:keepLines/>
        <w:numPr>
          <w:ilvl w:val="1"/>
          <w:numId w:val="7"/>
        </w:numPr>
        <w:spacing w:before="156" w:beforeLines="50" w:line="360" w:lineRule="auto"/>
        <w:outlineLvl w:val="1"/>
        <w:rPr>
          <w:rFonts w:asciiTheme="minorEastAsia" w:hAnsiTheme="minorEastAsia"/>
          <w:b/>
          <w:bCs/>
          <w:sz w:val="24"/>
          <w:szCs w:val="32"/>
        </w:rPr>
      </w:pPr>
      <w:bookmarkStart w:id="52" w:name="_Toc32263"/>
      <w:bookmarkStart w:id="53" w:name="_Toc21103"/>
      <w:bookmarkStart w:id="54" w:name="_Toc15998"/>
      <w:bookmarkStart w:id="55" w:name="_Toc9350"/>
      <w:r>
        <w:rPr>
          <w:rFonts w:hint="eastAsia" w:asciiTheme="minorEastAsia" w:hAnsiTheme="minorEastAsia"/>
          <w:b/>
          <w:bCs/>
          <w:sz w:val="24"/>
          <w:szCs w:val="32"/>
        </w:rPr>
        <w:t>路跑试验</w:t>
      </w:r>
      <w:bookmarkEnd w:id="52"/>
      <w:bookmarkEnd w:id="53"/>
      <w:bookmarkEnd w:id="54"/>
      <w:bookmarkEnd w:id="55"/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待整车完成调试、淋雨等后，视对车辆底盘改装程度情况对车辆进行10-50km路跑测试，按</w:t>
      </w:r>
      <w:r>
        <w:rPr>
          <w:rFonts w:hint="eastAsia"/>
          <w:sz w:val="24"/>
        </w:rPr>
        <w:t>一、二、三级道路和碎石路面分段进行，</w:t>
      </w:r>
      <w:r>
        <w:rPr>
          <w:rFonts w:hint="eastAsia" w:asciiTheme="minorEastAsia" w:hAnsiTheme="minorEastAsia"/>
          <w:sz w:val="24"/>
        </w:rPr>
        <w:t>确保车辆改装后安全性、稳定性及制动性。</w:t>
      </w:r>
    </w:p>
    <w:p>
      <w:pPr>
        <w:keepNext/>
        <w:keepLines/>
        <w:numPr>
          <w:ilvl w:val="1"/>
          <w:numId w:val="7"/>
        </w:numPr>
        <w:spacing w:before="156" w:beforeLines="50" w:line="360" w:lineRule="auto"/>
        <w:outlineLvl w:val="1"/>
        <w:rPr>
          <w:rFonts w:asciiTheme="minorEastAsia" w:hAnsiTheme="minorEastAsia"/>
          <w:b/>
          <w:bCs/>
          <w:sz w:val="24"/>
          <w:szCs w:val="32"/>
        </w:rPr>
      </w:pPr>
      <w:bookmarkStart w:id="56" w:name="_Toc28531"/>
      <w:bookmarkStart w:id="57" w:name="_Toc18642"/>
      <w:bookmarkStart w:id="58" w:name="_Toc13558"/>
      <w:bookmarkStart w:id="59" w:name="_Toc7185"/>
      <w:bookmarkStart w:id="60" w:name="_Toc523917984"/>
      <w:bookmarkStart w:id="61" w:name="_Toc13442"/>
      <w:r>
        <w:rPr>
          <w:rFonts w:hint="eastAsia" w:asciiTheme="minorEastAsia" w:hAnsiTheme="minorEastAsia"/>
          <w:b/>
          <w:bCs/>
          <w:sz w:val="24"/>
          <w:szCs w:val="32"/>
        </w:rPr>
        <w:t>淋雨试验</w:t>
      </w:r>
      <w:bookmarkEnd w:id="56"/>
      <w:bookmarkEnd w:id="57"/>
      <w:bookmarkEnd w:id="58"/>
      <w:bookmarkEnd w:id="59"/>
      <w:bookmarkEnd w:id="60"/>
      <w:bookmarkEnd w:id="61"/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公司拥有室内（小车）、室外（大车）淋雨试验房两座，待车辆路跑试验结束后，对整车进行30分钟的全方位的淋雨（</w:t>
      </w:r>
      <w:r>
        <w:rPr>
          <w:rFonts w:hint="eastAsia" w:ascii="宋体" w:hAnsi="宋体"/>
          <w:color w:val="000000"/>
          <w:sz w:val="24"/>
        </w:rPr>
        <w:t>不小于6mm/min的降雨量）</w:t>
      </w:r>
      <w:r>
        <w:rPr>
          <w:rFonts w:hint="eastAsia" w:asciiTheme="minorEastAsia" w:hAnsiTheme="minorEastAsia"/>
          <w:sz w:val="24"/>
        </w:rPr>
        <w:t>，确保</w:t>
      </w:r>
      <w:r>
        <w:rPr>
          <w:rFonts w:hint="eastAsia" w:ascii="宋体" w:hAnsi="宋体"/>
          <w:color w:val="000000"/>
          <w:sz w:val="24"/>
        </w:rPr>
        <w:t>试验后车内及车体夹层无渗水、积水现象</w:t>
      </w:r>
      <w:r>
        <w:rPr>
          <w:rFonts w:hint="eastAsia" w:asciiTheme="minorEastAsia" w:hAnsiTheme="minorEastAsia"/>
          <w:sz w:val="24"/>
        </w:rPr>
        <w:t>。</w:t>
      </w:r>
    </w:p>
    <w:p>
      <w:pPr>
        <w:numPr>
          <w:ilvl w:val="0"/>
          <w:numId w:val="2"/>
        </w:numPr>
        <w:spacing w:before="156" w:beforeLines="50" w:line="288" w:lineRule="auto"/>
        <w:ind w:left="635" w:hanging="425"/>
        <w:jc w:val="left"/>
        <w:outlineLvl w:val="0"/>
        <w:rPr>
          <w:rFonts w:ascii="宋体" w:hAnsi="宋体" w:eastAsia="宋体" w:cs="宋体"/>
          <w:b/>
          <w:bCs/>
          <w:sz w:val="28"/>
          <w:szCs w:val="36"/>
        </w:rPr>
      </w:pPr>
      <w:bookmarkStart w:id="62" w:name="_Toc30587"/>
      <w:bookmarkStart w:id="63" w:name="_Toc2026"/>
      <w:bookmarkStart w:id="64" w:name="_Toc1978"/>
      <w:bookmarkStart w:id="65" w:name="_Toc7131"/>
      <w:bookmarkStart w:id="66" w:name="_Toc14243"/>
      <w:bookmarkStart w:id="67" w:name="_Toc1890"/>
      <w:r>
        <w:rPr>
          <w:rFonts w:hint="eastAsia" w:ascii="宋体" w:hAnsi="宋体" w:eastAsia="宋体" w:cs="宋体"/>
          <w:b/>
          <w:bCs/>
          <w:sz w:val="28"/>
          <w:szCs w:val="36"/>
        </w:rPr>
        <w:t>应用案例</w:t>
      </w:r>
      <w:bookmarkEnd w:id="62"/>
      <w:bookmarkEnd w:id="63"/>
      <w:bookmarkEnd w:id="64"/>
      <w:bookmarkEnd w:id="65"/>
      <w:bookmarkEnd w:id="66"/>
      <w:bookmarkEnd w:id="67"/>
    </w:p>
    <w:p>
      <w:pPr>
        <w:pStyle w:val="3"/>
      </w:pPr>
      <w:r>
        <w:rPr>
          <w:rFonts w:hint="eastAsia"/>
        </w:rPr>
        <w:t>(图片</w:t>
      </w:r>
      <w:r>
        <w:t>仅供参考</w:t>
      </w:r>
      <w:r>
        <w:rPr>
          <w:rFonts w:hint="eastAsia"/>
        </w:rPr>
        <w:t>，</w:t>
      </w:r>
      <w:r>
        <w:t>以实车为准</w:t>
      </w:r>
      <w:r>
        <w:rPr>
          <w:rFonts w:hint="eastAsia"/>
        </w:rPr>
        <w:t>)</w:t>
      </w:r>
    </w:p>
    <w:p>
      <w:pPr>
        <w:pStyle w:val="3"/>
        <w:spacing w:before="60" w:after="0"/>
      </w:pPr>
      <w:r>
        <w:drawing>
          <wp:inline distT="0" distB="0" distL="114300" distR="114300">
            <wp:extent cx="5155565" cy="3427095"/>
            <wp:effectExtent l="0" t="0" r="698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5536" t="3374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879975" cy="3206115"/>
            <wp:effectExtent l="0" t="0" r="15875" b="13335"/>
            <wp:docPr id="5" name="图片 5" descr="C:\Users\D18312\AppData\Roaming\Foxmail7\Temp-25512-20200214094115\CatchE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18312\AppData\Roaming\Foxmail7\Temp-25512-20200214094115\CatchE60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/>
      </w:pPr>
      <w:bookmarkStart w:id="68" w:name="_Toc19305"/>
      <w:r>
        <w:drawing>
          <wp:inline distT="0" distB="0" distL="0" distR="0">
            <wp:extent cx="4940935" cy="4712970"/>
            <wp:effectExtent l="0" t="0" r="12065" b="11430"/>
            <wp:docPr id="7" name="图片 4" descr="C:\Users\D18312\AppData\Roaming\Foxmail7\Temp-25512-20200214094115\CatchB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D18312\AppData\Roaming\Foxmail7\Temp-25512-20200214094115\CatchBF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71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8"/>
    </w:p>
    <w:p>
      <w:pPr>
        <w:numPr>
          <w:ilvl w:val="0"/>
          <w:numId w:val="2"/>
        </w:numPr>
        <w:spacing w:before="156" w:beforeLines="50" w:line="288" w:lineRule="auto"/>
        <w:ind w:left="635" w:hanging="425"/>
        <w:jc w:val="left"/>
        <w:outlineLvl w:val="0"/>
        <w:rPr>
          <w:rFonts w:ascii="宋体" w:hAnsi="宋体" w:eastAsia="宋体" w:cs="宋体"/>
          <w:b/>
          <w:bCs/>
          <w:sz w:val="28"/>
          <w:szCs w:val="36"/>
        </w:rPr>
      </w:pPr>
      <w:bookmarkStart w:id="69" w:name="_Toc32571"/>
      <w:bookmarkStart w:id="70" w:name="_Toc30821"/>
      <w:bookmarkStart w:id="71" w:name="_Toc29568"/>
      <w:bookmarkStart w:id="72" w:name="_Toc17066"/>
      <w:bookmarkStart w:id="73" w:name="_Toc7398"/>
      <w:bookmarkStart w:id="74" w:name="_Toc11571"/>
      <w:r>
        <w:rPr>
          <w:rFonts w:hint="eastAsia" w:ascii="宋体" w:hAnsi="宋体" w:eastAsia="宋体" w:cs="宋体"/>
          <w:b/>
          <w:bCs/>
          <w:sz w:val="28"/>
          <w:szCs w:val="36"/>
        </w:rPr>
        <w:t>售后</w:t>
      </w:r>
      <w:bookmarkEnd w:id="69"/>
      <w:bookmarkEnd w:id="70"/>
      <w:bookmarkEnd w:id="71"/>
      <w:bookmarkEnd w:id="72"/>
      <w:bookmarkEnd w:id="73"/>
      <w:r>
        <w:rPr>
          <w:rFonts w:hint="eastAsia" w:ascii="宋体" w:hAnsi="宋体" w:eastAsia="宋体" w:cs="宋体"/>
          <w:b/>
          <w:bCs/>
          <w:sz w:val="28"/>
          <w:szCs w:val="36"/>
        </w:rPr>
        <w:t>服务</w:t>
      </w:r>
      <w:bookmarkEnd w:id="74"/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lang w:eastAsia="zh-CN"/>
        </w:rPr>
      </w:pPr>
      <w:r>
        <w:rPr>
          <w:rFonts w:hint="eastAsia" w:asciiTheme="minorEastAsia" w:hAnsiTheme="minorEastAsia"/>
          <w:sz w:val="24"/>
        </w:rPr>
        <w:t>质保期整车3年或6万公里，改装部分1年或3万公里</w:t>
      </w:r>
      <w:r>
        <w:rPr>
          <w:rFonts w:hint="eastAsia" w:asciiTheme="minorEastAsia" w:hAnsiTheme="minorEastAsia"/>
          <w:sz w:val="24"/>
          <w:lang w:eastAsia="zh-CN"/>
        </w:rPr>
        <w:t>。</w:t>
      </w:r>
      <w:bookmarkStart w:id="75" w:name="_GoBack"/>
      <w:bookmarkEnd w:id="7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BB6C6"/>
    <w:multiLevelType w:val="multilevel"/>
    <w:tmpl w:val="15CBB6C6"/>
    <w:lvl w:ilvl="0" w:tentative="0">
      <w:start w:val="4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583"/>
        </w:tabs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17CA1785"/>
    <w:multiLevelType w:val="multilevel"/>
    <w:tmpl w:val="17CA1785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2"/>
      <w:numFmt w:val="decimal"/>
      <w:lvlText w:val="%1.%2."/>
      <w:lvlJc w:val="left"/>
      <w:pPr>
        <w:tabs>
          <w:tab w:val="left" w:pos="420"/>
        </w:tabs>
        <w:ind w:left="567" w:hanging="567"/>
      </w:pPr>
      <w:rPr>
        <w:rFonts w:hint="default" w:ascii="宋体" w:hAnsi="宋体" w:eastAsia="宋体" w:cs="宋体"/>
      </w:rPr>
    </w:lvl>
    <w:lvl w:ilvl="2" w:tentative="0">
      <w:start w:val="4"/>
      <w:numFmt w:val="decimal"/>
      <w:lvlText w:val="%1.%2.%3 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0"/>
        </w:tabs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19D462BE"/>
    <w:multiLevelType w:val="multilevel"/>
    <w:tmpl w:val="19D462BE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 "/>
      <w:lvlJc w:val="left"/>
      <w:pPr>
        <w:ind w:left="567" w:hanging="567"/>
      </w:pPr>
      <w:rPr>
        <w:rFonts w:hint="default" w:ascii="宋体" w:hAnsi="宋体" w:eastAsia="宋体" w:cs="宋体"/>
        <w:sz w:val="24"/>
        <w:szCs w:val="24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1EA0E7F8"/>
    <w:multiLevelType w:val="multilevel"/>
    <w:tmpl w:val="1EA0E7F8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2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 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4A6551EE"/>
    <w:multiLevelType w:val="multilevel"/>
    <w:tmpl w:val="4A6551EE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EDD50D3"/>
    <w:multiLevelType w:val="singleLevel"/>
    <w:tmpl w:val="4EDD50D3"/>
    <w:lvl w:ilvl="0" w:tentative="0">
      <w:start w:val="1"/>
      <w:numFmt w:val="chineseCounting"/>
      <w:suff w:val="nothing"/>
      <w:lvlText w:val="%1、"/>
      <w:lvlJc w:val="left"/>
      <w:pPr>
        <w:ind w:left="210" w:firstLine="420"/>
      </w:pPr>
      <w:rPr>
        <w:rFonts w:hint="eastAsia"/>
      </w:rPr>
    </w:lvl>
  </w:abstractNum>
  <w:abstractNum w:abstractNumId="6">
    <w:nsid w:val="654787AD"/>
    <w:multiLevelType w:val="multilevel"/>
    <w:tmpl w:val="654787AD"/>
    <w:lvl w:ilvl="0" w:tentative="0">
      <w:start w:val="3"/>
      <w:numFmt w:val="decimal"/>
      <w:lvlText w:val="%1.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2"/>
      <w:lvlText w:val="%1.%2 "/>
      <w:lvlJc w:val="left"/>
      <w:pPr>
        <w:tabs>
          <w:tab w:val="left" w:pos="567"/>
        </w:tabs>
        <w:ind w:left="785" w:hanging="575"/>
      </w:pPr>
      <w:rPr>
        <w:rFonts w:hint="default" w:ascii="宋体" w:hAnsi="宋体" w:eastAsia="宋体" w:cs="宋体"/>
        <w:sz w:val="24"/>
        <w:szCs w:val="24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 w:ascii="宋体" w:hAnsi="宋体" w:eastAsia="宋体" w:cs="宋体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4B169F"/>
    <w:rsid w:val="0736238E"/>
    <w:rsid w:val="197A4C8A"/>
    <w:rsid w:val="406E7A98"/>
    <w:rsid w:val="45E6420C"/>
    <w:rsid w:val="4E414049"/>
    <w:rsid w:val="524B169F"/>
    <w:rsid w:val="6E5250D5"/>
    <w:rsid w:val="6EBD151B"/>
    <w:rsid w:val="7BCB4723"/>
    <w:rsid w:val="7CEB60B0"/>
    <w:rsid w:val="7E6C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50" w:afterLines="50" w:line="360" w:lineRule="auto"/>
      <w:outlineLvl w:val="1"/>
    </w:pPr>
    <w:rPr>
      <w:b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customStyle="1" w:styleId="6">
    <w:name w:val="段5#"/>
    <w:basedOn w:val="1"/>
    <w:qFormat/>
    <w:uiPriority w:val="0"/>
    <w:pPr>
      <w:spacing w:line="360" w:lineRule="auto"/>
      <w:ind w:firstLine="200" w:firstLineChars="200"/>
    </w:pPr>
    <w:rPr>
      <w:sz w:val="24"/>
      <w:szCs w:val="21"/>
    </w:rPr>
  </w:style>
  <w:style w:type="paragraph" w:styleId="7">
    <w:name w:val="List Paragraph"/>
    <w:basedOn w:val="1"/>
    <w:qFormat/>
    <w:uiPriority w:val="34"/>
    <w:pPr>
      <w:spacing w:line="360" w:lineRule="auto"/>
      <w:ind w:firstLine="420" w:firstLineChars="200"/>
    </w:pPr>
    <w:rPr>
      <w:rFonts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2025-06-16T03:23:00Z</dcterms:created>
  <dc:creator>zj</dc:creator>
  <cp:lastModifiedBy>zj</cp:lastModifiedBy>
  <dcterms:modified xsi:type="dcterms:W3CDTF">2025-06-16T07:52:59Z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