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r>
        <w:rPr>
          <w:rFonts w:hint="eastAsia" w:ascii="仿宋" w:hAnsi="仿宋" w:eastAsia="仿宋"/>
          <w:b/>
          <w:sz w:val="32"/>
          <w:szCs w:val="32"/>
        </w:rPr>
        <w:t>浙江药科职业大学不间断电源项目采购文件</w:t>
      </w:r>
    </w:p>
    <w:p>
      <w:pPr>
        <w:pStyle w:val="13"/>
        <w:numPr>
          <w:ilvl w:val="0"/>
          <w:numId w:val="1"/>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报价说明</w:t>
      </w:r>
    </w:p>
    <w:p>
      <w:pPr>
        <w:numPr>
          <w:ilvl w:val="0"/>
          <w:numId w:val="2"/>
        </w:numPr>
        <w:ind w:firstLine="420" w:firstLineChars="200"/>
      </w:pPr>
      <w:r>
        <w:rPr>
          <w:rFonts w:hint="eastAsia"/>
        </w:rPr>
        <w:t>本采购文件作为报价人在政采云高校竞价系统报价的必须附件，报价人在政采云报价时需填报价格和承诺后同步上传，若文件要求有附加证明文件或材料的也需同步上传，无此文件或未按要求提供证明材料的视为报价无效。</w:t>
      </w:r>
    </w:p>
    <w:p>
      <w:pPr>
        <w:pStyle w:val="3"/>
        <w:spacing w:after="0"/>
        <w:ind w:firstLine="420"/>
      </w:pPr>
      <w:r>
        <w:rPr>
          <w:rFonts w:hint="eastAsia"/>
        </w:rPr>
        <w:t>2、报价人上传本文件的报价金额需与政采云系统报价金额一致，两者不一致的按报价无效处理。</w:t>
      </w:r>
    </w:p>
    <w:p>
      <w:pPr>
        <w:pStyle w:val="3"/>
        <w:spacing w:after="0"/>
        <w:ind w:firstLine="420"/>
      </w:pPr>
      <w:r>
        <w:rPr>
          <w:rFonts w:hint="eastAsia"/>
        </w:rPr>
        <w:t>3、报价人在报价时，需仔细核对报价商品是否符合本项目采购要求的技术和商务条款。报价人报价商品符合要求或满足相关条款的填写“响应”，未响应（空白）或“不响应”或填写其他内容的均视作不响应，按报价无效处理。</w:t>
      </w:r>
    </w:p>
    <w:p>
      <w:pPr>
        <w:pStyle w:val="3"/>
        <w:spacing w:after="0"/>
        <w:ind w:firstLine="420"/>
      </w:pPr>
      <w:r>
        <w:rPr>
          <w:rFonts w:hint="eastAsia"/>
        </w:rPr>
        <w:t>4、</w:t>
      </w:r>
      <w:r>
        <w:rPr>
          <w:rFonts w:hint="eastAsia"/>
          <w:b/>
        </w:rPr>
        <w:t>报价人在本文件最后的承诺部分需签字，并加盖公章（采购文件加盖骑缝章）</w:t>
      </w:r>
      <w:r>
        <w:rPr>
          <w:rFonts w:hint="eastAsia"/>
        </w:rPr>
        <w:t>。未按要求签字盖章的视作报价无效。</w:t>
      </w:r>
    </w:p>
    <w:p>
      <w:pPr>
        <w:pStyle w:val="3"/>
        <w:spacing w:after="0"/>
        <w:ind w:firstLine="420"/>
      </w:pPr>
      <w:r>
        <w:rPr>
          <w:rFonts w:hint="eastAsia"/>
        </w:rPr>
        <w:t>5、报价人在报价响应时对本文件所述全部条款和内容不得修改，未按要求填报的视作报价无效。</w:t>
      </w:r>
    </w:p>
    <w:p>
      <w:pPr>
        <w:pStyle w:val="3"/>
        <w:spacing w:after="0"/>
        <w:ind w:firstLine="420"/>
      </w:pPr>
      <w:r>
        <w:rPr>
          <w:rFonts w:hint="eastAsia"/>
        </w:rPr>
        <w:t>6、本采购文件“其他事项”栏作为供货商供货（提供服务）的补充内容由报价人自行填报，补充内容仅作为额外提供给采购方优惠条件说明，且补充内容不得与本文件其他条款和内容向背或冲突。凡冲突和向背的条款内容作为不符合本次采购的要求，我方有权不予采纳并作为报价无效处理。</w:t>
      </w:r>
    </w:p>
    <w:p>
      <w:pPr>
        <w:pStyle w:val="3"/>
        <w:spacing w:after="0"/>
        <w:ind w:firstLine="420"/>
      </w:pPr>
      <w:r>
        <w:rPr>
          <w:rFonts w:hint="eastAsia"/>
        </w:rPr>
        <w:t>7、本文件的供应商承诺和响应条款作为合同的附件是采购合同不可分割的组成部分。</w:t>
      </w:r>
    </w:p>
    <w:p>
      <w:pPr>
        <w:pStyle w:val="3"/>
        <w:spacing w:after="0"/>
        <w:ind w:firstLine="420"/>
        <w:rPr>
          <w:rFonts w:ascii="仿宋" w:hAnsi="仿宋" w:eastAsia="仿宋"/>
          <w:b/>
          <w:sz w:val="28"/>
          <w:szCs w:val="28"/>
        </w:rPr>
      </w:pPr>
      <w:r>
        <w:rPr>
          <w:rFonts w:hint="eastAsia"/>
        </w:rPr>
        <w:t>8、预成交供应商若存在报价或响应虚假、后期供货（或服务）不及时或货物（或服务）不符合采购要求的，采购人有权选择本次竞价次低价报价人作为成交供应商。</w:t>
      </w:r>
    </w:p>
    <w:p>
      <w:pPr>
        <w:pStyle w:val="13"/>
        <w:numPr>
          <w:ilvl w:val="0"/>
          <w:numId w:val="1"/>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商品（服务）类型</w:t>
      </w:r>
    </w:p>
    <w:tbl>
      <w:tblPr>
        <w:tblStyle w:val="8"/>
        <w:tblW w:w="90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14"/>
        <w:gridCol w:w="2615"/>
        <w:gridCol w:w="1541"/>
        <w:gridCol w:w="919"/>
        <w:gridCol w:w="14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5" w:hRule="atLeast"/>
          <w:tblHeader/>
        </w:trPr>
        <w:tc>
          <w:tcPr>
            <w:tcW w:w="959"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序号</w:t>
            </w:r>
          </w:p>
        </w:tc>
        <w:tc>
          <w:tcPr>
            <w:tcW w:w="1514"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2615"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指定品牌及型号</w:t>
            </w:r>
          </w:p>
        </w:tc>
        <w:tc>
          <w:tcPr>
            <w:tcW w:w="1541"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单位</w:t>
            </w:r>
          </w:p>
        </w:tc>
        <w:tc>
          <w:tcPr>
            <w:tcW w:w="919"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报价单价（元）</w:t>
            </w:r>
          </w:p>
        </w:tc>
        <w:tc>
          <w:tcPr>
            <w:tcW w:w="1488" w:type="dxa"/>
            <w:tcBorders>
              <w:tl2br w:val="nil"/>
              <w:tr2bl w:val="nil"/>
            </w:tcBorders>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报价金额（元）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（一）</w:t>
            </w:r>
          </w:p>
        </w:tc>
        <w:tc>
          <w:tcPr>
            <w:tcW w:w="1514" w:type="dxa"/>
            <w:tcBorders>
              <w:tl2br w:val="nil"/>
              <w:tr2bl w:val="nil"/>
            </w:tcBorders>
            <w:vAlign w:val="center"/>
          </w:tcPr>
          <w:p>
            <w:pPr>
              <w:rPr>
                <w:rFonts w:ascii="Times New Roman" w:hAnsi="Times New Roman" w:eastAsia="宋体" w:cs="Times New Roman"/>
                <w:kern w:val="0"/>
                <w:szCs w:val="21"/>
              </w:rPr>
            </w:pPr>
            <w:r>
              <w:rPr>
                <w:rFonts w:hint="eastAsia" w:ascii="Times New Roman" w:hAnsi="Times New Roman" w:eastAsia="宋体" w:cs="Times New Roman"/>
                <w:kern w:val="0"/>
                <w:szCs w:val="21"/>
              </w:rPr>
              <w:t>不间断电源</w:t>
            </w:r>
          </w:p>
        </w:tc>
        <w:tc>
          <w:tcPr>
            <w:tcW w:w="2615" w:type="dxa"/>
            <w:tcBorders>
              <w:tl2br w:val="nil"/>
              <w:tr2bl w:val="nil"/>
            </w:tcBorders>
            <w:vAlign w:val="center"/>
          </w:tcPr>
          <w:p>
            <w:pPr>
              <w:jc w:val="left"/>
              <w:rPr>
                <w:rFonts w:ascii="宋体" w:hAnsi="宋体" w:eastAsia="宋体" w:cs="宋体"/>
                <w:kern w:val="0"/>
                <w:szCs w:val="21"/>
              </w:rPr>
            </w:pPr>
            <w:r>
              <w:rPr>
                <w:rFonts w:hint="eastAsia" w:ascii="宋体" w:hAnsi="宋体" w:eastAsia="宋体" w:cs="宋体"/>
                <w:kern w:val="0"/>
                <w:szCs w:val="21"/>
              </w:rPr>
              <w:t>山特PT3K+24组商宇GW12100(JH)（12V100AH）+（A24）</w:t>
            </w:r>
          </w:p>
        </w:tc>
        <w:tc>
          <w:tcPr>
            <w:tcW w:w="1541"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w:t>
            </w:r>
            <w:r>
              <w:rPr>
                <w:rFonts w:ascii="Times New Roman" w:hAnsi="Times New Roman" w:eastAsia="宋体" w:cs="Times New Roman"/>
                <w:kern w:val="0"/>
                <w:szCs w:val="21"/>
              </w:rPr>
              <w:t>套</w:t>
            </w:r>
          </w:p>
        </w:tc>
        <w:tc>
          <w:tcPr>
            <w:tcW w:w="919" w:type="dxa"/>
            <w:tcBorders>
              <w:tl2br w:val="nil"/>
              <w:tr2bl w:val="nil"/>
            </w:tcBorders>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 </w:t>
            </w:r>
          </w:p>
        </w:tc>
        <w:tc>
          <w:tcPr>
            <w:tcW w:w="1488" w:type="dxa"/>
            <w:tcBorders>
              <w:tl2br w:val="nil"/>
              <w:tr2bl w:val="nil"/>
            </w:tcBorders>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959"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（二）</w:t>
            </w:r>
          </w:p>
        </w:tc>
        <w:tc>
          <w:tcPr>
            <w:tcW w:w="1514" w:type="dxa"/>
            <w:tcBorders>
              <w:tl2br w:val="nil"/>
              <w:tr2bl w:val="nil"/>
            </w:tcBorders>
            <w:vAlign w:val="center"/>
          </w:tcPr>
          <w:p>
            <w:pPr>
              <w:rPr>
                <w:rFonts w:ascii="Times New Roman" w:hAnsi="Times New Roman" w:eastAsia="宋体" w:cs="Times New Roman"/>
                <w:kern w:val="0"/>
                <w:szCs w:val="21"/>
              </w:rPr>
            </w:pPr>
          </w:p>
        </w:tc>
        <w:tc>
          <w:tcPr>
            <w:tcW w:w="2615" w:type="dxa"/>
            <w:tcBorders>
              <w:tl2br w:val="nil"/>
              <w:tr2bl w:val="nil"/>
            </w:tcBorders>
            <w:vAlign w:val="center"/>
          </w:tcPr>
          <w:p>
            <w:pPr>
              <w:jc w:val="left"/>
              <w:rPr>
                <w:rFonts w:ascii="宋体" w:hAnsi="宋体" w:eastAsia="宋体" w:cs="宋体"/>
                <w:kern w:val="0"/>
                <w:szCs w:val="21"/>
              </w:rPr>
            </w:pPr>
          </w:p>
        </w:tc>
        <w:tc>
          <w:tcPr>
            <w:tcW w:w="1541" w:type="dxa"/>
            <w:tcBorders>
              <w:tl2br w:val="nil"/>
              <w:tr2bl w:val="nil"/>
            </w:tcBorders>
            <w:vAlign w:val="center"/>
          </w:tcPr>
          <w:p>
            <w:pPr>
              <w:jc w:val="center"/>
              <w:rPr>
                <w:rFonts w:ascii="Times New Roman" w:hAnsi="Times New Roman" w:eastAsia="宋体" w:cs="Times New Roman"/>
                <w:kern w:val="0"/>
                <w:szCs w:val="21"/>
              </w:rPr>
            </w:pPr>
          </w:p>
        </w:tc>
        <w:tc>
          <w:tcPr>
            <w:tcW w:w="919" w:type="dxa"/>
            <w:tcBorders>
              <w:tl2br w:val="nil"/>
              <w:tr2bl w:val="nil"/>
            </w:tcBorders>
            <w:vAlign w:val="center"/>
          </w:tcPr>
          <w:p>
            <w:pPr>
              <w:jc w:val="center"/>
              <w:rPr>
                <w:rStyle w:val="15"/>
              </w:rPr>
            </w:pPr>
            <w:r>
              <w:rPr>
                <w:rFonts w:hint="eastAsia" w:ascii="Times New Roman" w:hAnsi="Times New Roman" w:eastAsia="宋体" w:cs="Times New Roman"/>
                <w:kern w:val="0"/>
                <w:sz w:val="20"/>
                <w:szCs w:val="21"/>
              </w:rPr>
              <w:t xml:space="preserve"> </w:t>
            </w:r>
          </w:p>
        </w:tc>
        <w:tc>
          <w:tcPr>
            <w:tcW w:w="1488" w:type="dxa"/>
            <w:tcBorders>
              <w:tl2br w:val="nil"/>
              <w:tr2bl w:val="nil"/>
            </w:tcBorders>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9" w:type="dxa"/>
            <w:tcBorders>
              <w:tl2br w:val="nil"/>
              <w:tr2bl w:val="nil"/>
            </w:tcBorders>
            <w:vAlign w:val="center"/>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（三）</w:t>
            </w:r>
          </w:p>
        </w:tc>
        <w:tc>
          <w:tcPr>
            <w:tcW w:w="1514" w:type="dxa"/>
            <w:tcBorders>
              <w:tl2br w:val="nil"/>
              <w:tr2bl w:val="nil"/>
            </w:tcBorders>
            <w:vAlign w:val="center"/>
          </w:tcPr>
          <w:p>
            <w:pPr>
              <w:rPr>
                <w:rFonts w:ascii="Times New Roman" w:hAnsi="Times New Roman" w:eastAsia="宋体" w:cs="Times New Roman"/>
                <w:kern w:val="0"/>
                <w:szCs w:val="21"/>
              </w:rPr>
            </w:pPr>
          </w:p>
        </w:tc>
        <w:tc>
          <w:tcPr>
            <w:tcW w:w="2615" w:type="dxa"/>
            <w:tcBorders>
              <w:tl2br w:val="nil"/>
              <w:tr2bl w:val="nil"/>
            </w:tcBorders>
            <w:vAlign w:val="center"/>
          </w:tcPr>
          <w:p>
            <w:pPr>
              <w:jc w:val="left"/>
              <w:rPr>
                <w:rFonts w:ascii="宋体" w:hAnsi="宋体" w:eastAsia="宋体" w:cs="宋体"/>
                <w:kern w:val="0"/>
                <w:szCs w:val="21"/>
              </w:rPr>
            </w:pPr>
          </w:p>
        </w:tc>
        <w:tc>
          <w:tcPr>
            <w:tcW w:w="1541" w:type="dxa"/>
            <w:tcBorders>
              <w:tl2br w:val="nil"/>
              <w:tr2bl w:val="nil"/>
            </w:tcBorders>
            <w:vAlign w:val="center"/>
          </w:tcPr>
          <w:p>
            <w:pPr>
              <w:jc w:val="center"/>
              <w:rPr>
                <w:rFonts w:ascii="Times New Roman" w:hAnsi="Times New Roman" w:eastAsia="宋体" w:cs="Times New Roman"/>
                <w:kern w:val="0"/>
                <w:szCs w:val="21"/>
              </w:rPr>
            </w:pPr>
          </w:p>
        </w:tc>
        <w:tc>
          <w:tcPr>
            <w:tcW w:w="919" w:type="dxa"/>
            <w:tcBorders>
              <w:tl2br w:val="nil"/>
              <w:tr2bl w:val="nil"/>
            </w:tcBorders>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 </w:t>
            </w:r>
          </w:p>
        </w:tc>
        <w:tc>
          <w:tcPr>
            <w:tcW w:w="1488" w:type="dxa"/>
            <w:tcBorders>
              <w:tl2br w:val="nil"/>
              <w:tr2bl w:val="nil"/>
            </w:tcBorders>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473" w:type="dxa"/>
            <w:gridSpan w:val="2"/>
            <w:tcBorders>
              <w:tl2br w:val="nil"/>
              <w:tr2bl w:val="nil"/>
            </w:tcBorders>
            <w:vAlign w:val="center"/>
          </w:tcPr>
          <w:p>
            <w:pPr>
              <w:pStyle w:val="4"/>
              <w:jc w:val="center"/>
              <w:rPr>
                <w:rFonts w:ascii="仿宋_GB2312" w:hAnsi="仿宋_GB2312" w:eastAsia="仿宋_GB2312" w:cs="仿宋_GB2312"/>
                <w:sz w:val="24"/>
                <w:szCs w:val="24"/>
              </w:rPr>
            </w:pPr>
            <w:r>
              <w:rPr>
                <w:rFonts w:hint="eastAsia" w:ascii="仿宋_GB2312" w:hAnsi="仿宋_GB2312" w:eastAsia="仿宋_GB2312" w:cs="仿宋_GB2312"/>
                <w:b/>
                <w:bCs/>
                <w:sz w:val="24"/>
                <w:szCs w:val="24"/>
              </w:rPr>
              <w:t>合计总价</w:t>
            </w:r>
          </w:p>
        </w:tc>
        <w:tc>
          <w:tcPr>
            <w:tcW w:w="6563" w:type="dxa"/>
            <w:gridSpan w:val="4"/>
            <w:tcBorders>
              <w:tl2br w:val="nil"/>
              <w:tr2bl w:val="nil"/>
            </w:tcBorders>
            <w:vAlign w:val="center"/>
          </w:tcPr>
          <w:p>
            <w:pPr>
              <w:pStyle w:val="4"/>
              <w:rPr>
                <w:rFonts w:ascii="仿宋_GB2312" w:hAnsi="仿宋_GB2312" w:eastAsia="仿宋_GB2312" w:cs="仿宋_GB2312"/>
                <w:sz w:val="24"/>
                <w:szCs w:val="24"/>
              </w:rPr>
            </w:pPr>
            <w:r>
              <w:rPr>
                <w:rFonts w:hint="eastAsia" w:ascii="仿宋_GB2312" w:hAnsi="仿宋_GB2312" w:eastAsia="仿宋_GB2312" w:cs="仿宋_GB2312"/>
                <w:b/>
                <w:bCs/>
                <w:sz w:val="24"/>
                <w:szCs w:val="24"/>
              </w:rPr>
              <w:t>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 xml:space="preserve">元，大写 </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w:t>
            </w:r>
          </w:p>
        </w:tc>
      </w:tr>
    </w:tbl>
    <w:p>
      <w:pPr>
        <w:pStyle w:val="13"/>
        <w:spacing w:before="156" w:beforeLines="50"/>
        <w:ind w:firstLine="0" w:firstLineChars="0"/>
      </w:pPr>
      <w:r>
        <w:rPr>
          <w:rFonts w:hint="eastAsia"/>
        </w:rPr>
        <w:t>注：指定品牌型号报价报价</w:t>
      </w:r>
    </w:p>
    <w:p>
      <w:pPr>
        <w:pStyle w:val="13"/>
        <w:numPr>
          <w:ilvl w:val="0"/>
          <w:numId w:val="1"/>
        </w:numPr>
        <w:spacing w:before="156" w:beforeLines="50"/>
        <w:ind w:left="0" w:firstLine="0" w:firstLineChars="0"/>
        <w:rPr>
          <w:rFonts w:ascii="仿宋" w:hAnsi="仿宋" w:eastAsia="仿宋"/>
          <w:b/>
          <w:sz w:val="28"/>
          <w:szCs w:val="28"/>
        </w:rPr>
      </w:pPr>
      <w:r>
        <w:rPr>
          <w:rFonts w:hint="eastAsia" w:ascii="仿宋" w:hAnsi="仿宋" w:eastAsia="仿宋"/>
          <w:b/>
          <w:sz w:val="28"/>
          <w:szCs w:val="28"/>
        </w:rPr>
        <w:t>技术参数要求</w:t>
      </w:r>
    </w:p>
    <w:tbl>
      <w:tblPr>
        <w:tblStyle w:val="8"/>
        <w:tblW w:w="951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7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960" w:type="dxa"/>
            <w:tcBorders>
              <w:top w:val="single" w:color="000000" w:sz="12" w:space="0"/>
              <w:left w:val="single" w:color="000000" w:sz="12"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960" w:type="dxa"/>
            <w:tcBorders>
              <w:top w:val="single" w:color="000000" w:sz="12"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商品名称</w:t>
            </w:r>
          </w:p>
        </w:tc>
        <w:tc>
          <w:tcPr>
            <w:tcW w:w="7590" w:type="dxa"/>
            <w:tcBorders>
              <w:top w:val="single" w:color="000000" w:sz="12"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商品组成及技术参数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restart"/>
            <w:tcBorders>
              <w:top w:val="single" w:color="000000" w:sz="8" w:space="0"/>
              <w:left w:val="single" w:color="000000" w:sz="12"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w:t>
            </w:r>
          </w:p>
        </w:tc>
        <w:tc>
          <w:tcPr>
            <w:tcW w:w="960" w:type="dxa"/>
            <w:vMerge w:val="restart"/>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不间断电源</w:t>
            </w:r>
          </w:p>
        </w:tc>
        <w:tc>
          <w:tcPr>
            <w:tcW w:w="7590" w:type="dxa"/>
            <w:tcBorders>
              <w:top w:val="single" w:color="000000" w:sz="8" w:space="0"/>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保证实验室超低温冷冻存储箱和冷藏冷冻冰箱与二氧化碳培养箱等在断电后</w:t>
            </w:r>
            <w:r>
              <w:rPr>
                <w:rFonts w:ascii="Calibri" w:hAnsi="Calibri" w:eastAsia="宋体" w:cs="Calibri"/>
                <w:i w:val="0"/>
                <w:iCs w:val="0"/>
                <w:color w:val="000000"/>
                <w:kern w:val="0"/>
                <w:sz w:val="21"/>
                <w:szCs w:val="21"/>
                <w:u w:val="none"/>
                <w:lang w:val="en-US" w:eastAsia="zh-CN" w:bidi="ar"/>
              </w:rPr>
              <w:t>12</w:t>
            </w:r>
            <w:r>
              <w:rPr>
                <w:rFonts w:hint="eastAsia" w:ascii="宋体" w:hAnsi="宋体" w:eastAsia="宋体" w:cs="宋体"/>
                <w:i w:val="0"/>
                <w:iCs w:val="0"/>
                <w:color w:val="000000"/>
                <w:kern w:val="0"/>
                <w:sz w:val="21"/>
                <w:szCs w:val="21"/>
                <w:u w:val="none"/>
                <w:lang w:val="en-US" w:eastAsia="zh-CN" w:bidi="ar"/>
              </w:rPr>
              <w:t>小时内保持正常工作，适应其瞬时启动电流峰值。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类型：在线式高频机，支持机架安装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输入电压范围：</w:t>
            </w:r>
            <w:r>
              <w:rPr>
                <w:rFonts w:ascii="Calibri" w:hAnsi="Calibri" w:eastAsia="宋体" w:cs="Calibri"/>
                <w:i w:val="0"/>
                <w:iCs w:val="0"/>
                <w:color w:val="000000"/>
                <w:kern w:val="0"/>
                <w:sz w:val="21"/>
                <w:szCs w:val="21"/>
                <w:u w:val="none"/>
                <w:lang w:val="en-US" w:eastAsia="zh-CN" w:bidi="ar"/>
              </w:rPr>
              <w:t>100-300V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输入频率范围：</w:t>
            </w:r>
            <w:r>
              <w:rPr>
                <w:rFonts w:ascii="Calibri" w:hAnsi="Calibri" w:eastAsia="宋体" w:cs="Calibri"/>
                <w:i w:val="0"/>
                <w:iCs w:val="0"/>
                <w:color w:val="000000"/>
                <w:kern w:val="0"/>
                <w:sz w:val="21"/>
                <w:szCs w:val="21"/>
                <w:u w:val="none"/>
                <w:lang w:val="en-US" w:eastAsia="zh-CN" w:bidi="ar"/>
              </w:rPr>
              <w:t>45-55Hz</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输出电压：</w:t>
            </w:r>
            <w:r>
              <w:rPr>
                <w:rFonts w:ascii="Calibri" w:hAnsi="Calibri" w:eastAsia="宋体" w:cs="Calibri"/>
                <w:i w:val="0"/>
                <w:iCs w:val="0"/>
                <w:color w:val="000000"/>
                <w:kern w:val="0"/>
                <w:sz w:val="21"/>
                <w:szCs w:val="21"/>
                <w:u w:val="none"/>
                <w:lang w:val="en-US" w:eastAsia="zh-CN" w:bidi="ar"/>
              </w:rPr>
              <w:t>220</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（默认）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输出频率：</w:t>
            </w:r>
            <w:r>
              <w:rPr>
                <w:rFonts w:ascii="Calibri" w:hAnsi="Calibri" w:eastAsia="宋体" w:cs="Calibri"/>
                <w:i w:val="0"/>
                <w:iCs w:val="0"/>
                <w:color w:val="000000"/>
                <w:kern w:val="0"/>
                <w:sz w:val="21"/>
                <w:szCs w:val="21"/>
                <w:u w:val="none"/>
                <w:lang w:val="en-US" w:eastAsia="zh-CN" w:bidi="ar"/>
              </w:rPr>
              <w:t>50/60Hz</w:t>
            </w:r>
            <w:r>
              <w:rPr>
                <w:rFonts w:hint="eastAsia" w:ascii="宋体" w:hAnsi="宋体" w:eastAsia="宋体" w:cs="宋体"/>
                <w:i w:val="0"/>
                <w:iCs w:val="0"/>
                <w:color w:val="000000"/>
                <w:kern w:val="0"/>
                <w:sz w:val="21"/>
                <w:szCs w:val="21"/>
                <w:u w:val="none"/>
                <w:lang w:val="en-US" w:eastAsia="zh-CN" w:bidi="ar"/>
              </w:rPr>
              <w:t>±</w:t>
            </w:r>
            <w:r>
              <w:rPr>
                <w:rFonts w:ascii="Calibri" w:hAnsi="Calibri" w:eastAsia="宋体" w:cs="Calibri"/>
                <w:i w:val="0"/>
                <w:iCs w:val="0"/>
                <w:color w:val="000000"/>
                <w:kern w:val="0"/>
                <w:sz w:val="21"/>
                <w:szCs w:val="21"/>
                <w:u w:val="none"/>
                <w:lang w:val="en-US" w:eastAsia="zh-CN" w:bidi="ar"/>
              </w:rPr>
              <w:t>0.1Hz</w:t>
            </w:r>
            <w:r>
              <w:rPr>
                <w:rFonts w:hint="eastAsia" w:ascii="宋体" w:hAnsi="宋体" w:eastAsia="宋体" w:cs="宋体"/>
                <w:i w:val="0"/>
                <w:iCs w:val="0"/>
                <w:color w:val="000000"/>
                <w:kern w:val="0"/>
                <w:sz w:val="21"/>
                <w:szCs w:val="21"/>
                <w:u w:val="none"/>
                <w:lang w:val="en-US" w:eastAsia="zh-CN" w:bidi="ar"/>
              </w:rPr>
              <w:t>（同步锁频）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额定功率：</w:t>
            </w:r>
            <w:r>
              <w:rPr>
                <w:rFonts w:ascii="Calibri" w:hAnsi="Calibri" w:eastAsia="宋体" w:cs="Calibri"/>
                <w:i w:val="0"/>
                <w:iCs w:val="0"/>
                <w:color w:val="000000"/>
                <w:kern w:val="0"/>
                <w:sz w:val="21"/>
                <w:szCs w:val="21"/>
                <w:u w:val="none"/>
                <w:lang w:val="en-US" w:eastAsia="zh-CN" w:bidi="ar"/>
              </w:rPr>
              <w:t>3kVA/3000W</w:t>
            </w:r>
            <w:r>
              <w:rPr>
                <w:rFonts w:hint="eastAsia" w:ascii="宋体" w:hAnsi="宋体" w:eastAsia="宋体" w:cs="宋体"/>
                <w:i w:val="0"/>
                <w:iCs w:val="0"/>
                <w:color w:val="000000"/>
                <w:kern w:val="0"/>
                <w:sz w:val="21"/>
                <w:szCs w:val="21"/>
                <w:u w:val="none"/>
                <w:lang w:val="en-US" w:eastAsia="zh-CN" w:bidi="ar"/>
              </w:rPr>
              <w:t>（最大负载）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采用阀控式密封铅酸蓄电池，单节蓄电池标称电压</w:t>
            </w:r>
            <w:r>
              <w:rPr>
                <w:rFonts w:ascii="Calibri" w:hAnsi="Calibri" w:eastAsia="宋体" w:cs="Calibri"/>
                <w:i w:val="0"/>
                <w:iCs w:val="0"/>
                <w:color w:val="000000"/>
                <w:kern w:val="0"/>
                <w:sz w:val="21"/>
                <w:szCs w:val="21"/>
                <w:u w:val="none"/>
                <w:lang w:val="en-US" w:eastAsia="zh-CN" w:bidi="ar"/>
              </w:rPr>
              <w:t>12V</w:t>
            </w:r>
            <w:r>
              <w:rPr>
                <w:rFonts w:hint="eastAsia" w:ascii="宋体" w:hAnsi="宋体" w:eastAsia="宋体" w:cs="宋体"/>
                <w:i w:val="0"/>
                <w:iCs w:val="0"/>
                <w:color w:val="000000"/>
                <w:kern w:val="0"/>
                <w:sz w:val="21"/>
                <w:szCs w:val="21"/>
                <w:u w:val="none"/>
                <w:lang w:val="en-US" w:eastAsia="zh-CN" w:bidi="ar"/>
              </w:rPr>
              <w:t>，单节蓄电池容量：≥</w:t>
            </w:r>
            <w:r>
              <w:rPr>
                <w:rFonts w:ascii="Calibri" w:hAnsi="Calibri" w:eastAsia="宋体" w:cs="Calibri"/>
                <w:i w:val="0"/>
                <w:iCs w:val="0"/>
                <w:color w:val="000000"/>
                <w:kern w:val="0"/>
                <w:sz w:val="21"/>
                <w:szCs w:val="21"/>
                <w:u w:val="none"/>
                <w:lang w:val="en-US" w:eastAsia="zh-CN" w:bidi="ar"/>
              </w:rPr>
              <w:t>100Ah</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bookmarkStart w:id="0" w:name="_GoBack"/>
            <w:bookmarkEnd w:id="0"/>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蓄电池正常浮充状态下，其浮充期待寿命可达</w:t>
            </w:r>
            <w:r>
              <w:rPr>
                <w:rFonts w:ascii="Calibri" w:hAnsi="Calibri" w:eastAsia="宋体" w:cs="Calibri"/>
                <w:i w:val="0"/>
                <w:iCs w:val="0"/>
                <w:color w:val="000000"/>
                <w:kern w:val="0"/>
                <w:sz w:val="21"/>
                <w:szCs w:val="21"/>
                <w:u w:val="none"/>
                <w:lang w:val="en-US" w:eastAsia="zh-CN" w:bidi="ar"/>
              </w:rPr>
              <w:t>10</w:t>
            </w:r>
            <w:r>
              <w:rPr>
                <w:rFonts w:hint="eastAsia" w:ascii="宋体" w:hAnsi="宋体" w:eastAsia="宋体" w:cs="宋体"/>
                <w:i w:val="0"/>
                <w:iCs w:val="0"/>
                <w:color w:val="000000"/>
                <w:kern w:val="0"/>
                <w:sz w:val="21"/>
                <w:szCs w:val="21"/>
                <w:u w:val="none"/>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蓄电池静置</w:t>
            </w:r>
            <w:r>
              <w:rPr>
                <w:rFonts w:ascii="Calibri" w:hAnsi="Calibri" w:eastAsia="宋体" w:cs="Calibri"/>
                <w:i w:val="0"/>
                <w:iCs w:val="0"/>
                <w:color w:val="000000"/>
                <w:kern w:val="0"/>
                <w:sz w:val="21"/>
                <w:szCs w:val="21"/>
                <w:u w:val="none"/>
                <w:lang w:val="en-US" w:eastAsia="zh-CN" w:bidi="ar"/>
              </w:rPr>
              <w:t>28</w:t>
            </w:r>
            <w:r>
              <w:rPr>
                <w:rFonts w:hint="eastAsia" w:ascii="宋体" w:hAnsi="宋体" w:eastAsia="宋体" w:cs="宋体"/>
                <w:i w:val="0"/>
                <w:iCs w:val="0"/>
                <w:color w:val="000000"/>
                <w:kern w:val="0"/>
                <w:sz w:val="21"/>
                <w:szCs w:val="21"/>
                <w:u w:val="none"/>
                <w:lang w:val="en-US" w:eastAsia="zh-CN" w:bidi="ar"/>
              </w:rPr>
              <w:t>天后容量保存率应≥</w:t>
            </w:r>
            <w:r>
              <w:rPr>
                <w:rFonts w:ascii="Calibri" w:hAnsi="Calibri" w:eastAsia="宋体" w:cs="Calibri"/>
                <w:i w:val="0"/>
                <w:iCs w:val="0"/>
                <w:color w:val="000000"/>
                <w:kern w:val="0"/>
                <w:sz w:val="21"/>
                <w:szCs w:val="21"/>
                <w:u w:val="none"/>
                <w:lang w:val="en-US" w:eastAsia="zh-CN" w:bidi="ar"/>
              </w:rPr>
              <w:t>96%</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蓄电池密封反应效率应≥</w:t>
            </w:r>
            <w:r>
              <w:rPr>
                <w:rFonts w:ascii="Calibri" w:hAnsi="Calibri" w:eastAsia="宋体" w:cs="Calibri"/>
                <w:i w:val="0"/>
                <w:iCs w:val="0"/>
                <w:color w:val="000000"/>
                <w:kern w:val="0"/>
                <w:sz w:val="21"/>
                <w:szCs w:val="21"/>
                <w:u w:val="none"/>
                <w:lang w:val="en-US" w:eastAsia="zh-CN" w:bidi="ar"/>
              </w:rPr>
              <w:t>98.3%</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蓄电池间连接电压降应≤</w:t>
            </w:r>
            <w:r>
              <w:rPr>
                <w:rFonts w:ascii="Calibri" w:hAnsi="Calibri" w:eastAsia="宋体" w:cs="Calibri"/>
                <w:i w:val="0"/>
                <w:iCs w:val="0"/>
                <w:color w:val="000000"/>
                <w:kern w:val="0"/>
                <w:sz w:val="21"/>
                <w:szCs w:val="21"/>
                <w:u w:val="none"/>
                <w:lang w:val="en-US" w:eastAsia="zh-CN" w:bidi="ar"/>
              </w:rPr>
              <w:t>4.2mV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蓄电池内阻应≤</w:t>
            </w:r>
            <w:r>
              <w:rPr>
                <w:rFonts w:ascii="Calibri" w:hAnsi="Calibri" w:eastAsia="宋体" w:cs="Calibri"/>
                <w:i w:val="0"/>
                <w:iCs w:val="0"/>
                <w:color w:val="000000"/>
                <w:kern w:val="0"/>
                <w:sz w:val="21"/>
                <w:szCs w:val="21"/>
                <w:u w:val="none"/>
                <w:lang w:val="en-US" w:eastAsia="zh-CN" w:bidi="ar"/>
              </w:rPr>
              <w:t>4.8m</w:t>
            </w:r>
            <w:r>
              <w:rPr>
                <w:rFonts w:hint="eastAsia" w:ascii="宋体" w:hAnsi="宋体" w:eastAsia="宋体" w:cs="宋体"/>
                <w:i w:val="0"/>
                <w:iCs w:val="0"/>
                <w:color w:val="000000"/>
                <w:kern w:val="0"/>
                <w:sz w:val="21"/>
                <w:szCs w:val="21"/>
                <w:u w:val="none"/>
                <w:lang w:val="en-US" w:eastAsia="zh-CN" w:bidi="ar"/>
              </w:rPr>
              <w:t>Ω，同组蓄电池内阻偏差应≤</w:t>
            </w:r>
            <w:r>
              <w:rPr>
                <w:rFonts w:ascii="Calibri" w:hAnsi="Calibri" w:eastAsia="宋体" w:cs="Calibri"/>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蓄电池端电压均衡性，开路应≤10mV，浮充应≤7mV，放电应≤0.2V，投标时须提供本项目蓄电池同规格、同型号的第三方检验报告复印件佐证，并加盖厂家公章。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低温敏感性：蓄电池</w:t>
            </w:r>
            <w:r>
              <w:rPr>
                <w:rFonts w:ascii="Calibri" w:hAnsi="Calibri" w:eastAsia="宋体" w:cs="Calibri"/>
                <w:i w:val="0"/>
                <w:iCs w:val="0"/>
                <w:color w:val="000000"/>
                <w:kern w:val="0"/>
                <w:sz w:val="21"/>
                <w:szCs w:val="21"/>
                <w:u w:val="none"/>
                <w:lang w:val="en-US" w:eastAsia="zh-CN" w:bidi="ar"/>
              </w:rPr>
              <w:t>10h</w:t>
            </w:r>
            <w:r>
              <w:rPr>
                <w:rFonts w:hint="eastAsia" w:ascii="宋体" w:hAnsi="宋体" w:eastAsia="宋体" w:cs="宋体"/>
                <w:i w:val="0"/>
                <w:iCs w:val="0"/>
                <w:color w:val="000000"/>
                <w:kern w:val="0"/>
                <w:sz w:val="21"/>
                <w:szCs w:val="21"/>
                <w:u w:val="none"/>
                <w:lang w:val="en-US" w:eastAsia="zh-CN" w:bidi="ar"/>
              </w:rPr>
              <w:t>率容量应≥</w:t>
            </w:r>
            <w:r>
              <w:rPr>
                <w:rFonts w:ascii="Calibri" w:hAnsi="Calibri" w:eastAsia="宋体" w:cs="Calibri"/>
                <w:i w:val="0"/>
                <w:iCs w:val="0"/>
                <w:color w:val="000000"/>
                <w:kern w:val="0"/>
                <w:sz w:val="21"/>
                <w:szCs w:val="21"/>
                <w:u w:val="none"/>
                <w:lang w:val="en-US" w:eastAsia="zh-CN" w:bidi="ar"/>
              </w:rPr>
              <w:t>0.93C10</w:t>
            </w:r>
            <w:r>
              <w:rPr>
                <w:rFonts w:hint="eastAsia" w:ascii="宋体" w:hAnsi="宋体" w:eastAsia="宋体" w:cs="宋体"/>
                <w:i w:val="0"/>
                <w:iCs w:val="0"/>
                <w:color w:val="000000"/>
                <w:kern w:val="0"/>
                <w:sz w:val="21"/>
                <w:szCs w:val="21"/>
                <w:u w:val="none"/>
                <w:lang w:val="en-US" w:eastAsia="zh-CN" w:bidi="ar"/>
              </w:rPr>
              <w:t>，外观应无破裂，过度膨胀及槽、盖分离现象。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同组蓄电池</w:t>
            </w:r>
            <w:r>
              <w:rPr>
                <w:rFonts w:ascii="Calibri" w:hAnsi="Calibri" w:eastAsia="宋体" w:cs="Calibri"/>
                <w:i w:val="0"/>
                <w:iCs w:val="0"/>
                <w:color w:val="000000"/>
                <w:kern w:val="0"/>
                <w:sz w:val="21"/>
                <w:szCs w:val="21"/>
                <w:u w:val="none"/>
                <w:lang w:val="en-US" w:eastAsia="zh-CN" w:bidi="ar"/>
              </w:rPr>
              <w:t>10h</w:t>
            </w:r>
            <w:r>
              <w:rPr>
                <w:rFonts w:hint="eastAsia" w:ascii="宋体" w:hAnsi="宋体" w:eastAsia="宋体" w:cs="宋体"/>
                <w:i w:val="0"/>
                <w:iCs w:val="0"/>
                <w:color w:val="000000"/>
                <w:kern w:val="0"/>
                <w:sz w:val="21"/>
                <w:szCs w:val="21"/>
                <w:u w:val="none"/>
                <w:lang w:val="en-US" w:eastAsia="zh-CN" w:bidi="ar"/>
              </w:rPr>
              <w:t>率容量试验时，最大实际容量与最小实际容量差值应≤</w:t>
            </w:r>
            <w:r>
              <w:rPr>
                <w:rFonts w:ascii="Calibri" w:hAnsi="Calibri" w:eastAsia="宋体" w:cs="Calibri"/>
                <w:i w:val="0"/>
                <w:iCs w:val="0"/>
                <w:color w:val="000000"/>
                <w:kern w:val="0"/>
                <w:sz w:val="21"/>
                <w:szCs w:val="21"/>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电池柜材质：</w:t>
            </w:r>
            <w:r>
              <w:rPr>
                <w:rFonts w:ascii="Calibri" w:hAnsi="Calibri" w:eastAsia="宋体" w:cs="Calibri"/>
                <w:i w:val="0"/>
                <w:iCs w:val="0"/>
                <w:color w:val="000000"/>
                <w:kern w:val="0"/>
                <w:sz w:val="21"/>
                <w:szCs w:val="21"/>
                <w:u w:val="none"/>
                <w:lang w:val="en-US" w:eastAsia="zh-CN" w:bidi="ar"/>
              </w:rPr>
              <w:t>30*30mm</w:t>
            </w:r>
            <w:r>
              <w:rPr>
                <w:rFonts w:hint="eastAsia" w:ascii="宋体" w:hAnsi="宋体" w:eastAsia="宋体" w:cs="宋体"/>
                <w:i w:val="0"/>
                <w:iCs w:val="0"/>
                <w:color w:val="000000"/>
                <w:kern w:val="0"/>
                <w:sz w:val="21"/>
                <w:szCs w:val="21"/>
                <w:u w:val="none"/>
                <w:lang w:val="en-US" w:eastAsia="zh-CN" w:bidi="ar"/>
              </w:rPr>
              <w:t>方钢框架（承重≥</w:t>
            </w:r>
            <w:r>
              <w:rPr>
                <w:rFonts w:ascii="Calibri" w:hAnsi="Calibri" w:eastAsia="宋体" w:cs="Calibri"/>
                <w:i w:val="0"/>
                <w:iCs w:val="0"/>
                <w:color w:val="000000"/>
                <w:kern w:val="0"/>
                <w:sz w:val="21"/>
                <w:szCs w:val="21"/>
                <w:u w:val="none"/>
                <w:lang w:val="en-US" w:eastAsia="zh-CN" w:bidi="ar"/>
              </w:rPr>
              <w:t>800kg/</w:t>
            </w:r>
            <w:r>
              <w:rPr>
                <w:rFonts w:hint="eastAsia" w:ascii="宋体" w:hAnsi="宋体" w:eastAsia="宋体" w:cs="宋体"/>
                <w:i w:val="0"/>
                <w:iCs w:val="0"/>
                <w:color w:val="000000"/>
                <w:kern w:val="0"/>
                <w:sz w:val="21"/>
                <w:szCs w:val="21"/>
                <w:u w:val="none"/>
                <w:lang w:val="en-US" w:eastAsia="zh-CN" w:bidi="ar"/>
              </w:rPr>
              <w:t>层），镀锌板外壳（</w:t>
            </w:r>
            <w:r>
              <w:rPr>
                <w:rFonts w:ascii="Calibri" w:hAnsi="Calibri" w:eastAsia="宋体" w:cs="Calibri"/>
                <w:i w:val="0"/>
                <w:iCs w:val="0"/>
                <w:color w:val="000000"/>
                <w:kern w:val="0"/>
                <w:sz w:val="21"/>
                <w:szCs w:val="21"/>
                <w:u w:val="none"/>
                <w:lang w:val="en-US" w:eastAsia="zh-CN" w:bidi="ar"/>
              </w:rPr>
              <w:t>0.8mm</w:t>
            </w:r>
            <w:r>
              <w:rPr>
                <w:rFonts w:hint="eastAsia" w:ascii="宋体" w:hAnsi="宋体" w:eastAsia="宋体" w:cs="宋体"/>
                <w:i w:val="0"/>
                <w:iCs w:val="0"/>
                <w:color w:val="000000"/>
                <w:kern w:val="0"/>
                <w:sz w:val="21"/>
                <w:szCs w:val="21"/>
                <w:u w:val="none"/>
                <w:lang w:val="en-US" w:eastAsia="zh-CN" w:bidi="ar"/>
              </w:rPr>
              <w:t>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安全防护：防漏液托盘、防震结构、散热通风孔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连接线规格：标配国标</w:t>
            </w:r>
            <w:r>
              <w:rPr>
                <w:rFonts w:ascii="Calibri" w:hAnsi="Calibri" w:eastAsia="宋体" w:cs="Calibri"/>
                <w:i w:val="0"/>
                <w:iCs w:val="0"/>
                <w:color w:val="000000"/>
                <w:kern w:val="0"/>
                <w:sz w:val="21"/>
                <w:szCs w:val="21"/>
                <w:u w:val="none"/>
                <w:lang w:val="en-US" w:eastAsia="zh-CN" w:bidi="ar"/>
              </w:rPr>
              <w:t>16</w:t>
            </w:r>
            <w:r>
              <w:rPr>
                <w:rFonts w:hint="eastAsia" w:ascii="宋体" w:hAnsi="宋体" w:eastAsia="宋体" w:cs="宋体"/>
                <w:i w:val="0"/>
                <w:iCs w:val="0"/>
                <w:color w:val="000000"/>
                <w:kern w:val="0"/>
                <w:sz w:val="21"/>
                <w:szCs w:val="21"/>
                <w:u w:val="none"/>
                <w:lang w:val="en-US" w:eastAsia="zh-CN" w:bidi="ar"/>
              </w:rPr>
              <w:t>平方铜芯线缆（红黑双色）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nil"/>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扩展性：模块化拆装设计，支持多柜并排安装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60" w:type="dxa"/>
            <w:vMerge w:val="continue"/>
            <w:tcBorders>
              <w:top w:val="single" w:color="000000" w:sz="8" w:space="0"/>
              <w:left w:val="single" w:color="000000" w:sz="12"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960" w:type="dxa"/>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590" w:type="dxa"/>
            <w:tcBorders>
              <w:top w:val="nil"/>
              <w:left w:val="single" w:color="000000" w:sz="8" w:space="0"/>
              <w:bottom w:val="single" w:color="auto" w:sz="4" w:space="0"/>
              <w:right w:val="single" w:color="000000" w:sz="12"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配置清单：山特PT3K+24组</w:t>
            </w:r>
            <w:r>
              <w:rPr>
                <w:rFonts w:hint="default" w:ascii="宋体" w:hAnsi="宋体" w:eastAsia="宋体" w:cs="宋体"/>
                <w:i w:val="0"/>
                <w:iCs w:val="0"/>
                <w:color w:val="000000"/>
                <w:kern w:val="0"/>
                <w:sz w:val="21"/>
                <w:szCs w:val="21"/>
                <w:u w:val="none"/>
                <w:lang w:eastAsia="zh-CN" w:bidi="ar"/>
                <w:woUserID w:val="1"/>
              </w:rPr>
              <w:t>电池</w:t>
            </w:r>
            <w:r>
              <w:rPr>
                <w:rFonts w:hint="eastAsia" w:ascii="宋体" w:hAnsi="宋体" w:eastAsia="宋体" w:cs="宋体"/>
                <w:i w:val="0"/>
                <w:iCs w:val="0"/>
                <w:color w:val="000000"/>
                <w:kern w:val="0"/>
                <w:sz w:val="21"/>
                <w:szCs w:val="21"/>
                <w:u w:val="none"/>
                <w:lang w:val="en-US" w:eastAsia="zh-CN" w:bidi="ar"/>
              </w:rPr>
              <w:t>（12V100AH）+（A24）</w:t>
            </w:r>
          </w:p>
        </w:tc>
      </w:tr>
    </w:tbl>
    <w:p>
      <w:pPr>
        <w:pStyle w:val="13"/>
        <w:numPr>
          <w:ilvl w:val="0"/>
          <w:numId w:val="0"/>
        </w:numPr>
        <w:spacing w:before="156" w:beforeLines="50"/>
        <w:ind w:leftChars="0"/>
        <w:rPr>
          <w:rFonts w:ascii="仿宋" w:hAnsi="仿宋" w:eastAsia="仿宋"/>
          <w:b/>
          <w:sz w:val="28"/>
          <w:szCs w:val="28"/>
        </w:rPr>
      </w:pPr>
    </w:p>
    <w:p>
      <w:r>
        <w:rPr>
          <w:rFonts w:hint="eastAsia"/>
        </w:rPr>
        <w:t>说明：</w:t>
      </w:r>
    </w:p>
    <w:p>
      <w:pPr>
        <w:spacing w:line="360" w:lineRule="auto"/>
      </w:pPr>
      <w:r>
        <w:rPr>
          <w:rFonts w:hint="eastAsia"/>
        </w:rPr>
        <w:t>所有参数均应满足要求。</w:t>
      </w:r>
    </w:p>
    <w:p>
      <w:pPr>
        <w:pStyle w:val="13"/>
        <w:numPr>
          <w:ilvl w:val="0"/>
          <w:numId w:val="1"/>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商品价格及售后服务</w:t>
      </w:r>
    </w:p>
    <w:p>
      <w:pPr>
        <w:numPr>
          <w:ilvl w:val="0"/>
          <w:numId w:val="3"/>
        </w:numPr>
        <w:spacing w:line="360" w:lineRule="auto"/>
        <w:ind w:firstLine="420" w:firstLineChars="200"/>
      </w:pPr>
      <w:r>
        <w:rPr>
          <w:rFonts w:hint="eastAsia"/>
        </w:rPr>
        <w:t>本采购项目属交钥匙工程项目，供应商报价含货物、运输（含装卸和吊装）、安装、打孔、空调支架、电源（控开）、调试等全部费用，除铜管延长需现场确认，采购方不再额外支付其他费用。</w:t>
      </w:r>
    </w:p>
    <w:p>
      <w:pPr>
        <w:numPr>
          <w:ilvl w:val="0"/>
          <w:numId w:val="3"/>
        </w:numPr>
        <w:spacing w:line="360" w:lineRule="auto"/>
        <w:ind w:firstLine="420" w:firstLineChars="200"/>
      </w:pPr>
      <w:r>
        <w:rPr>
          <w:rFonts w:hint="eastAsia"/>
          <w:b/>
          <w:bCs/>
        </w:rPr>
        <w:t>质量保证期（或保修期）服务</w:t>
      </w:r>
      <w:r>
        <w:rPr>
          <w:rFonts w:hint="eastAsia"/>
        </w:rPr>
        <w:t>：自合同签订生效，质保期内上门对损坏的货物（或软件）进行安装、升级、更换、调试，包括配件费、材料费、软件升级费、人工费等全部免费。不间断电源（不含电池）质保期原厂</w:t>
      </w:r>
      <w:r>
        <w:rPr>
          <w:rFonts w:hint="eastAsia"/>
          <w:u w:val="single"/>
        </w:rPr>
        <w:t>3</w:t>
      </w:r>
      <w:r>
        <w:rPr>
          <w:rFonts w:hint="eastAsia"/>
        </w:rPr>
        <w:t>年。服务响应时间2小时以内，维修人员需在接到维修电话后24小时内到达现场，一般问题应在48小时内解决。（具体维修由原厂响应时间为准，供应商按要求做好协调）。</w:t>
      </w:r>
    </w:p>
    <w:p>
      <w:pPr>
        <w:pStyle w:val="13"/>
        <w:numPr>
          <w:ilvl w:val="0"/>
          <w:numId w:val="1"/>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安装及交付时间</w:t>
      </w:r>
    </w:p>
    <w:p>
      <w:pPr>
        <w:ind w:firstLine="420" w:firstLineChars="200"/>
      </w:pPr>
      <w:r>
        <w:rPr>
          <w:rFonts w:hint="eastAsia"/>
        </w:rPr>
        <w:t>交付时间为合同签订后</w:t>
      </w:r>
      <w:r>
        <w:rPr>
          <w:rFonts w:hint="eastAsia"/>
          <w:u w:val="single"/>
        </w:rPr>
        <w:t>7</w:t>
      </w:r>
      <w:r>
        <w:rPr>
          <w:rFonts w:hint="eastAsia"/>
        </w:rPr>
        <w:t>个工作日内。</w:t>
      </w:r>
    </w:p>
    <w:p>
      <w:pPr>
        <w:pStyle w:val="13"/>
        <w:numPr>
          <w:ilvl w:val="0"/>
          <w:numId w:val="1"/>
        </w:numPr>
        <w:spacing w:before="156" w:beforeLines="50"/>
        <w:ind w:left="601" w:hanging="601" w:firstLineChars="0"/>
        <w:rPr>
          <w:rFonts w:ascii="仿宋" w:hAnsi="仿宋" w:eastAsia="仿宋"/>
          <w:b/>
          <w:sz w:val="28"/>
          <w:szCs w:val="28"/>
        </w:rPr>
      </w:pPr>
      <w:r>
        <w:rPr>
          <w:rFonts w:hint="eastAsia" w:ascii="仿宋" w:hAnsi="仿宋" w:eastAsia="仿宋"/>
          <w:b/>
          <w:sz w:val="28"/>
          <w:szCs w:val="28"/>
        </w:rPr>
        <w:t>付款方式和要求</w:t>
      </w:r>
    </w:p>
    <w:p>
      <w:pPr>
        <w:spacing w:line="360" w:lineRule="auto"/>
        <w:ind w:firstLine="420" w:firstLineChars="200"/>
      </w:pPr>
      <w:r>
        <w:rPr>
          <w:rFonts w:hint="eastAsia"/>
        </w:rPr>
        <w:t>在验收合格后</w:t>
      </w:r>
      <w:r>
        <w:rPr>
          <w:rFonts w:hint="eastAsia"/>
          <w:u w:val="single"/>
        </w:rPr>
        <w:t>7</w:t>
      </w:r>
      <w:r>
        <w:rPr>
          <w:rFonts w:hint="eastAsia"/>
        </w:rPr>
        <w:t>个工作日内一次性支付全款。</w:t>
      </w:r>
    </w:p>
    <w:p>
      <w:pPr>
        <w:pStyle w:val="13"/>
        <w:numPr>
          <w:ilvl w:val="0"/>
          <w:numId w:val="1"/>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pPr>
        <w:pStyle w:val="13"/>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此处仅填写报价人额外提供需方的服务承诺，与本采购文件询价要求相左条款的其他说明视作无效说明。若无其他服务承诺的请填写“无”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3"/>
        <w:rPr>
          <w:u w:val="single"/>
        </w:rPr>
      </w:pPr>
    </w:p>
    <w:p>
      <w:pPr>
        <w:pStyle w:val="3"/>
        <w:rPr>
          <w:u w:val="single"/>
        </w:rPr>
      </w:pPr>
    </w:p>
    <w:p>
      <w:pPr>
        <w:pStyle w:val="3"/>
        <w:rPr>
          <w:u w:val="single"/>
        </w:rPr>
      </w:pPr>
    </w:p>
    <w:p>
      <w:pPr>
        <w:pStyle w:val="3"/>
        <w:rPr>
          <w:u w:val="single"/>
        </w:rPr>
      </w:pPr>
    </w:p>
    <w:p>
      <w:pPr>
        <w:pStyle w:val="3"/>
        <w:rPr>
          <w:u w:val="single"/>
        </w:rPr>
      </w:pPr>
    </w:p>
    <w:p>
      <w:pPr>
        <w:pStyle w:val="3"/>
        <w:rPr>
          <w:u w:val="single"/>
        </w:rPr>
      </w:pPr>
    </w:p>
    <w:p>
      <w:pPr>
        <w:spacing w:line="360" w:lineRule="auto"/>
        <w:jc w:val="left"/>
        <w:rPr>
          <w:color w:val="FF0000"/>
        </w:rPr>
      </w:pPr>
    </w:p>
    <w:p>
      <w:pPr>
        <w:pStyle w:val="3"/>
        <w:widowControl/>
        <w:spacing w:line="360" w:lineRule="auto"/>
        <w:rPr>
          <w:rFonts w:asciiTheme="minorEastAsia" w:hAnsiTheme="minorEastAsia"/>
          <w:b/>
          <w:sz w:val="24"/>
          <w:szCs w:val="24"/>
        </w:rPr>
      </w:pPr>
      <w:r>
        <w:rPr>
          <w:rFonts w:hint="eastAsia" w:asciiTheme="minorEastAsia" w:hAnsiTheme="minorEastAsia"/>
          <w:b/>
          <w:sz w:val="24"/>
          <w:szCs w:val="24"/>
        </w:rPr>
        <w:t>承 诺：</w:t>
      </w:r>
    </w:p>
    <w:p>
      <w:pPr>
        <w:pStyle w:val="3"/>
        <w:widowControl/>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本公司（名称） 报价商品（或服务）满足“浙江药科职业大学不间断电源项目”的全部要求，若我司中标将按上述要求提供服务并履行双方合同。</w:t>
      </w:r>
    </w:p>
    <w:p>
      <w:pPr>
        <w:pStyle w:val="3"/>
        <w:widowControl/>
        <w:spacing w:line="360" w:lineRule="auto"/>
        <w:ind w:firstLine="480" w:firstLineChars="200"/>
        <w:rPr>
          <w:rFonts w:asciiTheme="minorEastAsia" w:hAnsiTheme="minorEastAsia"/>
          <w:b/>
          <w:sz w:val="24"/>
          <w:szCs w:val="24"/>
        </w:rPr>
      </w:pPr>
      <w:r>
        <w:rPr>
          <w:rFonts w:hint="eastAsia" w:asciiTheme="minorEastAsia" w:hAnsiTheme="minorEastAsia"/>
          <w:b/>
          <w:sz w:val="24"/>
          <w:szCs w:val="24"/>
        </w:rPr>
        <w:t>本文件响应条款作为此次采购合同的附件是本合同不可分割的组成部分。</w:t>
      </w:r>
    </w:p>
    <w:p>
      <w:pPr>
        <w:pStyle w:val="3"/>
        <w:widowControl/>
        <w:spacing w:before="312" w:beforeLines="100" w:after="156" w:afterLines="50" w:line="360" w:lineRule="auto"/>
        <w:ind w:firstLine="2402" w:firstLineChars="1000"/>
        <w:rPr>
          <w:rFonts w:asciiTheme="minorEastAsia" w:hAnsiTheme="minorEastAsia"/>
          <w:b/>
          <w:sz w:val="24"/>
          <w:szCs w:val="24"/>
        </w:rPr>
      </w:pPr>
      <w:r>
        <w:rPr>
          <w:rFonts w:hint="eastAsia" w:asciiTheme="minorEastAsia" w:hAnsiTheme="minorEastAsia"/>
          <w:b/>
          <w:sz w:val="24"/>
          <w:szCs w:val="24"/>
        </w:rPr>
        <w:t>承诺公司名称（加盖公章）：</w:t>
      </w:r>
    </w:p>
    <w:p>
      <w:pPr>
        <w:pStyle w:val="3"/>
        <w:widowControl/>
        <w:spacing w:before="312" w:beforeLines="100" w:after="156" w:afterLines="50" w:line="360" w:lineRule="auto"/>
        <w:ind w:firstLine="3363" w:firstLineChars="1400"/>
        <w:rPr>
          <w:rFonts w:asciiTheme="minorEastAsia" w:hAnsiTheme="minorEastAsia"/>
          <w:b/>
          <w:sz w:val="24"/>
          <w:szCs w:val="24"/>
        </w:rPr>
      </w:pPr>
      <w:r>
        <w:rPr>
          <w:rFonts w:hint="eastAsia" w:asciiTheme="minorEastAsia" w:hAnsiTheme="minorEastAsia"/>
          <w:b/>
          <w:sz w:val="24"/>
          <w:szCs w:val="24"/>
        </w:rPr>
        <w:t>报价人及联系电话：</w:t>
      </w:r>
    </w:p>
    <w:p>
      <w:pPr>
        <w:pStyle w:val="3"/>
        <w:widowControl/>
        <w:spacing w:before="312" w:beforeLines="100" w:after="156" w:afterLines="50" w:line="360" w:lineRule="auto"/>
        <w:ind w:firstLine="5526" w:firstLineChars="2300"/>
        <w:rPr>
          <w:rFonts w:asciiTheme="minorEastAsia" w:hAnsiTheme="minorEastAsia"/>
          <w:b/>
          <w:sz w:val="24"/>
          <w:szCs w:val="24"/>
        </w:rPr>
      </w:pPr>
      <w:r>
        <w:rPr>
          <w:rFonts w:hint="eastAsia" w:asciiTheme="minorEastAsia" w:hAnsiTheme="minorEastAsia"/>
          <w:b/>
          <w:sz w:val="24"/>
          <w:szCs w:val="24"/>
        </w:rPr>
        <w:t xml:space="preserve">         年      月     日</w:t>
      </w:r>
    </w:p>
    <w:p>
      <w:pPr>
        <w:spacing w:line="360" w:lineRule="auto"/>
        <w:jc w:val="left"/>
        <w:rPr>
          <w:color w:val="FF0000"/>
        </w:rPr>
      </w:pP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仿宋_GB2312">
    <w:altName w:val="汉仪仿宋KW"/>
    <w:panose1 w:val="02010609030101010101"/>
    <w:charset w:val="86"/>
    <w:family w:val="modern"/>
    <w:pitch w:val="default"/>
    <w:sig w:usb0="00000000" w:usb1="00000000" w:usb2="00000010" w:usb3="00000000" w:csb0="00040000" w:csb1="00000000"/>
  </w:font>
  <w:font w:name="汉仪仿宋KW">
    <w:panose1 w:val="00020600040101010101"/>
    <w:charset w:val="86"/>
    <w:family w:val="auto"/>
    <w:pitch w:val="default"/>
    <w:sig w:usb0="A00002BF" w:usb1="18EF7CFA" w:usb2="00000016" w:usb3="00000000" w:csb0="00040000" w:csb1="00000000"/>
  </w:font>
  <w:font w:name="汉仪君黑KW 55J">
    <w:panose1 w:val="00020600040101010101"/>
    <w:charset w:val="86"/>
    <w:family w:val="auto"/>
    <w:pitch w:val="default"/>
    <w:sig w:usb0="A00002BF" w:usb1="0A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62671"/>
    <w:multiLevelType w:val="singleLevel"/>
    <w:tmpl w:val="18962671"/>
    <w:lvl w:ilvl="0" w:tentative="0">
      <w:start w:val="1"/>
      <w:numFmt w:val="decimal"/>
      <w:suff w:val="nothing"/>
      <w:lvlText w:val="%1、"/>
      <w:lvlJc w:val="left"/>
    </w:lvl>
  </w:abstractNum>
  <w:abstractNum w:abstractNumId="1">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EB1E7FB"/>
    <w:multiLevelType w:val="singleLevel"/>
    <w:tmpl w:val="6EB1E7FB"/>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YzBkZDBhYzY4MDVjNjFkNTcyZjgyYTBmNjhmZTUifQ=="/>
  </w:docVars>
  <w:rsids>
    <w:rsidRoot w:val="004A7310"/>
    <w:rsid w:val="0001047A"/>
    <w:rsid w:val="00015B71"/>
    <w:rsid w:val="000224B3"/>
    <w:rsid w:val="000258FA"/>
    <w:rsid w:val="00046942"/>
    <w:rsid w:val="000563BA"/>
    <w:rsid w:val="00071D9E"/>
    <w:rsid w:val="00073958"/>
    <w:rsid w:val="000B18A9"/>
    <w:rsid w:val="000C0662"/>
    <w:rsid w:val="000C3974"/>
    <w:rsid w:val="000D5A38"/>
    <w:rsid w:val="001515DE"/>
    <w:rsid w:val="00152CE5"/>
    <w:rsid w:val="00153BE0"/>
    <w:rsid w:val="00163402"/>
    <w:rsid w:val="00182D2F"/>
    <w:rsid w:val="00191B46"/>
    <w:rsid w:val="001B132A"/>
    <w:rsid w:val="001B1E62"/>
    <w:rsid w:val="001B2EB5"/>
    <w:rsid w:val="001C688A"/>
    <w:rsid w:val="001D13CF"/>
    <w:rsid w:val="00207DA2"/>
    <w:rsid w:val="002137B9"/>
    <w:rsid w:val="002163C1"/>
    <w:rsid w:val="00222238"/>
    <w:rsid w:val="00255607"/>
    <w:rsid w:val="0026340E"/>
    <w:rsid w:val="00270470"/>
    <w:rsid w:val="002713C2"/>
    <w:rsid w:val="002738AF"/>
    <w:rsid w:val="0029144E"/>
    <w:rsid w:val="0029241F"/>
    <w:rsid w:val="002B1AF4"/>
    <w:rsid w:val="002B4365"/>
    <w:rsid w:val="002B76CC"/>
    <w:rsid w:val="002F0A2F"/>
    <w:rsid w:val="002F7438"/>
    <w:rsid w:val="00310C7E"/>
    <w:rsid w:val="00317002"/>
    <w:rsid w:val="0032462C"/>
    <w:rsid w:val="00351064"/>
    <w:rsid w:val="00356E56"/>
    <w:rsid w:val="003704E5"/>
    <w:rsid w:val="0039345E"/>
    <w:rsid w:val="00393564"/>
    <w:rsid w:val="003B45AD"/>
    <w:rsid w:val="003C5D3A"/>
    <w:rsid w:val="003D26B8"/>
    <w:rsid w:val="00407C2F"/>
    <w:rsid w:val="00414D0B"/>
    <w:rsid w:val="004251E8"/>
    <w:rsid w:val="00433AF3"/>
    <w:rsid w:val="00437218"/>
    <w:rsid w:val="004373C5"/>
    <w:rsid w:val="00442378"/>
    <w:rsid w:val="00462C2B"/>
    <w:rsid w:val="0046701D"/>
    <w:rsid w:val="0049070F"/>
    <w:rsid w:val="004A1425"/>
    <w:rsid w:val="004A23EF"/>
    <w:rsid w:val="004A65FF"/>
    <w:rsid w:val="004A6AFB"/>
    <w:rsid w:val="004A7310"/>
    <w:rsid w:val="004C3B2E"/>
    <w:rsid w:val="004F5DE0"/>
    <w:rsid w:val="00513F82"/>
    <w:rsid w:val="00525033"/>
    <w:rsid w:val="005300F5"/>
    <w:rsid w:val="00545FE9"/>
    <w:rsid w:val="005529C1"/>
    <w:rsid w:val="00582749"/>
    <w:rsid w:val="0059395F"/>
    <w:rsid w:val="005B086E"/>
    <w:rsid w:val="005C2BC8"/>
    <w:rsid w:val="005E20FA"/>
    <w:rsid w:val="00612582"/>
    <w:rsid w:val="0061766B"/>
    <w:rsid w:val="00637BB2"/>
    <w:rsid w:val="0066084D"/>
    <w:rsid w:val="0067665E"/>
    <w:rsid w:val="0068792C"/>
    <w:rsid w:val="00692BC4"/>
    <w:rsid w:val="006944BA"/>
    <w:rsid w:val="006B066E"/>
    <w:rsid w:val="006C117A"/>
    <w:rsid w:val="00721AD9"/>
    <w:rsid w:val="00735450"/>
    <w:rsid w:val="00746D23"/>
    <w:rsid w:val="00757E72"/>
    <w:rsid w:val="00764790"/>
    <w:rsid w:val="007715B5"/>
    <w:rsid w:val="00777F5E"/>
    <w:rsid w:val="00797E18"/>
    <w:rsid w:val="007A1A92"/>
    <w:rsid w:val="007A6ACF"/>
    <w:rsid w:val="007C0B19"/>
    <w:rsid w:val="007D42CA"/>
    <w:rsid w:val="007D62B0"/>
    <w:rsid w:val="007E1A50"/>
    <w:rsid w:val="007E1B31"/>
    <w:rsid w:val="007E4D95"/>
    <w:rsid w:val="007F6BD6"/>
    <w:rsid w:val="0081030D"/>
    <w:rsid w:val="00830972"/>
    <w:rsid w:val="0084054C"/>
    <w:rsid w:val="00843780"/>
    <w:rsid w:val="008869B2"/>
    <w:rsid w:val="00887ECA"/>
    <w:rsid w:val="0089494E"/>
    <w:rsid w:val="008B009D"/>
    <w:rsid w:val="0090112F"/>
    <w:rsid w:val="00906BD0"/>
    <w:rsid w:val="00930982"/>
    <w:rsid w:val="00936B18"/>
    <w:rsid w:val="00950536"/>
    <w:rsid w:val="00955247"/>
    <w:rsid w:val="00983D78"/>
    <w:rsid w:val="009946AB"/>
    <w:rsid w:val="009A6962"/>
    <w:rsid w:val="009D0FBC"/>
    <w:rsid w:val="009F29C7"/>
    <w:rsid w:val="00A34B0C"/>
    <w:rsid w:val="00A35331"/>
    <w:rsid w:val="00A415ED"/>
    <w:rsid w:val="00A41F4A"/>
    <w:rsid w:val="00A4278A"/>
    <w:rsid w:val="00A42E94"/>
    <w:rsid w:val="00A43A11"/>
    <w:rsid w:val="00A77371"/>
    <w:rsid w:val="00A853ED"/>
    <w:rsid w:val="00A85DDE"/>
    <w:rsid w:val="00A94A36"/>
    <w:rsid w:val="00A957AC"/>
    <w:rsid w:val="00A962B5"/>
    <w:rsid w:val="00A9701D"/>
    <w:rsid w:val="00AB3E28"/>
    <w:rsid w:val="00AC51F0"/>
    <w:rsid w:val="00B05296"/>
    <w:rsid w:val="00B175E9"/>
    <w:rsid w:val="00B33D8A"/>
    <w:rsid w:val="00B40C6D"/>
    <w:rsid w:val="00B52A81"/>
    <w:rsid w:val="00B52FB9"/>
    <w:rsid w:val="00B6111E"/>
    <w:rsid w:val="00B663D8"/>
    <w:rsid w:val="00B7446A"/>
    <w:rsid w:val="00B8486B"/>
    <w:rsid w:val="00B87B31"/>
    <w:rsid w:val="00BA0D08"/>
    <w:rsid w:val="00BA35A1"/>
    <w:rsid w:val="00BB17DD"/>
    <w:rsid w:val="00BE488B"/>
    <w:rsid w:val="00C019DA"/>
    <w:rsid w:val="00C06E70"/>
    <w:rsid w:val="00C13894"/>
    <w:rsid w:val="00C320A4"/>
    <w:rsid w:val="00C40C28"/>
    <w:rsid w:val="00C60AB4"/>
    <w:rsid w:val="00C648C4"/>
    <w:rsid w:val="00C9090E"/>
    <w:rsid w:val="00CC29D1"/>
    <w:rsid w:val="00CD16FF"/>
    <w:rsid w:val="00CE23D7"/>
    <w:rsid w:val="00CF02C6"/>
    <w:rsid w:val="00D3083B"/>
    <w:rsid w:val="00D61ED0"/>
    <w:rsid w:val="00D63387"/>
    <w:rsid w:val="00D70558"/>
    <w:rsid w:val="00D90EB0"/>
    <w:rsid w:val="00D92B15"/>
    <w:rsid w:val="00DA5027"/>
    <w:rsid w:val="00DB73E5"/>
    <w:rsid w:val="00DC74D3"/>
    <w:rsid w:val="00DF1B99"/>
    <w:rsid w:val="00E0268F"/>
    <w:rsid w:val="00E10B4B"/>
    <w:rsid w:val="00E3532B"/>
    <w:rsid w:val="00E40CE3"/>
    <w:rsid w:val="00E47318"/>
    <w:rsid w:val="00E47C4C"/>
    <w:rsid w:val="00E97056"/>
    <w:rsid w:val="00EA6D30"/>
    <w:rsid w:val="00EB0889"/>
    <w:rsid w:val="00EF45F8"/>
    <w:rsid w:val="00EF529A"/>
    <w:rsid w:val="00EF7149"/>
    <w:rsid w:val="00EF7FCE"/>
    <w:rsid w:val="00F01696"/>
    <w:rsid w:val="00F04380"/>
    <w:rsid w:val="00F04B65"/>
    <w:rsid w:val="00F15D2D"/>
    <w:rsid w:val="00F31A97"/>
    <w:rsid w:val="00F42C99"/>
    <w:rsid w:val="00F432D4"/>
    <w:rsid w:val="00F47259"/>
    <w:rsid w:val="00F83FF2"/>
    <w:rsid w:val="00F97BA8"/>
    <w:rsid w:val="00FA295A"/>
    <w:rsid w:val="00FB1CAD"/>
    <w:rsid w:val="00FB2A07"/>
    <w:rsid w:val="00FC35AE"/>
    <w:rsid w:val="00FC7638"/>
    <w:rsid w:val="00FE4AD5"/>
    <w:rsid w:val="00FE4B3E"/>
    <w:rsid w:val="00FF3CE2"/>
    <w:rsid w:val="00FF47CF"/>
    <w:rsid w:val="09704E30"/>
    <w:rsid w:val="0AF3466E"/>
    <w:rsid w:val="0CD65E68"/>
    <w:rsid w:val="0F5C04EC"/>
    <w:rsid w:val="0FE971DB"/>
    <w:rsid w:val="1170060C"/>
    <w:rsid w:val="118C13CF"/>
    <w:rsid w:val="12390E64"/>
    <w:rsid w:val="1579188B"/>
    <w:rsid w:val="15E81AA3"/>
    <w:rsid w:val="1A612E3C"/>
    <w:rsid w:val="1E2832B9"/>
    <w:rsid w:val="20D5260B"/>
    <w:rsid w:val="240C68C8"/>
    <w:rsid w:val="28861EF1"/>
    <w:rsid w:val="28C26890"/>
    <w:rsid w:val="28FE357E"/>
    <w:rsid w:val="2C1C3739"/>
    <w:rsid w:val="2C1D0563"/>
    <w:rsid w:val="2D2174BB"/>
    <w:rsid w:val="335B77EE"/>
    <w:rsid w:val="352C10D7"/>
    <w:rsid w:val="36706D87"/>
    <w:rsid w:val="38E0238B"/>
    <w:rsid w:val="3B9E58F1"/>
    <w:rsid w:val="3EF06FB7"/>
    <w:rsid w:val="402D26BC"/>
    <w:rsid w:val="40585519"/>
    <w:rsid w:val="41BF67B1"/>
    <w:rsid w:val="42AB0D6E"/>
    <w:rsid w:val="446820A4"/>
    <w:rsid w:val="473606EC"/>
    <w:rsid w:val="478C21F8"/>
    <w:rsid w:val="47D212AB"/>
    <w:rsid w:val="47F760B2"/>
    <w:rsid w:val="48D31ACB"/>
    <w:rsid w:val="49955712"/>
    <w:rsid w:val="4D262050"/>
    <w:rsid w:val="4DD22428"/>
    <w:rsid w:val="4E8D02C2"/>
    <w:rsid w:val="50C06596"/>
    <w:rsid w:val="53113544"/>
    <w:rsid w:val="541C17B1"/>
    <w:rsid w:val="54752445"/>
    <w:rsid w:val="54A84FC1"/>
    <w:rsid w:val="57266671"/>
    <w:rsid w:val="58C540D2"/>
    <w:rsid w:val="59041145"/>
    <w:rsid w:val="590D2C0F"/>
    <w:rsid w:val="5A106B39"/>
    <w:rsid w:val="5CA44174"/>
    <w:rsid w:val="5CD42121"/>
    <w:rsid w:val="5E287636"/>
    <w:rsid w:val="636422C5"/>
    <w:rsid w:val="63DE188B"/>
    <w:rsid w:val="64FF5C92"/>
    <w:rsid w:val="65664B22"/>
    <w:rsid w:val="676238A5"/>
    <w:rsid w:val="67C26A75"/>
    <w:rsid w:val="68675936"/>
    <w:rsid w:val="6B7B7B2B"/>
    <w:rsid w:val="6B8C31C8"/>
    <w:rsid w:val="6ECF7FBD"/>
    <w:rsid w:val="6F681329"/>
    <w:rsid w:val="6FEA0BFB"/>
    <w:rsid w:val="7010196F"/>
    <w:rsid w:val="71494705"/>
    <w:rsid w:val="779152ED"/>
    <w:rsid w:val="7816244A"/>
    <w:rsid w:val="79E121C1"/>
    <w:rsid w:val="7ABA7439"/>
    <w:rsid w:val="7ADC196E"/>
    <w:rsid w:val="7CD81FB1"/>
    <w:rsid w:val="7E116EDC"/>
    <w:rsid w:val="9FED80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Plain Text"/>
    <w:basedOn w:val="1"/>
    <w:next w:val="1"/>
    <w:unhideWhenUsed/>
    <w:qFormat/>
    <w:uiPriority w:val="0"/>
    <w:rPr>
      <w:rFonts w:ascii="宋体" w:hAnsi="Courier New"/>
      <w:szCs w:val="20"/>
    </w:r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styleId="13">
    <w:name w:val="List Paragraph"/>
    <w:basedOn w:val="1"/>
    <w:qFormat/>
    <w:uiPriority w:val="0"/>
    <w:pPr>
      <w:ind w:firstLine="420" w:firstLineChars="200"/>
    </w:pPr>
  </w:style>
  <w:style w:type="character" w:customStyle="1" w:styleId="14">
    <w:name w:val="批注框文本 Char"/>
    <w:basedOn w:val="10"/>
    <w:link w:val="5"/>
    <w:semiHidden/>
    <w:uiPriority w:val="99"/>
    <w:rPr>
      <w:rFonts w:asciiTheme="minorHAnsi" w:hAnsiTheme="minorHAnsi" w:eastAsiaTheme="minorEastAsia" w:cstheme="minorBidi"/>
      <w:kern w:val="2"/>
      <w:sz w:val="18"/>
      <w:szCs w:val="18"/>
    </w:rPr>
  </w:style>
  <w:style w:type="character" w:customStyle="1" w:styleId="15">
    <w:name w:val="Subtle Emphasis"/>
    <w:basedOn w:val="10"/>
    <w:qFormat/>
    <w:uiPriority w:val="19"/>
    <w:rPr>
      <w:i/>
      <w:iCs/>
      <w:color w:val="404040" w:themeColor="text1" w:themeTint="BF"/>
      <w14:textFill>
        <w14:solidFill>
          <w14:schemeClr w14:val="tx1">
            <w14:lumMod w14:val="75000"/>
            <w14:lumOff w14:val="25000"/>
          </w14:schemeClr>
        </w14:solidFill>
      </w14:textFill>
    </w:rPr>
  </w:style>
  <w:style w:type="character" w:customStyle="1" w:styleId="16">
    <w:name w:val="font21"/>
    <w:basedOn w:val="10"/>
    <w:uiPriority w:val="0"/>
    <w:rPr>
      <w:rFonts w:hint="eastAsia" w:ascii="宋体" w:hAnsi="宋体" w:eastAsia="宋体" w:cs="宋体"/>
      <w:color w:val="000000"/>
      <w:sz w:val="21"/>
      <w:szCs w:val="21"/>
      <w:u w:val="none"/>
    </w:rPr>
  </w:style>
  <w:style w:type="character" w:customStyle="1" w:styleId="17">
    <w:name w:val="font31"/>
    <w:basedOn w:val="10"/>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A236A6DF-16E3-4855-96CF-BA147381ED8F}">
  <ds:schemaRefs/>
</ds:datastoreItem>
</file>

<file path=docProps/app.xml><?xml version="1.0" encoding="utf-8"?>
<Properties xmlns="http://schemas.openxmlformats.org/officeDocument/2006/extended-properties" xmlns:vt="http://schemas.openxmlformats.org/officeDocument/2006/docPropsVTypes">
  <Company>Hewlett-Packard Company</Company>
  <Pages>4</Pages>
  <Words>1726</Words>
  <Characters>1834</Characters>
  <Lines>14</Lines>
  <Paragraphs>3</Paragraphs>
  <TotalTime>1</TotalTime>
  <ScaleCrop>false</ScaleCrop>
  <LinksUpToDate>false</LinksUpToDate>
  <CharactersWithSpaces>1902</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2024-05-04T15:01:00Z</dcterms:created>
  <dc:creator>chh</dc:creator>
  <cp:lastModifiedBy>zewan</cp:lastModifiedBy>
  <cp:lastPrinted>2021-07-06T11:05:00Z</cp:lastPrinted>
  <dcterms:modified xsi:type="dcterms:W3CDTF">2025-03-25T15:18:33Z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62B46EDCD1CA4606A348405A41DB8D5A_13</vt:lpwstr>
  </property>
  <property fmtid="{D5CDD505-2E9C-101B-9397-08002B2CF9AE}" pid="4" name="KSOTemplateDocerSaveRecord">
    <vt:lpwstr>eyJoZGlkIjoiZTgxMzJhNjQ5ZjZmYWJjYzJjMjgyMTIxZmVmN2Q4NjkiLCJ1c2VySWQiOiIxMjIyMjk0NjkzIn0=</vt:lpwstr>
  </property>
</Properties>
</file>