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34" w:rsidRPr="00A76134" w:rsidRDefault="00A42D16" w:rsidP="00A76134">
      <w:pPr>
        <w:ind w:firstLineChars="0" w:firstLine="0"/>
        <w:jc w:val="center"/>
        <w:outlineLvl w:val="0"/>
        <w:rPr>
          <w:rFonts w:ascii="黑体" w:eastAsia="黑体" w:hAnsi="黑体" w:hint="eastAsia"/>
          <w:sz w:val="52"/>
          <w:szCs w:val="52"/>
        </w:rPr>
      </w:pPr>
      <w:r w:rsidRPr="00A42D16">
        <w:rPr>
          <w:rFonts w:ascii="黑体" w:eastAsia="黑体" w:hAnsi="黑体" w:hint="eastAsia"/>
          <w:sz w:val="52"/>
          <w:szCs w:val="52"/>
        </w:rPr>
        <w:t>浙江省免费避孕药具发放服务信息系统</w:t>
      </w:r>
      <w:r w:rsidR="00A76134" w:rsidRPr="00A76134">
        <w:rPr>
          <w:rFonts w:ascii="黑体" w:eastAsia="黑体" w:hAnsi="黑体" w:hint="eastAsia"/>
          <w:sz w:val="52"/>
          <w:szCs w:val="52"/>
        </w:rPr>
        <w:t>年度运维服务招标需求</w:t>
      </w:r>
    </w:p>
    <w:p w:rsidR="00C83A12" w:rsidRDefault="00A76134" w:rsidP="00A76134">
      <w:pPr>
        <w:ind w:firstLineChars="66" w:firstLine="198"/>
        <w:outlineLvl w:val="0"/>
        <w:rPr>
          <w:rFonts w:ascii="黑体" w:eastAsia="黑体" w:hAnsi="黑体"/>
          <w:sz w:val="30"/>
          <w:szCs w:val="30"/>
        </w:rPr>
      </w:pPr>
      <w:r>
        <w:rPr>
          <w:rFonts w:ascii="黑体" w:eastAsia="黑体" w:hAnsi="黑体" w:hint="eastAsia"/>
          <w:sz w:val="30"/>
          <w:szCs w:val="30"/>
        </w:rPr>
        <w:t>一、</w:t>
      </w:r>
      <w:r w:rsidR="00220D65">
        <w:rPr>
          <w:rFonts w:ascii="黑体" w:eastAsia="黑体" w:hAnsi="黑体" w:hint="eastAsia"/>
          <w:sz w:val="30"/>
          <w:szCs w:val="30"/>
        </w:rPr>
        <w:t>运营商资质要求</w:t>
      </w:r>
      <w:r>
        <w:rPr>
          <w:rFonts w:ascii="黑体" w:eastAsia="黑体" w:hAnsi="黑体" w:hint="eastAsia"/>
          <w:sz w:val="30"/>
          <w:szCs w:val="30"/>
        </w:rPr>
        <w:t>（提供</w:t>
      </w:r>
      <w:r>
        <w:rPr>
          <w:rFonts w:ascii="黑体" w:eastAsia="黑体" w:hAnsi="黑体"/>
          <w:sz w:val="30"/>
          <w:szCs w:val="30"/>
        </w:rPr>
        <w:t>资格证明文件</w:t>
      </w:r>
      <w:r>
        <w:rPr>
          <w:rFonts w:ascii="黑体" w:eastAsia="黑体" w:hAnsi="黑体" w:hint="eastAsia"/>
          <w:sz w:val="30"/>
          <w:szCs w:val="30"/>
        </w:rPr>
        <w:t>）</w:t>
      </w:r>
      <w:r w:rsidR="00220D65">
        <w:rPr>
          <w:rFonts w:ascii="黑体" w:eastAsia="黑体" w:hAnsi="黑体" w:hint="eastAsia"/>
          <w:sz w:val="30"/>
          <w:szCs w:val="30"/>
        </w:rPr>
        <w:t>：</w:t>
      </w:r>
    </w:p>
    <w:tbl>
      <w:tblPr>
        <w:tblW w:w="9740" w:type="dxa"/>
        <w:jc w:val="center"/>
        <w:tblCellSpacing w:w="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7"/>
        <w:gridCol w:w="1800"/>
        <w:gridCol w:w="7403"/>
      </w:tblGrid>
      <w:tr w:rsidR="00C83A12" w:rsidRPr="00A42D16" w:rsidTr="00A42D16">
        <w:trPr>
          <w:trHeight w:val="23"/>
          <w:tblCellSpacing w:w="0" w:type="dxa"/>
          <w:jc w:val="center"/>
        </w:trPr>
        <w:tc>
          <w:tcPr>
            <w:tcW w:w="537" w:type="dxa"/>
            <w:noWrap/>
            <w:vAlign w:val="center"/>
          </w:tcPr>
          <w:p w:rsidR="00C83A12" w:rsidRPr="00A42D16" w:rsidRDefault="00220D65" w:rsidP="00A42D16">
            <w:pPr>
              <w:spacing w:line="400" w:lineRule="exact"/>
              <w:ind w:firstLineChars="0" w:firstLine="0"/>
              <w:rPr>
                <w:rFonts w:ascii="宋体" w:hAnsi="宋体" w:cs="宋体"/>
                <w:b/>
                <w:bCs/>
                <w:sz w:val="21"/>
                <w:szCs w:val="21"/>
              </w:rPr>
            </w:pPr>
            <w:r w:rsidRPr="00A42D16">
              <w:rPr>
                <w:rFonts w:ascii="宋体" w:hAnsi="宋体" w:cs="宋体" w:hint="eastAsia"/>
                <w:b/>
                <w:bCs/>
                <w:sz w:val="21"/>
                <w:szCs w:val="21"/>
              </w:rPr>
              <w:t>序号</w:t>
            </w:r>
          </w:p>
        </w:tc>
        <w:tc>
          <w:tcPr>
            <w:tcW w:w="1800" w:type="dxa"/>
            <w:noWrap/>
            <w:vAlign w:val="center"/>
          </w:tcPr>
          <w:p w:rsidR="00C83A12" w:rsidRPr="00A42D16" w:rsidRDefault="00220D65" w:rsidP="00A42D16">
            <w:pPr>
              <w:spacing w:line="400" w:lineRule="exact"/>
              <w:ind w:firstLine="420"/>
              <w:jc w:val="center"/>
              <w:rPr>
                <w:rFonts w:ascii="宋体" w:hAnsi="宋体" w:cs="宋体"/>
                <w:b/>
                <w:bCs/>
                <w:sz w:val="21"/>
                <w:szCs w:val="21"/>
              </w:rPr>
            </w:pPr>
            <w:r w:rsidRPr="00A42D16">
              <w:rPr>
                <w:rFonts w:ascii="宋体" w:hAnsi="宋体" w:cs="宋体" w:hint="eastAsia"/>
                <w:b/>
                <w:bCs/>
                <w:sz w:val="21"/>
                <w:szCs w:val="21"/>
              </w:rPr>
              <w:t>明细</w:t>
            </w:r>
          </w:p>
        </w:tc>
        <w:tc>
          <w:tcPr>
            <w:tcW w:w="7403" w:type="dxa"/>
            <w:noWrap/>
            <w:vAlign w:val="center"/>
          </w:tcPr>
          <w:p w:rsidR="00C83A12" w:rsidRPr="00A42D16" w:rsidRDefault="00220D65" w:rsidP="00A42D16">
            <w:pPr>
              <w:spacing w:line="400" w:lineRule="exact"/>
              <w:ind w:firstLine="420"/>
              <w:jc w:val="center"/>
              <w:rPr>
                <w:rFonts w:ascii="宋体" w:hAnsi="宋体" w:cs="宋体"/>
                <w:b/>
                <w:bCs/>
                <w:sz w:val="21"/>
                <w:szCs w:val="21"/>
              </w:rPr>
            </w:pPr>
            <w:r w:rsidRPr="00A42D16">
              <w:rPr>
                <w:rFonts w:ascii="宋体" w:hAnsi="宋体" w:cs="宋体" w:hint="eastAsia"/>
                <w:b/>
                <w:bCs/>
                <w:sz w:val="21"/>
                <w:szCs w:val="21"/>
              </w:rPr>
              <w:t>描述</w:t>
            </w:r>
          </w:p>
        </w:tc>
      </w:tr>
      <w:tr w:rsidR="00C83A12" w:rsidRPr="00A42D16" w:rsidTr="00A42D16">
        <w:trPr>
          <w:trHeight w:val="23"/>
          <w:tblCellSpacing w:w="0" w:type="dxa"/>
          <w:jc w:val="center"/>
        </w:trPr>
        <w:tc>
          <w:tcPr>
            <w:tcW w:w="537" w:type="dxa"/>
            <w:noWrap/>
            <w:vAlign w:val="center"/>
          </w:tcPr>
          <w:p w:rsidR="00C83A12" w:rsidRPr="00A42D16" w:rsidRDefault="00220D65" w:rsidP="00A42D16">
            <w:pPr>
              <w:pStyle w:val="null3"/>
              <w:spacing w:line="380" w:lineRule="exact"/>
              <w:jc w:val="center"/>
              <w:rPr>
                <w:rFonts w:ascii="宋体" w:hAnsi="宋体" w:cs="宋体" w:hint="default"/>
                <w:sz w:val="21"/>
                <w:szCs w:val="21"/>
                <w:lang w:eastAsia="zh-CN"/>
              </w:rPr>
            </w:pPr>
            <w:r w:rsidRPr="00A42D16">
              <w:rPr>
                <w:rFonts w:ascii="宋体" w:hAnsi="宋体" w:cs="宋体"/>
                <w:sz w:val="21"/>
                <w:szCs w:val="21"/>
              </w:rPr>
              <w:t>1</w:t>
            </w:r>
          </w:p>
        </w:tc>
        <w:tc>
          <w:tcPr>
            <w:tcW w:w="1800" w:type="dxa"/>
            <w:noWrap/>
            <w:vAlign w:val="center"/>
          </w:tcPr>
          <w:p w:rsidR="00C83A12" w:rsidRPr="00A42D16" w:rsidRDefault="00220D65" w:rsidP="00A42D16">
            <w:pPr>
              <w:pStyle w:val="null3"/>
              <w:spacing w:line="380" w:lineRule="exact"/>
              <w:jc w:val="center"/>
              <w:rPr>
                <w:rFonts w:ascii="宋体" w:hAnsi="宋体" w:cs="宋体" w:hint="default"/>
                <w:sz w:val="21"/>
                <w:szCs w:val="21"/>
              </w:rPr>
            </w:pPr>
            <w:r w:rsidRPr="00A42D16">
              <w:rPr>
                <w:rFonts w:ascii="宋体" w:hAnsi="宋体" w:cs="宋体"/>
                <w:sz w:val="21"/>
                <w:szCs w:val="21"/>
              </w:rPr>
              <w:t>单位授权书</w:t>
            </w:r>
          </w:p>
        </w:tc>
        <w:tc>
          <w:tcPr>
            <w:tcW w:w="7403" w:type="dxa"/>
            <w:noWrap/>
            <w:vAlign w:val="center"/>
          </w:tcPr>
          <w:p w:rsidR="00C83A12" w:rsidRPr="00A42D16" w:rsidRDefault="00220D65" w:rsidP="00A42D16">
            <w:pPr>
              <w:pStyle w:val="null3"/>
              <w:spacing w:line="380" w:lineRule="exact"/>
              <w:rPr>
                <w:rFonts w:ascii="宋体" w:hAnsi="宋体" w:cs="宋体" w:hint="default"/>
                <w:sz w:val="21"/>
                <w:szCs w:val="21"/>
              </w:rPr>
            </w:pPr>
            <w:r w:rsidRPr="00A42D16">
              <w:rPr>
                <w:rFonts w:ascii="宋体" w:hAnsi="宋体" w:cs="宋体"/>
                <w:sz w:val="21"/>
                <w:szCs w:val="21"/>
              </w:rPr>
              <w:t>①投标人（自然人除外）：若投标人代表为单位授权的委托代理人，应提供本授权书；若投标人代表为单位负责人，应在此项下提交其身份证正反面复印件，可不提供本授权书。</w:t>
            </w:r>
            <w:r w:rsidRPr="00A42D16">
              <w:rPr>
                <w:rFonts w:ascii="宋体" w:hAnsi="宋体" w:cs="宋体"/>
                <w:sz w:val="21"/>
                <w:szCs w:val="21"/>
              </w:rPr>
              <w:t xml:space="preserve"> </w:t>
            </w:r>
            <w:r w:rsidRPr="00A42D16">
              <w:rPr>
                <w:rFonts w:ascii="宋体" w:hAnsi="宋体" w:cs="宋体"/>
                <w:sz w:val="21"/>
                <w:szCs w:val="21"/>
              </w:rPr>
              <w:t>②投标人为自然人的，可不填写本授权书。</w:t>
            </w:r>
          </w:p>
        </w:tc>
      </w:tr>
      <w:tr w:rsidR="00C83A12" w:rsidRPr="00A42D16" w:rsidTr="00A42D16">
        <w:trPr>
          <w:trHeight w:val="23"/>
          <w:tblCellSpacing w:w="0" w:type="dxa"/>
          <w:jc w:val="center"/>
        </w:trPr>
        <w:tc>
          <w:tcPr>
            <w:tcW w:w="537" w:type="dxa"/>
            <w:noWrap/>
            <w:vAlign w:val="center"/>
          </w:tcPr>
          <w:p w:rsidR="00C83A12" w:rsidRPr="00A42D16" w:rsidRDefault="00220D65" w:rsidP="00A42D16">
            <w:pPr>
              <w:pStyle w:val="null3"/>
              <w:spacing w:line="380" w:lineRule="exact"/>
              <w:jc w:val="center"/>
              <w:rPr>
                <w:rFonts w:ascii="宋体" w:hAnsi="宋体" w:cs="宋体" w:hint="default"/>
                <w:sz w:val="21"/>
                <w:szCs w:val="21"/>
                <w:lang w:eastAsia="zh-CN"/>
              </w:rPr>
            </w:pPr>
            <w:r w:rsidRPr="00A42D16">
              <w:rPr>
                <w:rFonts w:ascii="宋体" w:hAnsi="宋体" w:cs="宋体"/>
                <w:sz w:val="21"/>
                <w:szCs w:val="21"/>
              </w:rPr>
              <w:t>2</w:t>
            </w:r>
          </w:p>
        </w:tc>
        <w:tc>
          <w:tcPr>
            <w:tcW w:w="1800" w:type="dxa"/>
            <w:noWrap/>
            <w:vAlign w:val="center"/>
          </w:tcPr>
          <w:p w:rsidR="00C83A12" w:rsidRPr="00A42D16" w:rsidRDefault="00220D65" w:rsidP="00A42D16">
            <w:pPr>
              <w:pStyle w:val="null3"/>
              <w:spacing w:line="380" w:lineRule="exact"/>
              <w:jc w:val="center"/>
              <w:rPr>
                <w:rFonts w:ascii="宋体" w:hAnsi="宋体" w:cs="宋体" w:hint="default"/>
                <w:sz w:val="21"/>
                <w:szCs w:val="21"/>
              </w:rPr>
            </w:pPr>
            <w:r w:rsidRPr="00A42D16">
              <w:rPr>
                <w:rFonts w:ascii="宋体" w:hAnsi="宋体" w:cs="宋体"/>
                <w:sz w:val="21"/>
                <w:szCs w:val="21"/>
              </w:rPr>
              <w:t>营业执照等证明文件</w:t>
            </w:r>
          </w:p>
        </w:tc>
        <w:tc>
          <w:tcPr>
            <w:tcW w:w="7403" w:type="dxa"/>
            <w:noWrap/>
            <w:vAlign w:val="center"/>
          </w:tcPr>
          <w:p w:rsidR="00C83A12" w:rsidRPr="00A42D16" w:rsidRDefault="00220D65" w:rsidP="00A42D16">
            <w:pPr>
              <w:pStyle w:val="null3"/>
              <w:spacing w:line="380" w:lineRule="exact"/>
              <w:rPr>
                <w:rFonts w:ascii="宋体" w:hAnsi="宋体" w:cs="宋体" w:hint="default"/>
                <w:sz w:val="21"/>
                <w:szCs w:val="21"/>
              </w:rPr>
            </w:pPr>
            <w:r w:rsidRPr="00A42D16">
              <w:rPr>
                <w:rFonts w:ascii="宋体" w:hAnsi="宋体" w:cs="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83A12" w:rsidRPr="00A42D16" w:rsidTr="00A42D16">
        <w:trPr>
          <w:trHeight w:val="23"/>
          <w:tblCellSpacing w:w="0" w:type="dxa"/>
          <w:jc w:val="center"/>
        </w:trPr>
        <w:tc>
          <w:tcPr>
            <w:tcW w:w="537" w:type="dxa"/>
            <w:noWrap/>
            <w:vAlign w:val="center"/>
          </w:tcPr>
          <w:p w:rsidR="00C83A12" w:rsidRPr="00A42D16" w:rsidRDefault="00A76134" w:rsidP="00A42D16">
            <w:pPr>
              <w:pStyle w:val="null3"/>
              <w:spacing w:line="380" w:lineRule="exact"/>
              <w:jc w:val="center"/>
              <w:rPr>
                <w:rFonts w:ascii="宋体" w:hAnsi="宋体" w:cs="宋体" w:hint="default"/>
                <w:sz w:val="21"/>
                <w:szCs w:val="21"/>
                <w:lang w:eastAsia="zh-CN"/>
              </w:rPr>
            </w:pPr>
            <w:r w:rsidRPr="00A42D16">
              <w:rPr>
                <w:rFonts w:ascii="宋体" w:hAnsi="宋体" w:cs="宋体"/>
                <w:sz w:val="21"/>
                <w:szCs w:val="21"/>
                <w:lang w:eastAsia="zh-CN"/>
              </w:rPr>
              <w:t>3</w:t>
            </w:r>
          </w:p>
        </w:tc>
        <w:tc>
          <w:tcPr>
            <w:tcW w:w="1800" w:type="dxa"/>
            <w:noWrap/>
            <w:vAlign w:val="center"/>
          </w:tcPr>
          <w:p w:rsidR="00C83A12" w:rsidRPr="00A42D16" w:rsidRDefault="00220D65" w:rsidP="00A42D16">
            <w:pPr>
              <w:pStyle w:val="null3"/>
              <w:spacing w:line="380" w:lineRule="exact"/>
              <w:jc w:val="center"/>
              <w:rPr>
                <w:rFonts w:ascii="宋体" w:hAnsi="宋体" w:cs="宋体" w:hint="default"/>
                <w:sz w:val="21"/>
                <w:szCs w:val="21"/>
              </w:rPr>
            </w:pPr>
            <w:r w:rsidRPr="00A42D16">
              <w:rPr>
                <w:rFonts w:ascii="宋体" w:hAnsi="宋体" w:cs="宋体"/>
                <w:sz w:val="21"/>
                <w:szCs w:val="21"/>
              </w:rPr>
              <w:t>具备履行合同所必需设备和专业技术能力的声明函</w:t>
            </w:r>
          </w:p>
        </w:tc>
        <w:tc>
          <w:tcPr>
            <w:tcW w:w="7403" w:type="dxa"/>
            <w:noWrap/>
            <w:vAlign w:val="center"/>
          </w:tcPr>
          <w:p w:rsidR="00C83A12" w:rsidRPr="00A42D16" w:rsidRDefault="00220D65" w:rsidP="00A42D16">
            <w:pPr>
              <w:pStyle w:val="null3"/>
              <w:spacing w:line="380" w:lineRule="exact"/>
              <w:rPr>
                <w:rFonts w:ascii="宋体" w:hAnsi="宋体" w:cs="宋体" w:hint="default"/>
                <w:sz w:val="21"/>
                <w:szCs w:val="21"/>
              </w:rPr>
            </w:pPr>
            <w:r w:rsidRPr="00A42D16">
              <w:rPr>
                <w:rFonts w:ascii="宋体" w:hAnsi="宋体" w:cs="宋体"/>
                <w:sz w:val="21"/>
                <w:szCs w:val="21"/>
              </w:rPr>
              <w:t>投标人提供具</w:t>
            </w:r>
            <w:bookmarkStart w:id="0" w:name="_GoBack"/>
            <w:bookmarkEnd w:id="0"/>
            <w:r w:rsidRPr="00A42D16">
              <w:rPr>
                <w:rFonts w:ascii="宋体" w:hAnsi="宋体" w:cs="宋体"/>
                <w:sz w:val="21"/>
                <w:szCs w:val="21"/>
              </w:rPr>
              <w:t>备履行合同所必需的设备和专业技术能力声明函。</w:t>
            </w:r>
          </w:p>
        </w:tc>
      </w:tr>
      <w:tr w:rsidR="00C83A12" w:rsidRPr="00A42D16" w:rsidTr="00A42D16">
        <w:trPr>
          <w:trHeight w:val="23"/>
          <w:tblCellSpacing w:w="0" w:type="dxa"/>
          <w:jc w:val="center"/>
        </w:trPr>
        <w:tc>
          <w:tcPr>
            <w:tcW w:w="537" w:type="dxa"/>
            <w:noWrap/>
            <w:vAlign w:val="center"/>
          </w:tcPr>
          <w:p w:rsidR="00C83A12" w:rsidRPr="00A42D16" w:rsidRDefault="00A76134" w:rsidP="00A42D16">
            <w:pPr>
              <w:pStyle w:val="null3"/>
              <w:spacing w:line="380" w:lineRule="exact"/>
              <w:jc w:val="center"/>
              <w:rPr>
                <w:rFonts w:ascii="宋体" w:hAnsi="宋体" w:cs="宋体" w:hint="default"/>
                <w:sz w:val="21"/>
                <w:szCs w:val="21"/>
                <w:lang w:eastAsia="zh-CN"/>
              </w:rPr>
            </w:pPr>
            <w:r w:rsidRPr="00A42D16">
              <w:rPr>
                <w:rFonts w:ascii="宋体" w:hAnsi="宋体" w:cs="宋体"/>
                <w:sz w:val="21"/>
                <w:szCs w:val="21"/>
                <w:lang w:eastAsia="zh-CN"/>
              </w:rPr>
              <w:t>4</w:t>
            </w:r>
          </w:p>
        </w:tc>
        <w:tc>
          <w:tcPr>
            <w:tcW w:w="1800" w:type="dxa"/>
            <w:noWrap/>
            <w:vAlign w:val="center"/>
          </w:tcPr>
          <w:p w:rsidR="00C83A12" w:rsidRPr="00A42D16" w:rsidRDefault="00220D65" w:rsidP="00A42D16">
            <w:pPr>
              <w:pStyle w:val="null3"/>
              <w:spacing w:line="380" w:lineRule="exact"/>
              <w:jc w:val="center"/>
              <w:rPr>
                <w:rFonts w:ascii="宋体" w:hAnsi="宋体" w:cs="宋体" w:hint="default"/>
                <w:sz w:val="21"/>
                <w:szCs w:val="21"/>
              </w:rPr>
            </w:pPr>
            <w:r w:rsidRPr="00A42D16">
              <w:rPr>
                <w:rFonts w:ascii="宋体" w:hAnsi="宋体" w:cs="宋体"/>
                <w:sz w:val="21"/>
                <w:szCs w:val="21"/>
              </w:rPr>
              <w:t>参加采购活动前三年内在经营活动中没有重大违法记录的声明</w:t>
            </w:r>
          </w:p>
        </w:tc>
        <w:tc>
          <w:tcPr>
            <w:tcW w:w="7403" w:type="dxa"/>
            <w:noWrap/>
            <w:vAlign w:val="center"/>
          </w:tcPr>
          <w:p w:rsidR="00C83A12" w:rsidRPr="00A42D16" w:rsidRDefault="00220D65" w:rsidP="00A42D16">
            <w:pPr>
              <w:pStyle w:val="null3"/>
              <w:spacing w:line="380" w:lineRule="exact"/>
              <w:rPr>
                <w:rFonts w:ascii="宋体" w:hAnsi="宋体" w:cs="宋体" w:hint="default"/>
                <w:sz w:val="21"/>
                <w:szCs w:val="21"/>
              </w:rPr>
            </w:pPr>
            <w:r w:rsidRPr="00A42D16">
              <w:rPr>
                <w:rFonts w:ascii="宋体" w:hAnsi="宋体" w:cs="宋体"/>
                <w:sz w:val="21"/>
                <w:szCs w:val="21"/>
              </w:rPr>
              <w:t>①重大违法记录：指投标人因违法经营受到刑事处罚或责令停产停业、吊销许可证或执照、较大数额罚款等行政处罚。根据财库〔</w:t>
            </w:r>
            <w:r w:rsidRPr="00A42D16">
              <w:rPr>
                <w:rFonts w:ascii="宋体" w:hAnsi="宋体" w:cs="宋体"/>
                <w:sz w:val="21"/>
                <w:szCs w:val="21"/>
              </w:rPr>
              <w:t>2022</w:t>
            </w:r>
            <w:r w:rsidRPr="00A42D16">
              <w:rPr>
                <w:rFonts w:ascii="宋体" w:hAnsi="宋体" w:cs="宋体"/>
                <w:sz w:val="21"/>
                <w:szCs w:val="21"/>
              </w:rPr>
              <w:t>〕</w:t>
            </w:r>
            <w:r w:rsidRPr="00A42D16">
              <w:rPr>
                <w:rFonts w:ascii="宋体" w:hAnsi="宋体" w:cs="宋体"/>
                <w:sz w:val="21"/>
                <w:szCs w:val="21"/>
              </w:rPr>
              <w:t>3</w:t>
            </w:r>
            <w:r w:rsidRPr="00A42D16">
              <w:rPr>
                <w:rFonts w:ascii="宋体" w:hAnsi="宋体" w:cs="宋体"/>
                <w:sz w:val="21"/>
                <w:szCs w:val="21"/>
              </w:rPr>
              <w:t>号文件的规定，“较大数额罚款”认定为</w:t>
            </w:r>
            <w:r w:rsidRPr="00A42D16">
              <w:rPr>
                <w:rFonts w:ascii="宋体" w:hAnsi="宋体" w:cs="宋体"/>
                <w:sz w:val="21"/>
                <w:szCs w:val="21"/>
              </w:rPr>
              <w:t>200</w:t>
            </w:r>
            <w:r w:rsidRPr="00A42D16">
              <w:rPr>
                <w:rFonts w:ascii="宋体" w:hAnsi="宋体" w:cs="宋体"/>
                <w:sz w:val="21"/>
                <w:szCs w:val="21"/>
              </w:rPr>
              <w:t>万元以上的罚款，法律、行政法规以及国务院有关部门明确规定相关领域“较大数额罚款”标准高于</w:t>
            </w:r>
            <w:r w:rsidRPr="00A42D16">
              <w:rPr>
                <w:rFonts w:ascii="宋体" w:hAnsi="宋体" w:cs="宋体"/>
                <w:sz w:val="21"/>
                <w:szCs w:val="21"/>
              </w:rPr>
              <w:t>200</w:t>
            </w:r>
            <w:r w:rsidRPr="00A42D16">
              <w:rPr>
                <w:rFonts w:ascii="宋体" w:hAnsi="宋体" w:cs="宋体"/>
                <w:sz w:val="21"/>
                <w:szCs w:val="21"/>
              </w:rPr>
              <w:t>万元的，从其规定。</w:t>
            </w:r>
          </w:p>
        </w:tc>
      </w:tr>
      <w:tr w:rsidR="00A42D16" w:rsidRPr="00A42D16" w:rsidTr="00A42D16">
        <w:trPr>
          <w:trHeight w:val="23"/>
          <w:tblCellSpacing w:w="0" w:type="dxa"/>
          <w:jc w:val="center"/>
        </w:trPr>
        <w:tc>
          <w:tcPr>
            <w:tcW w:w="537" w:type="dxa"/>
            <w:noWrap/>
            <w:vAlign w:val="center"/>
          </w:tcPr>
          <w:p w:rsidR="00A42D16" w:rsidRPr="00A42D16" w:rsidRDefault="00A42D16" w:rsidP="00A42D16">
            <w:pPr>
              <w:pStyle w:val="null3"/>
              <w:spacing w:line="380" w:lineRule="exact"/>
              <w:jc w:val="center"/>
              <w:rPr>
                <w:rFonts w:ascii="宋体" w:hAnsi="宋体" w:cs="宋体"/>
                <w:sz w:val="21"/>
                <w:szCs w:val="21"/>
                <w:lang w:eastAsia="zh-CN"/>
              </w:rPr>
            </w:pPr>
            <w:r>
              <w:rPr>
                <w:rFonts w:ascii="宋体" w:hAnsi="宋体" w:cs="宋体"/>
                <w:sz w:val="21"/>
                <w:szCs w:val="21"/>
                <w:lang w:eastAsia="zh-CN"/>
              </w:rPr>
              <w:t>5</w:t>
            </w:r>
          </w:p>
        </w:tc>
        <w:tc>
          <w:tcPr>
            <w:tcW w:w="1800" w:type="dxa"/>
            <w:noWrap/>
            <w:vAlign w:val="center"/>
          </w:tcPr>
          <w:p w:rsidR="00A42D16" w:rsidRPr="00A42D16" w:rsidRDefault="00A42D16" w:rsidP="00A42D16">
            <w:pPr>
              <w:pStyle w:val="null3"/>
              <w:spacing w:line="380" w:lineRule="exact"/>
              <w:jc w:val="center"/>
              <w:rPr>
                <w:rFonts w:ascii="宋体" w:hAnsi="宋体" w:cs="宋体"/>
                <w:sz w:val="21"/>
                <w:szCs w:val="21"/>
              </w:rPr>
            </w:pPr>
            <w:r w:rsidRPr="00A42D16">
              <w:rPr>
                <w:rFonts w:ascii="宋体" w:hAnsi="宋体" w:cs="宋体"/>
                <w:sz w:val="21"/>
                <w:szCs w:val="21"/>
              </w:rPr>
              <w:t>提交《不分包承诺函》</w:t>
            </w:r>
          </w:p>
        </w:tc>
        <w:tc>
          <w:tcPr>
            <w:tcW w:w="7403" w:type="dxa"/>
            <w:noWrap/>
            <w:vAlign w:val="center"/>
          </w:tcPr>
          <w:p w:rsidR="00A42D16" w:rsidRPr="00A42D16" w:rsidRDefault="00A42D16" w:rsidP="00A42D16">
            <w:pPr>
              <w:pStyle w:val="null3"/>
              <w:spacing w:line="380" w:lineRule="exact"/>
              <w:rPr>
                <w:rFonts w:ascii="宋体" w:hAnsi="宋体" w:cs="宋体"/>
                <w:sz w:val="21"/>
                <w:szCs w:val="21"/>
                <w:lang w:eastAsia="zh-CN"/>
              </w:rPr>
            </w:pPr>
            <w:r>
              <w:rPr>
                <w:rFonts w:ascii="宋体" w:hAnsi="宋体" w:cs="宋体"/>
                <w:sz w:val="21"/>
                <w:szCs w:val="21"/>
                <w:lang w:eastAsia="zh-CN"/>
              </w:rPr>
              <w:t>投标人明确</w:t>
            </w:r>
            <w:r w:rsidRPr="00A42D16">
              <w:rPr>
                <w:rFonts w:ascii="宋体" w:hAnsi="宋体" w:cs="宋体"/>
                <w:sz w:val="21"/>
                <w:szCs w:val="21"/>
              </w:rPr>
              <w:t>表述“我方承诺中标后不转包、不分包本项目，若违反承诺，采购人有权终止合同并追究法律责任”，并由法定代表人签字并加盖公章</w:t>
            </w:r>
            <w:r>
              <w:rPr>
                <w:rFonts w:ascii="宋体" w:hAnsi="宋体" w:cs="宋体"/>
                <w:sz w:val="21"/>
                <w:szCs w:val="21"/>
                <w:lang w:eastAsia="zh-CN"/>
              </w:rPr>
              <w:t>。</w:t>
            </w:r>
          </w:p>
        </w:tc>
      </w:tr>
    </w:tbl>
    <w:p w:rsidR="00C83A12" w:rsidRDefault="00A76134" w:rsidP="00A42D16">
      <w:pPr>
        <w:ind w:firstLineChars="0" w:firstLine="0"/>
        <w:outlineLvl w:val="0"/>
        <w:rPr>
          <w:rFonts w:ascii="黑体" w:eastAsia="黑体" w:hAnsi="黑体"/>
          <w:sz w:val="30"/>
          <w:szCs w:val="30"/>
        </w:rPr>
      </w:pPr>
      <w:r>
        <w:rPr>
          <w:rFonts w:ascii="黑体" w:eastAsia="黑体" w:hAnsi="黑体" w:hint="eastAsia"/>
          <w:sz w:val="30"/>
          <w:szCs w:val="30"/>
        </w:rPr>
        <w:t>二、</w:t>
      </w:r>
      <w:r w:rsidR="00220D65">
        <w:rPr>
          <w:rFonts w:ascii="黑体" w:eastAsia="黑体" w:hAnsi="黑体" w:hint="eastAsia"/>
          <w:sz w:val="30"/>
          <w:szCs w:val="30"/>
        </w:rPr>
        <w:t>项目服务内容：</w:t>
      </w:r>
    </w:p>
    <w:p w:rsidR="00C83A12" w:rsidRDefault="00A76134">
      <w:pPr>
        <w:ind w:firstLine="600"/>
        <w:outlineLvl w:val="0"/>
        <w:rPr>
          <w:rFonts w:ascii="黑体" w:eastAsia="黑体" w:hAnsi="黑体"/>
          <w:sz w:val="30"/>
          <w:szCs w:val="30"/>
        </w:rPr>
      </w:pPr>
      <w:r>
        <w:rPr>
          <w:rFonts w:ascii="黑体" w:eastAsia="黑体" w:hAnsi="黑体" w:hint="eastAsia"/>
          <w:sz w:val="30"/>
          <w:szCs w:val="30"/>
        </w:rPr>
        <w:t>1</w:t>
      </w:r>
      <w:r w:rsidR="00466474">
        <w:rPr>
          <w:rFonts w:ascii="黑体" w:eastAsia="黑体" w:hAnsi="黑体" w:hint="eastAsia"/>
          <w:sz w:val="30"/>
          <w:szCs w:val="30"/>
        </w:rPr>
        <w:t>.</w:t>
      </w:r>
      <w:r w:rsidR="00220D65">
        <w:rPr>
          <w:rFonts w:ascii="黑体" w:eastAsia="黑体" w:hAnsi="黑体" w:hint="eastAsia"/>
          <w:sz w:val="30"/>
          <w:szCs w:val="30"/>
        </w:rPr>
        <w:t>服务范围</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为浙江省免费避孕药具发放服务信息系统提供系统的技术服务，进行维护支持。</w:t>
      </w:r>
    </w:p>
    <w:p w:rsidR="00C83A12" w:rsidRDefault="00466474">
      <w:pPr>
        <w:ind w:firstLine="600"/>
        <w:outlineLvl w:val="0"/>
        <w:rPr>
          <w:rFonts w:ascii="黑体" w:eastAsia="黑体" w:hAnsi="黑体"/>
          <w:sz w:val="30"/>
          <w:szCs w:val="30"/>
        </w:rPr>
      </w:pPr>
      <w:r>
        <w:rPr>
          <w:rFonts w:ascii="黑体" w:eastAsia="黑体" w:hAnsi="黑体" w:hint="eastAsia"/>
          <w:sz w:val="30"/>
          <w:szCs w:val="30"/>
        </w:rPr>
        <w:t>2.</w:t>
      </w:r>
      <w:r w:rsidR="00220D65">
        <w:rPr>
          <w:rFonts w:ascii="黑体" w:eastAsia="黑体" w:hAnsi="黑体" w:hint="eastAsia"/>
          <w:sz w:val="30"/>
          <w:szCs w:val="30"/>
        </w:rPr>
        <w:t>服务内容</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平台的年度运维服务内容主要包含以下五方面：</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lastRenderedPageBreak/>
        <w:t>（一）平台技术运维支撑</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）系统数据维护：由于各种原因造成的数据丢失、紊乱；</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）运行故障排除：包括由于病毒及用户人为因素导致的各类系统错误；</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）软件版本更新：同版本基础上、增强易用性、提高性能等操作；</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4</w:t>
      </w:r>
      <w:r>
        <w:rPr>
          <w:rFonts w:ascii="仿宋_GB2312" w:eastAsia="仿宋_GB2312" w:hAnsi="宋体" w:hint="eastAsia"/>
          <w:sz w:val="30"/>
          <w:szCs w:val="30"/>
        </w:rPr>
        <w:t>）系统</w:t>
      </w:r>
      <w:r>
        <w:rPr>
          <w:rFonts w:ascii="仿宋_GB2312" w:eastAsia="仿宋_GB2312" w:hAnsi="宋体" w:hint="eastAsia"/>
          <w:sz w:val="30"/>
          <w:szCs w:val="30"/>
        </w:rPr>
        <w:t>bug</w:t>
      </w:r>
      <w:r>
        <w:rPr>
          <w:rFonts w:ascii="仿宋_GB2312" w:eastAsia="仿宋_GB2312" w:hAnsi="宋体" w:hint="eastAsia"/>
          <w:sz w:val="30"/>
          <w:szCs w:val="30"/>
        </w:rPr>
        <w:t>修改维护；</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）接口数据运维：定期查看本系统与国家级系统、各发放机厂家系统及发放机直连接口的数据传输状态、传输日志分析及故障诊断；</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6</w:t>
      </w:r>
      <w:r>
        <w:rPr>
          <w:rFonts w:ascii="仿宋_GB2312" w:eastAsia="仿宋_GB2312" w:hAnsi="宋体" w:hint="eastAsia"/>
          <w:sz w:val="30"/>
          <w:szCs w:val="30"/>
        </w:rPr>
        <w:t>）定期系统健康巡检（主机与数据库配置；操作系统中文件系统使用状况、操作系统中系统性能分析；数据库可用性、数据库日志文件的状态、控制文件状态、表空间使用状况、数据库备份状况、数据库读写状况及临时文件的状况等）；</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7</w:t>
      </w:r>
      <w:r>
        <w:rPr>
          <w:rFonts w:ascii="仿宋_GB2312" w:eastAsia="仿宋_GB2312" w:hAnsi="宋体" w:hint="eastAsia"/>
          <w:sz w:val="30"/>
          <w:szCs w:val="30"/>
        </w:rPr>
        <w:t>）应急保障：针对大型活动</w:t>
      </w:r>
      <w:r>
        <w:rPr>
          <w:rFonts w:ascii="仿宋_GB2312" w:eastAsia="仿宋_GB2312" w:hAnsi="宋体" w:hint="eastAsia"/>
          <w:sz w:val="30"/>
          <w:szCs w:val="30"/>
        </w:rPr>
        <w:t>、节假日等进行应急保障，提前制定应急预案；</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8</w:t>
      </w:r>
      <w:r>
        <w:rPr>
          <w:rFonts w:ascii="仿宋_GB2312" w:eastAsia="仿宋_GB2312" w:hAnsi="宋体" w:hint="eastAsia"/>
          <w:sz w:val="30"/>
          <w:szCs w:val="30"/>
        </w:rPr>
        <w:t>）系统运维报告：每月提交一份系统运维服务清单、总结报告及建议性方案。</w:t>
      </w:r>
    </w:p>
    <w:p w:rsidR="00C83A12" w:rsidRDefault="00220D65">
      <w:pPr>
        <w:ind w:firstLine="600"/>
        <w:rPr>
          <w:rFonts w:ascii="仿宋_GB2312" w:eastAsia="仿宋_GB2312" w:hAnsi="宋体"/>
          <w:sz w:val="30"/>
          <w:szCs w:val="30"/>
        </w:rPr>
      </w:pPr>
      <w:r>
        <w:rPr>
          <w:rFonts w:ascii="仿宋_GB2312" w:eastAsia="仿宋_GB2312" w:hAnsi="宋体"/>
          <w:sz w:val="30"/>
          <w:szCs w:val="30"/>
        </w:rPr>
        <w:t>9</w:t>
      </w:r>
      <w:r>
        <w:rPr>
          <w:rFonts w:ascii="仿宋_GB2312" w:eastAsia="仿宋_GB2312" w:hAnsi="宋体" w:hint="eastAsia"/>
          <w:sz w:val="30"/>
          <w:szCs w:val="30"/>
        </w:rPr>
        <w:t>）各厂家发放机对接：指导各发放机厂商通过标准接口实现发放机设备、领取数据与本系统的对接，实现多厂家发放机集中管理。</w:t>
      </w:r>
    </w:p>
    <w:p w:rsidR="00C83A12" w:rsidRDefault="00220D65">
      <w:pPr>
        <w:ind w:firstLine="600"/>
        <w:rPr>
          <w:rFonts w:ascii="仿宋_GB2312" w:eastAsia="仿宋_GB2312" w:hAnsi="宋体"/>
          <w:sz w:val="30"/>
          <w:szCs w:val="30"/>
        </w:rPr>
      </w:pPr>
      <w:r>
        <w:rPr>
          <w:rFonts w:ascii="仿宋_GB2312" w:eastAsia="仿宋_GB2312" w:hAnsi="宋体"/>
          <w:sz w:val="30"/>
          <w:szCs w:val="30"/>
        </w:rPr>
        <w:t>10</w:t>
      </w:r>
      <w:r>
        <w:rPr>
          <w:rFonts w:ascii="仿宋_GB2312" w:eastAsia="仿宋_GB2312" w:hAnsi="宋体" w:hint="eastAsia"/>
          <w:sz w:val="30"/>
          <w:szCs w:val="30"/>
        </w:rPr>
        <w:t>）人员保障及响应时间：采用</w:t>
      </w:r>
      <w:r>
        <w:rPr>
          <w:rFonts w:ascii="仿宋_GB2312" w:eastAsia="仿宋_GB2312" w:hAnsi="宋体" w:hint="eastAsia"/>
          <w:sz w:val="30"/>
          <w:szCs w:val="30"/>
        </w:rPr>
        <w:t>AB</w:t>
      </w:r>
      <w:r>
        <w:rPr>
          <w:rFonts w:ascii="仿宋_GB2312" w:eastAsia="仿宋_GB2312" w:hAnsi="宋体" w:hint="eastAsia"/>
          <w:sz w:val="30"/>
          <w:szCs w:val="30"/>
        </w:rPr>
        <w:t>岗工作制，常规情况下，</w:t>
      </w:r>
      <w:r>
        <w:rPr>
          <w:rFonts w:ascii="仿宋_GB2312" w:eastAsia="仿宋_GB2312" w:hAnsi="宋体" w:hint="eastAsia"/>
          <w:sz w:val="30"/>
          <w:szCs w:val="30"/>
        </w:rPr>
        <w:lastRenderedPageBreak/>
        <w:t>安排两人开展系统运维工作；同时，在必要的时候可借助北京民安信科技发展有限公司的其他技术人员作为保障。</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（二）平台使用指导服务支撑</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、面向各级药具管理工作的培训指导服务</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主要服务内容包含：负责定期组织指导各级用户正确使用系统的各项功能；负责解答用户在通过信息化开展药具工作中遇到的各项疑问；负责采集全省各级用户对于系统的使用反馈。</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）设置专门的客服支撑电话，并配置至少</w:t>
      </w:r>
      <w:r>
        <w:rPr>
          <w:rFonts w:ascii="仿宋_GB2312" w:eastAsia="仿宋_GB2312" w:hAnsi="宋体" w:hint="eastAsia"/>
          <w:sz w:val="30"/>
          <w:szCs w:val="30"/>
        </w:rPr>
        <w:t>1</w:t>
      </w:r>
      <w:r>
        <w:rPr>
          <w:rFonts w:ascii="仿宋_GB2312" w:eastAsia="仿宋_GB2312" w:hAnsi="宋体" w:hint="eastAsia"/>
          <w:sz w:val="30"/>
          <w:szCs w:val="30"/>
        </w:rPr>
        <w:t>名坐席负责客服电话的接听、问题解答；</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）设置专门的客服支撑邮箱，接收各级用户邮件反馈并进行及时回复解答；</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）为每个区构建了专属的微信答疑群，群内组织专职客服人员辅导使用和疑问解答，每日发布“每日一学”操作指引；</w:t>
      </w:r>
    </w:p>
    <w:p w:rsidR="00C83A12" w:rsidRDefault="00220D65">
      <w:pPr>
        <w:spacing w:line="240" w:lineRule="auto"/>
        <w:ind w:firstLine="600"/>
        <w:rPr>
          <w:rFonts w:ascii="仿宋_GB2312" w:eastAsia="仿宋_GB2312" w:hAnsi="宋体"/>
          <w:sz w:val="30"/>
          <w:szCs w:val="30"/>
        </w:rPr>
      </w:pPr>
      <w:r>
        <w:rPr>
          <w:rFonts w:ascii="仿宋_GB2312" w:eastAsia="仿宋_GB2312" w:hAnsi="宋体" w:hint="eastAsia"/>
          <w:sz w:val="30"/>
          <w:szCs w:val="30"/>
        </w:rPr>
        <w:t>4</w:t>
      </w:r>
      <w:r>
        <w:rPr>
          <w:rFonts w:ascii="仿宋_GB2312" w:eastAsia="仿宋_GB2312" w:hAnsi="宋体" w:hint="eastAsia"/>
          <w:sz w:val="30"/>
          <w:szCs w:val="30"/>
        </w:rPr>
        <w:t>）构建系统使用教程库，并依据日常使用反馈不断丰富常见问题知识库，各级用户可通过本知识库进行系</w:t>
      </w:r>
      <w:r>
        <w:rPr>
          <w:rFonts w:ascii="仿宋_GB2312" w:eastAsia="仿宋_GB2312" w:hAnsi="宋体" w:hint="eastAsia"/>
          <w:sz w:val="30"/>
          <w:szCs w:val="30"/>
        </w:rPr>
        <w:t>统使用方法的学习及常见问题在线查找</w:t>
      </w:r>
      <w:r>
        <w:rPr>
          <w:rFonts w:ascii="仿宋_GB2312" w:eastAsia="仿宋_GB2312" w:hAnsi="宋体" w:hint="eastAsia"/>
          <w:sz w:val="30"/>
          <w:szCs w:val="30"/>
        </w:rPr>
        <w:t>；</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hint="eastAsia"/>
          <w:sz w:val="30"/>
          <w:szCs w:val="30"/>
        </w:rPr>
        <w:t>）依据各级药具管理员的问题需求，通过远程视频解决疑问</w:t>
      </w:r>
      <w:r>
        <w:rPr>
          <w:rFonts w:ascii="仿宋_GB2312" w:eastAsia="仿宋_GB2312" w:hAnsi="宋体" w:hint="eastAsia"/>
          <w:sz w:val="30"/>
          <w:szCs w:val="30"/>
        </w:rPr>
        <w:t>+</w:t>
      </w:r>
      <w:r>
        <w:rPr>
          <w:rFonts w:ascii="仿宋_GB2312" w:eastAsia="仿宋_GB2312" w:hAnsi="宋体" w:hint="eastAsia"/>
          <w:sz w:val="30"/>
          <w:szCs w:val="30"/>
        </w:rPr>
        <w:t>问题实操。</w:t>
      </w:r>
    </w:p>
    <w:p w:rsidR="00C83A12" w:rsidRDefault="00220D65">
      <w:pPr>
        <w:ind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）每季度组织不少于一次的全省线上培训，通过远程会议组织系统及业务培训指导会，培训会通过“</w:t>
      </w:r>
      <w:r>
        <w:rPr>
          <w:rFonts w:ascii="仿宋_GB2312" w:eastAsia="仿宋_GB2312" w:hAnsi="宋体" w:hint="eastAsia"/>
          <w:sz w:val="30"/>
          <w:szCs w:val="30"/>
        </w:rPr>
        <w:t>PPT</w:t>
      </w:r>
      <w:r>
        <w:rPr>
          <w:rFonts w:ascii="仿宋_GB2312" w:eastAsia="仿宋_GB2312" w:hAnsi="宋体" w:hint="eastAsia"/>
          <w:sz w:val="30"/>
          <w:szCs w:val="30"/>
        </w:rPr>
        <w:t>讲解</w:t>
      </w:r>
      <w:r>
        <w:rPr>
          <w:rFonts w:ascii="仿宋_GB2312" w:eastAsia="仿宋_GB2312" w:hAnsi="宋体" w:hint="eastAsia"/>
          <w:sz w:val="30"/>
          <w:szCs w:val="30"/>
        </w:rPr>
        <w:t>+</w:t>
      </w:r>
      <w:r>
        <w:rPr>
          <w:rFonts w:ascii="仿宋_GB2312" w:eastAsia="仿宋_GB2312" w:hAnsi="宋体" w:hint="eastAsia"/>
          <w:sz w:val="30"/>
          <w:szCs w:val="30"/>
        </w:rPr>
        <w:t>系统实操演示</w:t>
      </w:r>
      <w:r>
        <w:rPr>
          <w:rFonts w:ascii="仿宋_GB2312" w:eastAsia="仿宋_GB2312" w:hAnsi="宋体" w:hint="eastAsia"/>
          <w:sz w:val="30"/>
          <w:szCs w:val="30"/>
        </w:rPr>
        <w:t>+</w:t>
      </w:r>
      <w:r>
        <w:rPr>
          <w:rFonts w:ascii="仿宋_GB2312" w:eastAsia="仿宋_GB2312" w:hAnsi="宋体" w:hint="eastAsia"/>
          <w:sz w:val="30"/>
          <w:szCs w:val="30"/>
        </w:rPr>
        <w:t>疑问解答”相结合方式开展。</w:t>
      </w:r>
    </w:p>
    <w:p w:rsidR="00C83A12" w:rsidRDefault="00220D65">
      <w:pPr>
        <w:ind w:firstLine="600"/>
        <w:rPr>
          <w:rFonts w:ascii="仿宋_GB2312" w:eastAsia="仿宋_GB2312" w:hAnsi="宋体"/>
          <w:sz w:val="30"/>
          <w:szCs w:val="30"/>
        </w:rPr>
      </w:pPr>
      <w:r>
        <w:rPr>
          <w:rFonts w:ascii="仿宋_GB2312" w:eastAsia="仿宋_GB2312" w:hAnsi="宋体"/>
          <w:sz w:val="30"/>
          <w:szCs w:val="30"/>
        </w:rPr>
        <w:t>7</w:t>
      </w:r>
      <w:r>
        <w:rPr>
          <w:rFonts w:ascii="仿宋_GB2312" w:eastAsia="仿宋_GB2312" w:hAnsi="宋体" w:hint="eastAsia"/>
          <w:sz w:val="30"/>
          <w:szCs w:val="30"/>
        </w:rPr>
        <w:t>）每季度组织一次全省地市、区县系统巡检，通过实地到</w:t>
      </w:r>
      <w:r>
        <w:rPr>
          <w:rFonts w:ascii="仿宋_GB2312" w:eastAsia="仿宋_GB2312" w:hAnsi="宋体" w:hint="eastAsia"/>
          <w:sz w:val="30"/>
          <w:szCs w:val="30"/>
        </w:rPr>
        <w:lastRenderedPageBreak/>
        <w:t>各药具站，实地解决日常问题。</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、面向育龄群众的运营服务</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主要服务内容包含：负责群众下单后部分用户的电话接听、疑问解答；错误订单的处理；在系统网页端</w:t>
      </w:r>
      <w:r>
        <w:rPr>
          <w:rFonts w:ascii="仿宋_GB2312" w:eastAsia="仿宋_GB2312" w:hAnsi="宋体" w:hint="eastAsia"/>
          <w:sz w:val="30"/>
          <w:szCs w:val="30"/>
        </w:rPr>
        <w:t>/</w:t>
      </w:r>
      <w:r>
        <w:rPr>
          <w:rFonts w:ascii="仿宋_GB2312" w:eastAsia="仿宋_GB2312" w:hAnsi="宋体" w:hint="eastAsia"/>
          <w:sz w:val="30"/>
          <w:szCs w:val="30"/>
        </w:rPr>
        <w:t>手机端不定期发布科普资讯知识。</w:t>
      </w:r>
    </w:p>
    <w:p w:rsidR="00C83A12" w:rsidRDefault="00220D65">
      <w:pPr>
        <w:ind w:firstLine="600"/>
        <w:rPr>
          <w:rFonts w:ascii="仿宋_GB2312" w:eastAsia="仿宋_GB2312" w:hAnsi="宋体"/>
          <w:b/>
          <w:sz w:val="30"/>
          <w:szCs w:val="30"/>
        </w:rPr>
      </w:pPr>
      <w:r>
        <w:rPr>
          <w:rFonts w:ascii="仿宋_GB2312" w:eastAsia="仿宋_GB2312" w:hAnsi="宋体" w:hint="eastAsia"/>
          <w:sz w:val="30"/>
          <w:szCs w:val="30"/>
        </w:rPr>
        <w:t>（三）</w:t>
      </w:r>
      <w:r>
        <w:rPr>
          <w:rFonts w:ascii="仿宋_GB2312" w:eastAsia="仿宋_GB2312" w:hAnsi="宋体" w:hint="eastAsia"/>
          <w:sz w:val="30"/>
          <w:szCs w:val="30"/>
        </w:rPr>
        <w:t xml:space="preserve"> </w:t>
      </w:r>
      <w:r>
        <w:rPr>
          <w:rFonts w:ascii="仿宋_GB2312" w:eastAsia="仿宋_GB2312" w:hAnsi="宋体" w:hint="eastAsia"/>
          <w:sz w:val="30"/>
          <w:szCs w:val="30"/>
        </w:rPr>
        <w:t>平台安全防护运维</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需对平台提供持续的安全防护运维服务，包含数据备份定期检查；严格防止业务敏感数据的泄露、损毁、篡改、丢失，严格防止公民个人信息的泄露和窃取；定期进行系统漏洞扫描及更新补丁；系统等保测评过程中提出的应用系统本身所需整改项的修改；硬件环境运行监控（对主机、存储设备的运行状态、使用量情况进行监控日志分析，并实现预警提醒）及云安全中心的其他安全漏洞修复，多维度保障平台信息的安全。</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（四）科普宣传</w:t>
      </w:r>
      <w:r>
        <w:rPr>
          <w:rFonts w:ascii="仿宋_GB2312" w:eastAsia="仿宋_GB2312" w:hAnsi="宋体" w:hint="eastAsia"/>
          <w:sz w:val="30"/>
          <w:szCs w:val="30"/>
        </w:rPr>
        <w:t>&amp;</w:t>
      </w:r>
      <w:r>
        <w:rPr>
          <w:rFonts w:ascii="仿宋_GB2312" w:eastAsia="仿宋_GB2312" w:hAnsi="宋体" w:hint="eastAsia"/>
          <w:sz w:val="30"/>
          <w:szCs w:val="30"/>
        </w:rPr>
        <w:t>系统推广服务</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针对本系统在省内育龄群众的渗透推广，配置专门的活动运营人员，基于“浙江妇幼中心”微信公众号开展推广活动，既提</w:t>
      </w:r>
      <w:r>
        <w:rPr>
          <w:rFonts w:ascii="仿宋_GB2312" w:eastAsia="仿宋_GB2312" w:hAnsi="宋体" w:hint="eastAsia"/>
          <w:sz w:val="30"/>
          <w:szCs w:val="30"/>
        </w:rPr>
        <w:t>升了公众号的关注量，又提升育龄群众的知晓率，让更多育龄群众知晓并享受到国家免费提供避孕药具服务，年度内组织一场为期一周的避孕健康知识竞赛活动，以此进行系统及服务的推广宣传。</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（五）平台运行配套支撑服务</w:t>
      </w:r>
    </w:p>
    <w:p w:rsidR="00C83A12" w:rsidRDefault="00220D65">
      <w:pPr>
        <w:ind w:firstLine="600"/>
        <w:rPr>
          <w:rFonts w:ascii="仿宋_GB2312" w:eastAsia="仿宋_GB2312" w:hAnsi="宋体"/>
          <w:sz w:val="30"/>
          <w:szCs w:val="30"/>
        </w:rPr>
      </w:pPr>
      <w:r>
        <w:rPr>
          <w:rFonts w:ascii="仿宋_GB2312" w:eastAsia="仿宋_GB2312" w:hAnsi="宋体" w:hint="eastAsia"/>
          <w:sz w:val="30"/>
          <w:szCs w:val="30"/>
        </w:rPr>
        <w:t>提供平台运行所需配套支撑服务：短信验证服务（主要应用</w:t>
      </w:r>
      <w:r>
        <w:rPr>
          <w:rFonts w:ascii="仿宋_GB2312" w:eastAsia="仿宋_GB2312" w:hAnsi="宋体" w:hint="eastAsia"/>
          <w:sz w:val="30"/>
          <w:szCs w:val="30"/>
        </w:rPr>
        <w:lastRenderedPageBreak/>
        <w:t>于群众注册验证、用户找回密码短信验证、用户登录安全验证等环节）。</w:t>
      </w:r>
    </w:p>
    <w:p w:rsidR="00A76134" w:rsidRDefault="00F006B9" w:rsidP="00A42D16">
      <w:pPr>
        <w:ind w:firstLineChars="66" w:firstLine="198"/>
        <w:outlineLvl w:val="0"/>
        <w:rPr>
          <w:rFonts w:ascii="黑体" w:eastAsia="黑体" w:hAnsi="黑体" w:hint="eastAsia"/>
          <w:sz w:val="30"/>
          <w:szCs w:val="30"/>
        </w:rPr>
      </w:pPr>
      <w:r>
        <w:rPr>
          <w:rFonts w:ascii="黑体" w:eastAsia="黑体" w:hAnsi="黑体" w:hint="eastAsia"/>
          <w:sz w:val="30"/>
          <w:szCs w:val="30"/>
        </w:rPr>
        <w:t>三</w:t>
      </w:r>
      <w:r w:rsidR="00A76134">
        <w:rPr>
          <w:rFonts w:ascii="黑体" w:eastAsia="黑体" w:hAnsi="黑体" w:hint="eastAsia"/>
          <w:sz w:val="30"/>
          <w:szCs w:val="30"/>
        </w:rPr>
        <w:t>、</w:t>
      </w:r>
      <w:r w:rsidR="00606D76">
        <w:rPr>
          <w:rFonts w:ascii="黑体" w:eastAsia="黑体" w:hAnsi="黑体" w:hint="eastAsia"/>
          <w:sz w:val="30"/>
          <w:szCs w:val="30"/>
        </w:rPr>
        <w:t>其它</w:t>
      </w:r>
      <w:r w:rsidR="00A76134">
        <w:rPr>
          <w:rFonts w:ascii="黑体" w:eastAsia="黑体" w:hAnsi="黑体" w:hint="eastAsia"/>
          <w:sz w:val="30"/>
          <w:szCs w:val="30"/>
        </w:rPr>
        <w:t>：</w:t>
      </w:r>
    </w:p>
    <w:p w:rsidR="00A76134" w:rsidRPr="00466474" w:rsidRDefault="00466474" w:rsidP="00606D76">
      <w:pPr>
        <w:pStyle w:val="Default"/>
        <w:ind w:left="1080" w:hangingChars="450" w:hanging="1080"/>
        <w:rPr>
          <w:rFonts w:ascii="仿宋_GB2312" w:eastAsia="仿宋_GB2312" w:hAnsi="宋体"/>
          <w:sz w:val="30"/>
          <w:szCs w:val="30"/>
        </w:rPr>
      </w:pPr>
      <w:r>
        <w:rPr>
          <w:rFonts w:hint="eastAsia"/>
        </w:rPr>
        <w:t xml:space="preserve">    </w:t>
      </w:r>
      <w:r>
        <w:rPr>
          <w:rFonts w:ascii="仿宋_GB2312" w:eastAsia="仿宋_GB2312" w:hAnsi="宋体" w:hint="eastAsia"/>
          <w:color w:val="auto"/>
          <w:kern w:val="2"/>
          <w:sz w:val="30"/>
          <w:szCs w:val="30"/>
        </w:rPr>
        <w:t xml:space="preserve"> </w:t>
      </w:r>
      <w:r w:rsidR="00606D76">
        <w:rPr>
          <w:rFonts w:ascii="仿宋_GB2312" w:eastAsia="仿宋_GB2312" w:hAnsi="宋体" w:hint="eastAsia"/>
          <w:sz w:val="30"/>
          <w:szCs w:val="30"/>
        </w:rPr>
        <w:t>1</w:t>
      </w:r>
      <w:r>
        <w:rPr>
          <w:rFonts w:ascii="仿宋_GB2312" w:eastAsia="仿宋_GB2312" w:hAnsi="宋体" w:hint="eastAsia"/>
          <w:sz w:val="30"/>
          <w:szCs w:val="30"/>
        </w:rPr>
        <w:t>.</w:t>
      </w:r>
      <w:r w:rsidR="00A76134" w:rsidRPr="00466474">
        <w:rPr>
          <w:rFonts w:ascii="仿宋_GB2312" w:eastAsia="仿宋_GB2312" w:hAnsi="宋体" w:hint="eastAsia"/>
          <w:sz w:val="30"/>
          <w:szCs w:val="30"/>
        </w:rPr>
        <w:t>运维时间：</w:t>
      </w:r>
      <w:r w:rsidR="00A76134" w:rsidRPr="00466474">
        <w:rPr>
          <w:rFonts w:ascii="仿宋_GB2312" w:eastAsia="仿宋_GB2312" w:hAnsi="宋体"/>
          <w:sz w:val="30"/>
          <w:szCs w:val="30"/>
        </w:rPr>
        <w:t>202</w:t>
      </w:r>
      <w:r w:rsidR="00A76134" w:rsidRPr="00466474">
        <w:rPr>
          <w:rFonts w:ascii="仿宋_GB2312" w:eastAsia="仿宋_GB2312" w:hAnsi="宋体" w:hint="eastAsia"/>
          <w:sz w:val="30"/>
          <w:szCs w:val="30"/>
        </w:rPr>
        <w:t>5年3月17日至2</w:t>
      </w:r>
      <w:r w:rsidR="00A76134" w:rsidRPr="00466474">
        <w:rPr>
          <w:rFonts w:ascii="仿宋_GB2312" w:eastAsia="仿宋_GB2312" w:hAnsi="宋体"/>
          <w:sz w:val="30"/>
          <w:szCs w:val="30"/>
        </w:rPr>
        <w:t>0</w:t>
      </w:r>
      <w:r w:rsidR="00A76134" w:rsidRPr="00466474">
        <w:rPr>
          <w:rFonts w:ascii="仿宋_GB2312" w:eastAsia="仿宋_GB2312" w:hAnsi="宋体" w:hint="eastAsia"/>
          <w:sz w:val="30"/>
          <w:szCs w:val="30"/>
        </w:rPr>
        <w:t>26年3月16日止。</w:t>
      </w:r>
    </w:p>
    <w:p w:rsidR="00A76134" w:rsidRPr="00466474" w:rsidRDefault="00606D76" w:rsidP="00466474">
      <w:pPr>
        <w:spacing w:line="400" w:lineRule="exact"/>
        <w:ind w:firstLine="600"/>
        <w:rPr>
          <w:rFonts w:ascii="仿宋_GB2312" w:eastAsia="仿宋_GB2312" w:hAnsi="宋体"/>
          <w:sz w:val="30"/>
          <w:szCs w:val="30"/>
        </w:rPr>
      </w:pPr>
      <w:r>
        <w:rPr>
          <w:rFonts w:ascii="仿宋_GB2312" w:eastAsia="仿宋_GB2312" w:hAnsi="宋体" w:hint="eastAsia"/>
          <w:sz w:val="30"/>
          <w:szCs w:val="30"/>
        </w:rPr>
        <w:t>2</w:t>
      </w:r>
      <w:r w:rsidR="00466474">
        <w:rPr>
          <w:rFonts w:ascii="仿宋_GB2312" w:eastAsia="仿宋_GB2312" w:hAnsi="宋体" w:hint="eastAsia"/>
          <w:sz w:val="30"/>
          <w:szCs w:val="30"/>
        </w:rPr>
        <w:t>.</w:t>
      </w:r>
      <w:r w:rsidR="00A76134" w:rsidRPr="00466474">
        <w:rPr>
          <w:rFonts w:ascii="仿宋_GB2312" w:eastAsia="仿宋_GB2312" w:hAnsi="宋体" w:hint="eastAsia"/>
          <w:sz w:val="30"/>
          <w:szCs w:val="30"/>
        </w:rPr>
        <w:t>合同签订：中标通知书发出后10个工作日内无故不签订合同的，采购人有权在其他有效投标单位内确定中标供应商。</w:t>
      </w:r>
    </w:p>
    <w:p w:rsidR="00A76134" w:rsidRPr="00466474" w:rsidRDefault="00606D76" w:rsidP="00466474">
      <w:pPr>
        <w:autoSpaceDE w:val="0"/>
        <w:autoSpaceDN w:val="0"/>
        <w:adjustRightInd w:val="0"/>
        <w:spacing w:line="400" w:lineRule="exact"/>
        <w:ind w:firstLine="600"/>
        <w:rPr>
          <w:rFonts w:ascii="仿宋_GB2312" w:eastAsia="仿宋_GB2312" w:hAnsi="宋体"/>
          <w:sz w:val="30"/>
          <w:szCs w:val="30"/>
        </w:rPr>
      </w:pPr>
      <w:r>
        <w:rPr>
          <w:rFonts w:ascii="仿宋_GB2312" w:eastAsia="仿宋_GB2312" w:hAnsi="宋体" w:hint="eastAsia"/>
          <w:sz w:val="30"/>
          <w:szCs w:val="30"/>
        </w:rPr>
        <w:t>3</w:t>
      </w:r>
      <w:r w:rsidR="00AA5BA1">
        <w:rPr>
          <w:rFonts w:ascii="仿宋_GB2312" w:eastAsia="仿宋_GB2312" w:hAnsi="宋体" w:hint="eastAsia"/>
          <w:sz w:val="30"/>
          <w:szCs w:val="30"/>
        </w:rPr>
        <w:t>.</w:t>
      </w:r>
      <w:r w:rsidR="00A76134" w:rsidRPr="00466474">
        <w:rPr>
          <w:rFonts w:ascii="仿宋_GB2312" w:eastAsia="仿宋_GB2312" w:hAnsi="宋体" w:hint="eastAsia"/>
          <w:sz w:val="30"/>
          <w:szCs w:val="30"/>
        </w:rPr>
        <w:t>付款方式：合同签订后支付合同价的</w:t>
      </w:r>
      <w:r w:rsidR="00A76134" w:rsidRPr="00466474">
        <w:rPr>
          <w:rFonts w:ascii="仿宋_GB2312" w:eastAsia="仿宋_GB2312" w:hAnsi="宋体"/>
          <w:sz w:val="30"/>
          <w:szCs w:val="30"/>
        </w:rPr>
        <w:t>50</w:t>
      </w:r>
      <w:r w:rsidR="00A76134" w:rsidRPr="00466474">
        <w:rPr>
          <w:rFonts w:ascii="仿宋_GB2312" w:eastAsia="仿宋_GB2312" w:hAnsi="宋体" w:hint="eastAsia"/>
          <w:sz w:val="30"/>
          <w:szCs w:val="30"/>
        </w:rPr>
        <w:t>%，运维服务期中期支付合同的45%，运维服务期满后支付5%，中标人应提供正式税务发票。</w:t>
      </w:r>
    </w:p>
    <w:p w:rsidR="00C83A12" w:rsidRPr="00466474" w:rsidRDefault="00C83A12" w:rsidP="00466474">
      <w:pPr>
        <w:ind w:firstLine="600"/>
        <w:rPr>
          <w:rFonts w:ascii="仿宋_GB2312" w:eastAsia="仿宋_GB2312" w:hAnsi="宋体" w:hint="eastAsia"/>
          <w:sz w:val="30"/>
          <w:szCs w:val="30"/>
        </w:rPr>
      </w:pPr>
    </w:p>
    <w:sectPr w:rsidR="00C83A12" w:rsidRPr="00466474" w:rsidSect="00C83A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65" w:rsidRDefault="00220D65">
      <w:pPr>
        <w:spacing w:line="240" w:lineRule="auto"/>
        <w:ind w:firstLine="480"/>
      </w:pPr>
      <w:r>
        <w:separator/>
      </w:r>
    </w:p>
  </w:endnote>
  <w:endnote w:type="continuationSeparator" w:id="1">
    <w:p w:rsidR="00220D65" w:rsidRDefault="00220D6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34" w:rsidRDefault="00A76134" w:rsidP="00A7613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34" w:rsidRDefault="00A76134" w:rsidP="00A7613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34" w:rsidRDefault="00A76134" w:rsidP="00A7613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65" w:rsidRDefault="00220D65">
      <w:pPr>
        <w:ind w:firstLine="480"/>
      </w:pPr>
      <w:r>
        <w:separator/>
      </w:r>
    </w:p>
  </w:footnote>
  <w:footnote w:type="continuationSeparator" w:id="1">
    <w:p w:rsidR="00220D65" w:rsidRDefault="00220D65">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34" w:rsidRDefault="00A76134" w:rsidP="00A7613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34" w:rsidRDefault="00A76134" w:rsidP="00A7613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34" w:rsidRDefault="00A76134" w:rsidP="00A76134">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190B60"/>
    <w:rsid w:val="00220D65"/>
    <w:rsid w:val="002E29CD"/>
    <w:rsid w:val="00466474"/>
    <w:rsid w:val="00606D76"/>
    <w:rsid w:val="006967E6"/>
    <w:rsid w:val="00A42D16"/>
    <w:rsid w:val="00A76134"/>
    <w:rsid w:val="00AA5BA1"/>
    <w:rsid w:val="00C83A12"/>
    <w:rsid w:val="00F006B9"/>
    <w:rsid w:val="4DB20386"/>
    <w:rsid w:val="65190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83A12"/>
    <w:pPr>
      <w:widowControl w:val="0"/>
      <w:spacing w:line="360" w:lineRule="auto"/>
      <w:ind w:firstLineChars="200" w:firstLine="200"/>
      <w:jc w:val="both"/>
    </w:pPr>
    <w:rPr>
      <w:rFonts w:ascii="Times New Roman" w:eastAsia="微软雅黑"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71"/>
    <w:qFormat/>
    <w:rsid w:val="00C83A12"/>
    <w:pPr>
      <w:widowControl w:val="0"/>
      <w:autoSpaceDE w:val="0"/>
      <w:autoSpaceDN w:val="0"/>
      <w:adjustRightInd w:val="0"/>
    </w:pPr>
    <w:rPr>
      <w:rFonts w:ascii="宋体" w:eastAsia="宋体" w:hAnsi="Times New Roman" w:cs="Times New Roman"/>
      <w:color w:val="000000"/>
      <w:sz w:val="24"/>
      <w:szCs w:val="24"/>
    </w:rPr>
  </w:style>
  <w:style w:type="paragraph" w:customStyle="1" w:styleId="71">
    <w:name w:val="目录 71"/>
    <w:next w:val="a"/>
    <w:qFormat/>
    <w:rsid w:val="00C83A12"/>
    <w:pPr>
      <w:wordWrap w:val="0"/>
      <w:ind w:left="2550"/>
      <w:jc w:val="both"/>
    </w:pPr>
    <w:rPr>
      <w:rFonts w:ascii="Times New Roman" w:eastAsia="宋体" w:hAnsi="Times New Roman" w:cs="Times New Roman"/>
      <w:sz w:val="21"/>
      <w:szCs w:val="22"/>
    </w:rPr>
  </w:style>
  <w:style w:type="paragraph" w:styleId="a3">
    <w:name w:val="Normal (Web)"/>
    <w:basedOn w:val="a"/>
    <w:qFormat/>
    <w:rsid w:val="00C83A12"/>
    <w:pPr>
      <w:spacing w:before="100" w:beforeAutospacing="1" w:after="100" w:afterAutospacing="1"/>
      <w:jc w:val="left"/>
    </w:pPr>
    <w:rPr>
      <w:kern w:val="0"/>
    </w:rPr>
  </w:style>
  <w:style w:type="paragraph" w:customStyle="1" w:styleId="null3">
    <w:name w:val="null3"/>
    <w:qFormat/>
    <w:rsid w:val="00C83A12"/>
    <w:rPr>
      <w:rFonts w:ascii="Calibri" w:eastAsia="宋体" w:hAnsi="Calibri" w:cs="Times New Roman" w:hint="eastAsia"/>
      <w:lang/>
    </w:rPr>
  </w:style>
  <w:style w:type="paragraph" w:styleId="a4">
    <w:name w:val="header"/>
    <w:basedOn w:val="a"/>
    <w:link w:val="Char"/>
    <w:rsid w:val="00A7613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A76134"/>
    <w:rPr>
      <w:rFonts w:ascii="Times New Roman" w:eastAsia="微软雅黑" w:hAnsi="Times New Roman" w:cs="Times New Roman"/>
      <w:kern w:val="2"/>
      <w:sz w:val="18"/>
      <w:szCs w:val="18"/>
    </w:rPr>
  </w:style>
  <w:style w:type="paragraph" w:styleId="a5">
    <w:name w:val="footer"/>
    <w:basedOn w:val="a"/>
    <w:link w:val="Char0"/>
    <w:rsid w:val="00A76134"/>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A76134"/>
    <w:rPr>
      <w:rFonts w:ascii="Times New Roman" w:eastAsia="微软雅黑" w:hAnsi="Times New Roman" w:cs="Times New Roman"/>
      <w:kern w:val="2"/>
      <w:sz w:val="18"/>
      <w:szCs w:val="18"/>
    </w:rPr>
  </w:style>
  <w:style w:type="paragraph" w:styleId="a6">
    <w:name w:val="Normal Indent"/>
    <w:basedOn w:val="a"/>
    <w:link w:val="Char1"/>
    <w:qFormat/>
    <w:rsid w:val="00A76134"/>
    <w:pPr>
      <w:spacing w:line="240" w:lineRule="auto"/>
      <w:ind w:firstLineChars="0" w:firstLine="420"/>
    </w:pPr>
    <w:rPr>
      <w:rFonts w:eastAsia="宋体"/>
      <w:sz w:val="21"/>
      <w:szCs w:val="20"/>
      <w:lang w:val="zh-CN"/>
    </w:rPr>
  </w:style>
  <w:style w:type="character" w:customStyle="1" w:styleId="Char1">
    <w:name w:val="正文缩进 Char"/>
    <w:link w:val="a6"/>
    <w:qFormat/>
    <w:rsid w:val="00A76134"/>
    <w:rPr>
      <w:rFonts w:ascii="Times New Roman" w:eastAsia="宋体" w:hAnsi="Times New Roman" w:cs="Times New Roman"/>
      <w:kern w:val="2"/>
      <w:sz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356</Words>
  <Characters>2030</Characters>
  <Application>Microsoft Office Word</Application>
  <DocSecurity>0</DocSecurity>
  <Lines>16</Lines>
  <Paragraphs>4</Paragraphs>
  <ScaleCrop>false</ScaleCrop>
  <Company>微软中国</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ｕ</dc:creator>
  <cp:lastModifiedBy>Administrator</cp:lastModifiedBy>
  <cp:revision>2</cp:revision>
  <dcterms:created xsi:type="dcterms:W3CDTF">2025-03-14T02:01:00Z</dcterms:created>
  <dcterms:modified xsi:type="dcterms:W3CDTF">2025-03-14T02:01:00Z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A557DAA76EB244ABA3F5F69A233E545B_11</vt:lpwstr>
  </property>
  <property fmtid="{D5CDD505-2E9C-101B-9397-08002B2CF9AE}" pid="4" name="KSOTemplateDocerSaveRecord">
    <vt:lpwstr>eyJoZGlkIjoiYTg2YWRmZGU0MDUxMGY0NWQyMTNhNjJiOTc3NzFiMjIiLCJ1c2VySWQiOiI0MTU3MDA1NTUifQ==</vt:lpwstr>
  </property>
</Properties>
</file>