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woUserID w:val="1"/>
        </w:rPr>
        <w:t>微隔离防火墙</w:t>
      </w:r>
      <w:r>
        <w:t>技术参数</w:t>
      </w:r>
    </w:p>
    <w:p>
      <w:pPr>
        <w:rPr>
          <w:rFonts w:hint="eastAsia"/>
        </w:rPr>
      </w:pPr>
    </w:p>
    <w:tbl>
      <w:tblPr>
        <w:tblStyle w:val="6"/>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03" w:type="pct"/>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品牌</w:t>
            </w:r>
            <w:r>
              <w:rPr>
                <w:rFonts w:hint="default" w:ascii="宋体" w:hAnsi="宋体"/>
                <w:szCs w:val="21"/>
                <w:lang w:val="en-US" w:eastAsia="zh-CN"/>
              </w:rPr>
              <w:t>/</w:t>
            </w:r>
            <w:r>
              <w:rPr>
                <w:rFonts w:hint="eastAsia" w:ascii="宋体" w:hAnsi="宋体"/>
                <w:szCs w:val="21"/>
                <w:lang w:val="en-US" w:eastAsia="zh-CN"/>
              </w:rPr>
              <w:t>型号</w:t>
            </w:r>
          </w:p>
        </w:tc>
        <w:tc>
          <w:tcPr>
            <w:tcW w:w="3996" w:type="pct"/>
            <w:vAlign w:val="center"/>
          </w:tcPr>
          <w:p>
            <w:pPr>
              <w:snapToGrid w:val="0"/>
              <w:jc w:val="center"/>
              <w:rPr>
                <w:rFonts w:hint="default" w:ascii="宋体" w:hAnsi="宋体" w:eastAsia="宋体"/>
                <w:szCs w:val="21"/>
                <w:lang w:eastAsia="zh-CN"/>
                <w:woUserID w:val="1"/>
              </w:rPr>
            </w:pPr>
            <w:r>
              <w:rPr>
                <w:rFonts w:hint="eastAsia" w:ascii="宋体" w:hAnsi="宋体"/>
                <w:szCs w:val="21"/>
              </w:rPr>
              <w:t>山石网科</w:t>
            </w:r>
            <w:r>
              <w:rPr>
                <w:rFonts w:hint="eastAsia" w:ascii="宋体" w:hAnsi="宋体"/>
                <w:szCs w:val="21"/>
                <w:lang w:eastAsia="zh-CN"/>
              </w:rPr>
              <w:t>、</w:t>
            </w:r>
            <w:r>
              <w:rPr>
                <w:rFonts w:hint="default" w:ascii="宋体" w:hAnsi="宋体"/>
                <w:szCs w:val="21"/>
                <w:lang w:eastAsia="zh-CN"/>
                <w:woUserID w:val="1"/>
              </w:rPr>
              <w:t>安恒、华三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03" w:type="pct"/>
            <w:vAlign w:val="center"/>
          </w:tcPr>
          <w:p>
            <w:pPr>
              <w:snapToGrid w:val="0"/>
              <w:jc w:val="center"/>
              <w:rPr>
                <w:rFonts w:ascii="宋体" w:hAnsi="宋体"/>
                <w:szCs w:val="21"/>
              </w:rPr>
            </w:pPr>
            <w:r>
              <w:rPr>
                <w:rFonts w:hint="eastAsia" w:ascii="宋体" w:hAnsi="宋体"/>
                <w:szCs w:val="21"/>
              </w:rPr>
              <w:t>技术指标</w:t>
            </w:r>
          </w:p>
        </w:tc>
        <w:tc>
          <w:tcPr>
            <w:tcW w:w="3996" w:type="pct"/>
            <w:vAlign w:val="center"/>
          </w:tcPr>
          <w:p>
            <w:pPr>
              <w:snapToGrid w:val="0"/>
              <w:jc w:val="center"/>
              <w:rPr>
                <w:rFonts w:ascii="宋体" w:hAnsi="宋体"/>
                <w:szCs w:val="21"/>
              </w:rPr>
            </w:pPr>
            <w:r>
              <w:rPr>
                <w:rFonts w:hint="eastAsia" w:ascii="宋体" w:hAnsi="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003" w:type="pct"/>
            <w:vAlign w:val="center"/>
          </w:tcPr>
          <w:p>
            <w:pPr>
              <w:widowControl/>
              <w:jc w:val="center"/>
              <w:rPr>
                <w:rFonts w:ascii="宋体" w:hAnsi="宋体" w:cs="宋体"/>
                <w:kern w:val="0"/>
                <w:szCs w:val="21"/>
              </w:rPr>
            </w:pPr>
            <w:r>
              <w:rPr>
                <w:rFonts w:hint="eastAsia" w:ascii="宋体" w:hAnsi="宋体" w:cs="宋体"/>
                <w:kern w:val="0"/>
                <w:szCs w:val="21"/>
              </w:rPr>
              <w:t>基本要求</w:t>
            </w:r>
          </w:p>
        </w:tc>
        <w:tc>
          <w:tcPr>
            <w:tcW w:w="3996" w:type="pct"/>
            <w:vAlign w:val="center"/>
          </w:tcPr>
          <w:p>
            <w:pPr>
              <w:jc w:val="left"/>
              <w:rPr>
                <w:rFonts w:ascii="宋体" w:hAnsi="宋体" w:cs="宋体"/>
                <w:kern w:val="0"/>
                <w:szCs w:val="21"/>
              </w:rPr>
            </w:pPr>
            <w:r>
              <w:rPr>
                <w:rFonts w:hint="eastAsia" w:ascii="宋体" w:hAnsi="宋体" w:cs="宋体"/>
                <w:kern w:val="0"/>
                <w:szCs w:val="21"/>
              </w:rPr>
              <w:t>支持单台物理服务器防护性能指标：最大吞吐量</w:t>
            </w:r>
            <w:r>
              <w:rPr>
                <w:rFonts w:ascii="宋体" w:hAnsi="宋体" w:cs="Arial"/>
                <w:szCs w:val="21"/>
                <w:shd w:val="clear" w:color="auto" w:fill="FFFFFF"/>
              </w:rPr>
              <w:t>≥</w:t>
            </w:r>
            <w:r>
              <w:rPr>
                <w:rFonts w:hint="eastAsia" w:ascii="宋体" w:hAnsi="宋体" w:cs="宋体"/>
                <w:kern w:val="0"/>
                <w:szCs w:val="21"/>
              </w:rPr>
              <w:t>5Gbps，最大并发连接数</w:t>
            </w:r>
            <w:r>
              <w:rPr>
                <w:rFonts w:ascii="宋体" w:hAnsi="宋体" w:cs="Arial"/>
                <w:szCs w:val="21"/>
                <w:shd w:val="clear" w:color="auto" w:fill="FFFFFF"/>
              </w:rPr>
              <w:t>≥</w:t>
            </w:r>
            <w:r>
              <w:rPr>
                <w:rFonts w:hint="eastAsia" w:ascii="宋体" w:hAnsi="宋体" w:cs="宋体"/>
                <w:kern w:val="0"/>
                <w:szCs w:val="21"/>
              </w:rPr>
              <w:t>170万，最大每秒新建连接数</w:t>
            </w:r>
            <w:r>
              <w:rPr>
                <w:rFonts w:ascii="宋体" w:hAnsi="宋体" w:cs="Arial"/>
                <w:szCs w:val="21"/>
                <w:shd w:val="clear" w:color="auto" w:fill="FFFFFF"/>
              </w:rPr>
              <w:t>≥</w:t>
            </w:r>
            <w:r>
              <w:rPr>
                <w:rFonts w:hint="eastAsia" w:ascii="宋体" w:hAnsi="宋体" w:cs="宋体"/>
                <w:kern w:val="0"/>
                <w:szCs w:val="21"/>
              </w:rPr>
              <w:t>3万，IPS吞吐量</w:t>
            </w:r>
            <w:r>
              <w:rPr>
                <w:rFonts w:ascii="宋体" w:hAnsi="宋体" w:cs="Arial"/>
                <w:szCs w:val="21"/>
                <w:shd w:val="clear" w:color="auto" w:fill="FFFFFF"/>
              </w:rPr>
              <w:t>≥</w:t>
            </w:r>
            <w:r>
              <w:rPr>
                <w:rFonts w:hint="eastAsia" w:ascii="宋体" w:hAnsi="宋体" w:cs="宋体"/>
                <w:kern w:val="0"/>
                <w:szCs w:val="21"/>
              </w:rPr>
              <w:t>1.5Gbps，AV吞吐量</w:t>
            </w:r>
            <w:r>
              <w:rPr>
                <w:rFonts w:ascii="宋体" w:hAnsi="宋体" w:cs="Arial"/>
                <w:szCs w:val="21"/>
                <w:shd w:val="clear" w:color="auto" w:fill="FFFFFF"/>
              </w:rPr>
              <w:t>≥</w:t>
            </w:r>
            <w:r>
              <w:rPr>
                <w:rFonts w:hint="eastAsia" w:ascii="宋体" w:hAnsi="宋体" w:cs="宋体"/>
                <w:kern w:val="0"/>
                <w:szCs w:val="21"/>
              </w:rPr>
              <w:t>1.5Gbps。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网络微分域方案环境适应性</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在VMware标准环境，不依赖NSX组件或不依赖第三方SDN产品方案配合，提供云内虚机间网络微分域解决方案。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采用虚拟机形态提供本地化、分布式网络安全服务，使得业务虚拟机流量不用外出宿主机，即可高效的实现网络安全管控。能为同一宿主机，相同VLAN内的虚拟机之间，提供网络微分域的安全管控服务。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Align w:val="center"/>
          </w:tcPr>
          <w:p>
            <w:pPr>
              <w:widowControl/>
              <w:jc w:val="center"/>
              <w:rPr>
                <w:rFonts w:ascii="宋体" w:hAnsi="宋体" w:cs="宋体"/>
                <w:kern w:val="0"/>
                <w:szCs w:val="21"/>
              </w:rPr>
            </w:pPr>
            <w:r>
              <w:rPr>
                <w:rFonts w:hint="eastAsia" w:ascii="宋体" w:hAnsi="宋体" w:cs="宋体"/>
                <w:kern w:val="0"/>
                <w:szCs w:val="21"/>
              </w:rPr>
              <w:t>产品形态</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产品提供的安全服务能力，无需要求在业务虚机中额外安装第三方插件或Agent软件。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Align w:val="center"/>
          </w:tcPr>
          <w:p>
            <w:pPr>
              <w:widowControl/>
              <w:jc w:val="center"/>
              <w:rPr>
                <w:rFonts w:ascii="宋体" w:hAnsi="宋体" w:cs="宋体"/>
                <w:kern w:val="0"/>
                <w:szCs w:val="21"/>
              </w:rPr>
            </w:pPr>
            <w:r>
              <w:rPr>
                <w:rFonts w:hint="eastAsia" w:ascii="宋体" w:hAnsi="宋体" w:cs="宋体"/>
                <w:kern w:val="0"/>
                <w:szCs w:val="21"/>
              </w:rPr>
              <w:t>可靠性</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为确保业务连续性，要求处理业务流量的安全服务节点具备自动Bypass能力，以应对产品自身故障，或云平台网络通讯异常，误操作等突发状况。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安全服务能力</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为满足网络安全可视化监测要求，须在非NSX环境下，支持VSS/VDS网络的旁路侦听部署模式。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为确保安全服务的有效性，需实时掌握云环境中的资产信息和变更状况，支持对云虚机名称，IP，MAC，网络，宿主机等信息的同步和更新。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为适应云计算环境下的灵活性和随机性，安全服务的对象需能支持基于虚机名称定义安全防护控制。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支持会话同步能力，安全防护可随虚机迁移而自动跟随，最大限度的确保安全防护的持续性和业务连续性。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可视化能力</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虚拟资产分布可视化，可基于虚拟网络-虚拟机分组方式管理，并呈现各分组之间和分组内部的流量交换关系。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可通过流量交互关系图跟踪各个虚拟资产的流量、应用、威胁统计状况。流量关系线条可根据威胁等级呈现出不同颜色，可根据风险等级进行筛选展示。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可基于IP地址，流量，防护状态，虚机和网络名称，应用类型，威胁名称/类型/安全级别等条件不同组合关系控制视图呈现效果，并可基于IP地址，流量，防护状态，虚机名称等条件筛选的结果生成新的展示视图，新的视图可直接点击进行视图展开，无需手动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网络攻击防护</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为避免部分特殊业务被识别为网络攻击而被防护能力阻断，需支持配置白名单，白名单可手动配置IP地址、地址簿、虚机名称、攻击特征等。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DoS/DDoS识别防护能力,包括：DNS Query Flood、SYN Flood、UDP Flood、ICMP Flood、Ping of Death、Smurf、WinNuke，TCP Split Handshake，动作支持记录、阻断两种模式。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入侵防御</w:t>
            </w:r>
          </w:p>
        </w:tc>
        <w:tc>
          <w:tcPr>
            <w:tcW w:w="3996" w:type="pct"/>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支持对HTTP、FTP、SMTP、IMAP、POP3、TELNET、TCP、UDP、DNS、RPC、FINGER+C95、MSSQL、ORACLE、NNTP、DHCP、LDAP、VoIP、NETBIOS、TFTP、SUNRPC和MSRPC等常用协议及应用的攻击检测和防御。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center"/>
              <w:rPr>
                <w:rFonts w:ascii="宋体" w:hAnsi="宋体" w:cs="宋体"/>
                <w:kern w:val="0"/>
                <w:szCs w:val="21"/>
              </w:rPr>
            </w:pPr>
          </w:p>
        </w:tc>
        <w:tc>
          <w:tcPr>
            <w:tcW w:w="3996" w:type="pct"/>
            <w:vAlign w:val="center"/>
          </w:tcPr>
          <w:p>
            <w:pPr>
              <w:widowControl/>
              <w:jc w:val="left"/>
              <w:textAlignment w:val="center"/>
              <w:rPr>
                <w:rFonts w:ascii="宋体" w:hAnsi="宋体" w:cs="宋体"/>
                <w:sz w:val="22"/>
                <w:szCs w:val="22"/>
              </w:rPr>
            </w:pPr>
            <w:r>
              <w:rPr>
                <w:rStyle w:val="11"/>
                <w:rFonts w:hint="default"/>
                <w:color w:val="auto"/>
                <w:lang w:bidi="ar"/>
              </w:rPr>
              <w:t>具备</w:t>
            </w:r>
            <w:r>
              <w:rPr>
                <w:rStyle w:val="10"/>
                <w:rFonts w:hint="default"/>
                <w:color w:val="auto"/>
                <w:lang w:bidi="ar"/>
              </w:rPr>
              <w:t>1.2万</w:t>
            </w:r>
            <w:r>
              <w:rPr>
                <w:rStyle w:val="11"/>
                <w:rFonts w:hint="default"/>
                <w:color w:val="auto"/>
                <w:lang w:bidi="ar"/>
              </w:rPr>
              <w:t>种以上攻击特征库规则列表，至少支持基于协议类型、操作系统、攻击类型、流行程度、严重程度、特征ID等方式的查询。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center"/>
              <w:rPr>
                <w:rFonts w:ascii="宋体" w:hAnsi="宋体" w:cs="宋体"/>
                <w:kern w:val="0"/>
                <w:szCs w:val="21"/>
              </w:rPr>
            </w:pPr>
          </w:p>
        </w:tc>
        <w:tc>
          <w:tcPr>
            <w:tcW w:w="3996" w:type="pct"/>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为避免部分特殊业务被识别为入侵动作而被防护能力阻断，需支持配置白名单，白名单可手动配置源地址，目的地址和攻击特征。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center"/>
              <w:rPr>
                <w:rFonts w:ascii="宋体" w:hAnsi="宋体" w:cs="宋体"/>
                <w:kern w:val="0"/>
                <w:szCs w:val="21"/>
              </w:rPr>
            </w:pPr>
          </w:p>
        </w:tc>
        <w:tc>
          <w:tcPr>
            <w:tcW w:w="3996" w:type="pct"/>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支持缓冲区溢出、SQL注入、XSS防护，支持HTTP头域中的URL、Cookie、Referer、POST检查点配置防护策略。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widowControl/>
              <w:jc w:val="center"/>
              <w:rPr>
                <w:rFonts w:ascii="宋体" w:hAnsi="宋体" w:cs="宋体"/>
                <w:kern w:val="0"/>
                <w:szCs w:val="21"/>
              </w:rPr>
            </w:pPr>
            <w:r>
              <w:rPr>
                <w:rFonts w:hint="eastAsia" w:ascii="宋体" w:hAnsi="宋体" w:cs="宋体"/>
                <w:kern w:val="0"/>
                <w:szCs w:val="21"/>
              </w:rPr>
              <w:t>运维管理</w:t>
            </w: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为方便管理员制定安全策略，需支持流量学习到安全策略配置的策略助手功能，提高工作效率。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为便于网络故障分析定位，需具备流量抓包能力，并可导出pcap格式的抓包文件。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为应对突发情况时快速恢复配置，需支持全局配置的定期备份和外发能力。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jc w:val="left"/>
              <w:rPr>
                <w:rFonts w:ascii="宋体" w:hAnsi="宋体" w:cs="宋体"/>
                <w:kern w:val="0"/>
                <w:szCs w:val="21"/>
              </w:rPr>
            </w:pPr>
          </w:p>
        </w:tc>
        <w:tc>
          <w:tcPr>
            <w:tcW w:w="3996" w:type="pct"/>
            <w:vAlign w:val="center"/>
          </w:tcPr>
          <w:p>
            <w:pPr>
              <w:widowControl/>
              <w:jc w:val="left"/>
              <w:rPr>
                <w:rFonts w:ascii="宋体" w:hAnsi="宋体" w:cs="宋体"/>
                <w:kern w:val="0"/>
                <w:szCs w:val="21"/>
              </w:rPr>
            </w:pPr>
            <w:r>
              <w:rPr>
                <w:rFonts w:hint="eastAsia" w:ascii="宋体" w:hAnsi="宋体" w:cs="宋体"/>
                <w:kern w:val="0"/>
                <w:szCs w:val="21"/>
              </w:rPr>
              <w:t>为改善安全策略的管理有效率，需支持对安全策略冗余检测，以及重叠性检查能力。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Align w:val="center"/>
          </w:tcPr>
          <w:p>
            <w:pPr>
              <w:widowControl/>
              <w:jc w:val="center"/>
              <w:rPr>
                <w:rFonts w:ascii="宋体" w:hAnsi="宋体" w:cs="宋体"/>
                <w:kern w:val="0"/>
                <w:szCs w:val="21"/>
              </w:rPr>
            </w:pPr>
            <w:r>
              <w:rPr>
                <w:rFonts w:hint="eastAsia" w:ascii="宋体" w:hAnsi="宋体" w:cs="宋体"/>
                <w:kern w:val="0"/>
                <w:szCs w:val="21"/>
              </w:rPr>
              <w:t>维保服务要求</w:t>
            </w:r>
          </w:p>
        </w:tc>
        <w:tc>
          <w:tcPr>
            <w:tcW w:w="3996" w:type="pct"/>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rPr>
              <w:t>提供至少8</w:t>
            </w:r>
            <w:r>
              <w:rPr>
                <w:rFonts w:ascii="宋体" w:hAnsi="宋体" w:cs="宋体"/>
                <w:kern w:val="0"/>
                <w:szCs w:val="21"/>
              </w:rPr>
              <w:t>00个虚拟机的防护授权，</w:t>
            </w:r>
            <w:r>
              <w:rPr>
                <w:rFonts w:hint="eastAsia" w:ascii="宋体" w:hAnsi="宋体" w:cs="宋体"/>
                <w:kern w:val="0"/>
                <w:szCs w:val="21"/>
              </w:rPr>
              <w:t>五年软件维保服务，五年入侵防御特征库升级服务。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restart"/>
            <w:vAlign w:val="center"/>
          </w:tcPr>
          <w:p>
            <w:pPr>
              <w:keepNext w:val="0"/>
              <w:keepLines w:val="0"/>
              <w:widowControl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eastAsia="宋体" w:cs="宋体"/>
                <w:kern w:val="0"/>
                <w:sz w:val="21"/>
                <w:szCs w:val="21"/>
                <w:lang w:val="en-US" w:eastAsia="zh-CN" w:bidi="ar"/>
                <w:woUserID w:val="1"/>
              </w:rPr>
              <w:t>售后与响应支持服务</w:t>
            </w:r>
          </w:p>
        </w:tc>
        <w:tc>
          <w:tcPr>
            <w:tcW w:w="3996" w:type="pct"/>
            <w:vAlign w:val="center"/>
          </w:tcPr>
          <w:p>
            <w:pPr>
              <w:keepNext w:val="0"/>
              <w:keepLines w:val="0"/>
              <w:widowControl w:val="0"/>
              <w:suppressLineNumbers w:val="0"/>
              <w:spacing w:before="0" w:beforeAutospacing="0" w:after="0" w:afterAutospacing="0"/>
              <w:ind w:left="0" w:right="0"/>
              <w:jc w:val="both"/>
              <w:rPr>
                <w:rFonts w:hint="eastAsia" w:ascii="宋体" w:hAnsi="宋体" w:cs="宋体"/>
                <w:kern w:val="0"/>
                <w:szCs w:val="21"/>
              </w:rPr>
            </w:pPr>
            <w:r>
              <w:rPr>
                <w:rFonts w:hint="eastAsia" w:ascii="宋体" w:hAnsi="宋体" w:eastAsia="宋体" w:cs="宋体"/>
                <w:kern w:val="2"/>
                <w:sz w:val="21"/>
                <w:szCs w:val="21"/>
                <w:lang w:val="en-US" w:eastAsia="zh-CN" w:bidi="ar"/>
                <w:woUserID w:val="1"/>
              </w:rPr>
              <w:t>质保期间，提供</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天×</w:t>
            </w:r>
            <w:r>
              <w:rPr>
                <w:rFonts w:hint="default" w:ascii="Times New Roman" w:hAnsi="Times New Roman" w:eastAsia="宋体" w:cs="Times New Roman"/>
                <w:kern w:val="2"/>
                <w:sz w:val="21"/>
                <w:szCs w:val="21"/>
                <w:lang w:val="en-US" w:eastAsia="zh-CN" w:bidi="ar"/>
                <w:woUserID w:val="1"/>
              </w:rPr>
              <w:t>24</w:t>
            </w:r>
            <w:r>
              <w:rPr>
                <w:rFonts w:hint="eastAsia" w:ascii="宋体" w:hAnsi="宋体" w:eastAsia="宋体" w:cs="宋体"/>
                <w:kern w:val="2"/>
                <w:sz w:val="21"/>
                <w:szCs w:val="21"/>
                <w:lang w:val="en-US" w:eastAsia="zh-CN" w:bidi="ar"/>
                <w:woUserID w:val="1"/>
              </w:rPr>
              <w:t>小时×</w:t>
            </w:r>
            <w:r>
              <w:rPr>
                <w:rFonts w:hint="default" w:ascii="Times New Roman" w:hAnsi="Times New Roman" w:eastAsia="宋体" w:cs="Times New Roman"/>
                <w:kern w:val="2"/>
                <w:sz w:val="21"/>
                <w:szCs w:val="21"/>
                <w:lang w:val="en-US" w:eastAsia="zh-CN" w:bidi="ar"/>
                <w:woUserID w:val="1"/>
              </w:rPr>
              <w:t>365</w:t>
            </w:r>
            <w:r>
              <w:rPr>
                <w:rFonts w:hint="eastAsia" w:ascii="宋体" w:hAnsi="宋体" w:eastAsia="宋体" w:cs="宋体"/>
                <w:kern w:val="2"/>
                <w:sz w:val="21"/>
                <w:szCs w:val="21"/>
                <w:lang w:val="en-US" w:eastAsia="zh-CN" w:bidi="ar"/>
                <w:woUserID w:val="1"/>
              </w:rPr>
              <w:t>天的电话支持服务，响应时间为</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小时。包括节假日，非工作时间均可通过电话进行各类常见问题疑难解答，问题咨询，产品使用指导等。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ind w:left="0" w:leftChars="0" w:firstLine="0" w:firstLineChars="0"/>
              <w:jc w:val="center"/>
              <w:rPr>
                <w:rFonts w:hint="eastAsia" w:ascii="宋体" w:hAnsi="宋体" w:cs="宋体"/>
                <w:kern w:val="0"/>
                <w:szCs w:val="21"/>
              </w:rPr>
            </w:pPr>
          </w:p>
        </w:tc>
        <w:tc>
          <w:tcPr>
            <w:tcW w:w="3996" w:type="pct"/>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cs="宋体"/>
                <w:kern w:val="0"/>
                <w:szCs w:val="21"/>
              </w:rPr>
            </w:pPr>
            <w:r>
              <w:rPr>
                <w:rFonts w:hint="eastAsia" w:ascii="宋体" w:hAnsi="宋体" w:eastAsia="宋体" w:cs="宋体"/>
                <w:kern w:val="2"/>
                <w:sz w:val="21"/>
                <w:szCs w:val="21"/>
                <w:lang w:val="en-US" w:eastAsia="zh-CN" w:bidi="ar"/>
                <w:woUserID w:val="1"/>
              </w:rPr>
              <w:t>根据采购方要求，在重大故障及重大活动期间，提供现场技术保障支持服务。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ind w:left="0" w:leftChars="0" w:firstLine="0" w:firstLineChars="0"/>
              <w:jc w:val="center"/>
              <w:rPr>
                <w:rFonts w:hint="eastAsia" w:ascii="宋体" w:hAnsi="宋体" w:cs="宋体"/>
                <w:kern w:val="0"/>
                <w:szCs w:val="21"/>
              </w:rPr>
            </w:pPr>
          </w:p>
        </w:tc>
        <w:tc>
          <w:tcPr>
            <w:tcW w:w="3996" w:type="pct"/>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cs="宋体"/>
                <w:kern w:val="0"/>
                <w:szCs w:val="21"/>
              </w:rPr>
            </w:pPr>
            <w:r>
              <w:rPr>
                <w:rFonts w:hint="eastAsia" w:ascii="宋体" w:hAnsi="宋体" w:eastAsia="宋体" w:cs="宋体"/>
                <w:kern w:val="2"/>
                <w:sz w:val="21"/>
                <w:szCs w:val="21"/>
                <w:lang w:val="en-US" w:eastAsia="zh-CN" w:bidi="ar"/>
                <w:woUserID w:val="1"/>
              </w:rPr>
              <w:t>在已知设备软缺陷可能导致潜在问题的情况下，通过配置管理或巡检等方式对产品进行软件版本升级服务。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ind w:left="0" w:leftChars="0" w:firstLine="0" w:firstLineChars="0"/>
              <w:jc w:val="center"/>
              <w:rPr>
                <w:rFonts w:hint="eastAsia" w:ascii="宋体" w:hAnsi="宋体" w:cs="宋体"/>
                <w:kern w:val="0"/>
                <w:szCs w:val="21"/>
              </w:rPr>
            </w:pPr>
          </w:p>
        </w:tc>
        <w:tc>
          <w:tcPr>
            <w:tcW w:w="3996" w:type="pct"/>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cs="宋体"/>
                <w:kern w:val="0"/>
                <w:szCs w:val="21"/>
              </w:rPr>
            </w:pPr>
            <w:r>
              <w:rPr>
                <w:rFonts w:hint="eastAsia" w:ascii="宋体" w:hAnsi="宋体" w:eastAsia="宋体" w:cs="宋体"/>
                <w:kern w:val="2"/>
                <w:sz w:val="21"/>
                <w:szCs w:val="21"/>
                <w:lang w:val="en-US" w:eastAsia="zh-CN" w:bidi="ar"/>
                <w:woUserID w:val="1"/>
              </w:rPr>
              <w:t>当产品出现故障后，采购方与投标品牌原厂工程师共同对故障进行分析并确认是软件缺陷所导致的故障，投标品牌原厂商提供针对该软件缺陷的软件补丁程序，原厂工程师对设备进行软件版本升级服务。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03" w:type="pct"/>
            <w:vMerge w:val="continue"/>
            <w:vAlign w:val="center"/>
          </w:tcPr>
          <w:p>
            <w:pPr>
              <w:widowControl/>
              <w:ind w:left="0" w:leftChars="0" w:firstLine="0" w:firstLineChars="0"/>
              <w:jc w:val="center"/>
              <w:rPr>
                <w:rFonts w:hint="eastAsia" w:ascii="宋体" w:hAnsi="宋体" w:cs="宋体"/>
                <w:kern w:val="0"/>
                <w:szCs w:val="21"/>
              </w:rPr>
            </w:pPr>
          </w:p>
        </w:tc>
        <w:tc>
          <w:tcPr>
            <w:tcW w:w="3996" w:type="pct"/>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cs="宋体"/>
                <w:kern w:val="0"/>
                <w:szCs w:val="21"/>
              </w:rPr>
            </w:pPr>
            <w:r>
              <w:rPr>
                <w:rFonts w:hint="eastAsia" w:ascii="宋体" w:hAnsi="宋体" w:eastAsia="宋体" w:cs="宋体"/>
                <w:kern w:val="2"/>
                <w:sz w:val="21"/>
                <w:szCs w:val="21"/>
                <w:lang w:val="en-US" w:eastAsia="zh-CN" w:bidi="ar"/>
                <w:woUserID w:val="1"/>
              </w:rPr>
              <w:t>对软件出现的任何故障提供</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小时电话响应服务，提供</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小时现场响应服务以及免费上门调试安装、故障排查服务、免费维修服务。</w:t>
            </w:r>
          </w:p>
        </w:tc>
      </w:tr>
    </w:tbl>
    <w:p/>
    <w:p/>
    <w:p/>
    <w:p/>
    <w:p/>
    <w:p/>
    <w:p/>
    <w:p/>
    <w:p/>
    <w:p/>
    <w:p>
      <w:bookmarkStart w:id="0" w:name="_GoBack"/>
      <w:bookmarkEnd w:id="0"/>
    </w:p>
    <w:p/>
    <w:p/>
    <w:p/>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54"/>
    <w:rsid w:val="00180A8E"/>
    <w:rsid w:val="001D2319"/>
    <w:rsid w:val="00415ECF"/>
    <w:rsid w:val="00447954"/>
    <w:rsid w:val="005A4F62"/>
    <w:rsid w:val="006C66E4"/>
    <w:rsid w:val="006F2A3A"/>
    <w:rsid w:val="007050AC"/>
    <w:rsid w:val="007258A0"/>
    <w:rsid w:val="00A9610D"/>
    <w:rsid w:val="00AF4FE0"/>
    <w:rsid w:val="00BC6C7F"/>
    <w:rsid w:val="00DA2989"/>
    <w:rsid w:val="00EC0E34"/>
    <w:rsid w:val="00EF7734"/>
    <w:rsid w:val="00F8609D"/>
    <w:rsid w:val="00FF76C4"/>
    <w:rsid w:val="28BBFCAF"/>
    <w:rsid w:val="44C16778"/>
    <w:rsid w:val="56943865"/>
    <w:rsid w:val="6FD4D57F"/>
    <w:rsid w:val="6FEF33D3"/>
    <w:rsid w:val="F5DE77A5"/>
    <w:rsid w:val="F76EEBCB"/>
    <w:rsid w:val="F9DD5FA8"/>
    <w:rsid w:val="F9FD5E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next w:val="1"/>
    <w:link w:val="14"/>
    <w:semiHidden/>
    <w:unhideWhenUsed/>
    <w:qFormat/>
    <w:uiPriority w:val="0"/>
    <w:pPr>
      <w:ind w:firstLine="420" w:firstLineChars="200"/>
    </w:pPr>
    <w:rPr>
      <w:rFonts w:ascii="仿宋_GB2312" w:eastAsia="仿宋_GB2312"/>
      <w:sz w:val="28"/>
      <w:szCs w:val="28"/>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51"/>
    <w:basedOn w:val="7"/>
    <w:qFormat/>
    <w:uiPriority w:val="0"/>
    <w:rPr>
      <w:rFonts w:hint="eastAsia" w:ascii="宋体" w:hAnsi="宋体" w:eastAsia="宋体" w:cs="宋体"/>
      <w:color w:val="FF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character" w:customStyle="1" w:styleId="12">
    <w:name w:val="NormalCharacter"/>
    <w:qFormat/>
    <w:uiPriority w:val="0"/>
  </w:style>
  <w:style w:type="character" w:customStyle="1" w:styleId="13">
    <w:name w:val="正文文本缩进 Char"/>
    <w:basedOn w:val="7"/>
    <w:link w:val="2"/>
    <w:semiHidden/>
    <w:qFormat/>
    <w:uiPriority w:val="99"/>
    <w:rPr>
      <w:rFonts w:ascii="Times New Roman" w:hAnsi="Times New Roman" w:eastAsia="宋体" w:cs="Times New Roman"/>
      <w:szCs w:val="24"/>
    </w:rPr>
  </w:style>
  <w:style w:type="character" w:customStyle="1" w:styleId="14">
    <w:name w:val="正文首行缩进 2 Char"/>
    <w:basedOn w:val="13"/>
    <w:link w:val="5"/>
    <w:semiHidden/>
    <w:qFormat/>
    <w:uiPriority w:val="0"/>
    <w:rPr>
      <w:rFonts w:ascii="仿宋_GB2312" w:hAnsi="Times New Roman" w:eastAsia="仿宋_GB2312" w:cs="Times New Roman"/>
      <w:sz w:val="28"/>
      <w:szCs w:val="28"/>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表格文字"/>
    <w:basedOn w:val="1"/>
    <w:qFormat/>
    <w:uiPriority w:val="0"/>
    <w:pPr>
      <w:jc w:val="left"/>
    </w:pPr>
    <w:rPr>
      <w:kern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487</Words>
  <Characters>2776</Characters>
  <Lines>1</Lines>
  <Paragraphs>1</Paragraphs>
  <TotalTime>73</TotalTime>
  <ScaleCrop>false</ScaleCrop>
  <LinksUpToDate>false</LinksUpToDate>
  <CharactersWithSpaces>3257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2025-05-22T11:04:00Z</dcterms:created>
  <dc:creator>zhengxq</dc:creator>
  <cp:lastModifiedBy>采购中心</cp:lastModifiedBy>
  <dcterms:modified xsi:type="dcterms:W3CDTF">2025-07-14T10:18:32Z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32C587F2AC454E15B2D832A6563BBC08</vt:lpwstr>
  </property>
</Properties>
</file>