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7" w:lineRule="exact"/>
        <w:ind w:left="156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温州医科大学校史馆采购需求表</w:t>
      </w:r>
    </w:p>
    <w:p>
      <w:pPr>
        <w:spacing w:line="457" w:lineRule="exact"/>
        <w:ind w:left="156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numPr>
          <w:ilvl w:val="0"/>
          <w:numId w:val="1"/>
        </w:numPr>
        <w:spacing w:line="3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采购清单和规格要求</w:t>
      </w:r>
    </w:p>
    <w:p>
      <w:pPr>
        <w:spacing w:line="3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color w:val="FF0000"/>
          <w:sz w:val="18"/>
          <w:szCs w:val="18"/>
        </w:rPr>
        <w:t>询价品牌：艾比森、利亚德、洛浦</w:t>
      </w:r>
      <w:r>
        <w:rPr>
          <w:rFonts w:hint="eastAsia"/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 </w:t>
      </w:r>
      <w:r>
        <w:rPr>
          <w:rFonts w:hint="eastAsia" w:ascii="宋体" w:hAnsi="宋体"/>
          <w:color w:val="FF0000"/>
          <w:sz w:val="18"/>
          <w:szCs w:val="18"/>
        </w:rPr>
        <w:t>必须三个品牌中选择一个投标。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66"/>
        <w:gridCol w:w="576"/>
        <w:gridCol w:w="6362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功能参数要求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数量计量单位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 w:ascii="宋体" w:hAnsi="宋体"/>
                <w:sz w:val="18"/>
                <w:szCs w:val="18"/>
              </w:rPr>
              <w:t>显示屏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艾比森、利亚德、洛浦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屏幕静尺寸：</w:t>
            </w: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6m*2.025m=12.15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★</w:t>
            </w:r>
            <w:r>
              <w:rPr>
                <w:sz w:val="18"/>
                <w:szCs w:val="18"/>
              </w:rPr>
              <w:t>像素点间距≤1.25mm，像素密度≥640000点/㎡，16:9压铸铝箱体尺寸600*337.5mm；箱体16：9  模组尺寸150mm*168.5mm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2、▲采用 RGB1010-Top或Chip 灯珠封装，封装成熟，胶体表面全雾化处理，颜色一致性好，屏体稳定性可靠，适用于回流焊制程，无铅设计，保证产品品质与安全；提供相关证明材料；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3、▲模组无底壳设计，模组尺寸300*168.75mm（保证16：9比例不拉伸变形），提供相关证明材料；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4、▲接收卡、HUB板与模块之间采用并列连接，无排线设计，模组之间不级联，提高产品稳定性，模组与HUB板采用硬接口设计，板对板设计，无排线，支持直接插拔，支持模组、电源、接收卡全前维护；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5、校正后亮度≥600cd/㎡，支持自动/手动，0-100%无极可调，调节步长1级；亮度衰减率≤5%(出厂老化10000小时后送样检测)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6、刷新率≥3840Hz，可视角度（水平/垂直）≥160°，对比度≥5500:1，灰度等级≥16bit；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7、基色主波长误差C 级ΔλD≤5，亮度误差值在3%，灯芯的波长误差值在±1nm之内，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白场色坐标，按SJ/T 11141-2017 标准中5.10.5 表 8 规定x 坐标：0.27-0.33，y 坐标：0.25-0.37；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8、▲工作电压采用宽电压 AC100-240V，50/60Hz，产品峰值功耗≤380W/㎡，平均功耗≤127W/㎡，模组供电方式支持电源均流 DC4.2V～DC5V；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9、信号环路备份设计；高精度连接片双重拼接，支持X/Y/Z 三轴六向调节；箱体前部设有回型连接片，确保箱体的前后平整度；箱体内部纵向连续式加强筋设计、四边采用双筋结构设计，确保安全，结构稳固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10、▲模组使用 15 颗磁铁固定，1 个浮动连接器连接，增强稳定性；模组磁铁采用两点支撑方案，磁吸力度强、连接稳固性好、散热一致性佳，有效减少显示白点；单个模组设置衰减系数，使维修更换后不存在色差；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11、模组支持X/Y/Z三轴六向调节，模组和转接板间采用浮动式排插设计，可精准调节平整度，支持以模组为单位进行平整度调整，缝隙精准可调，拼缝精度≤0.02mm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12、▲具有七重备份技术：电源备份、接收卡备份、双电力备份、校正数据备份、接收卡文件备份、配置参数备份，环路备份; 电源、接收卡采用 1+1 备份；电源不中断、信号不丢失，持续稳定传输信息；整体提升产品的稳定性；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13、▲支持 8K 及以上超清显示方案，接收卡采用高精密接插件(镀金高性能接插件，提高抗氧化特性)对接，稳定可靠、维修便捷；接收卡支持 15bit+功能、色彩管理功能、独立 Gamma 调节等画质调节功能，提升画质体验；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14、工作时间7×24 小时连续工作无故障，设备在正常工作条件下，连续工作240h，不出现电、机械或操作系统的故障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15、电气绝缘测试，显示屏合格 CLASS 1 等级标准；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16、▲为保证良好的品牌持续服务效应，要求LED显示屏品牌具有符合国标要求的品牌服务五星级认证证书；；</w:t>
            </w:r>
          </w:p>
          <w:p>
            <w:pPr>
              <w:widowControl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17、▲为保证所投产品生产制造的流程化、智能化，要求产品制造商采用先进技术，确保产品质量更优，满足客户对显示高品质的需求</w:t>
            </w:r>
            <w:r>
              <w:rPr>
                <w:color w:val="FF0000"/>
                <w:sz w:val="18"/>
                <w:szCs w:val="18"/>
              </w:rPr>
              <w:t>；</w:t>
            </w:r>
          </w:p>
          <w:p>
            <w:pPr>
              <w:widowControl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18.▲为保证用户的合法权益，保障突发应对措施，投标人所投LED显示屏品牌具有商业综合责任保险赔偿限额每次事故不低于200万，公众责任险赔偿限额每次事故不低于200万</w:t>
            </w:r>
            <w:r>
              <w:rPr>
                <w:color w:val="FF0000"/>
                <w:sz w:val="18"/>
                <w:szCs w:val="18"/>
              </w:rPr>
              <w:t>；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12.15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视频拼接器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艾比森、利亚德、洛浦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1、纯硬件插卡式架构设计，19英寸标准机架式安装，金属结构机箱；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▲2、内置不小于7英寸触摸屏，可通过触摸屏进行监测状态查看、参数设置、固件升级、预监回显等操作；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▲3、设备机箱规模支持不少于40路输入、12 路输出，支持单链路和双链路输入模式切换；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▲4、单张输出板卡支持不少于16个图层，支持图层在输出接口间漫游且规格不减，可进行图层参数设置；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▲5、支持不少于3张二合一网口输出卡，输出无需其它设备可直接连接LED显示屏显示；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▲6、IPC输入卡支持不低于4K 视频接入，不低于16路视频解码输出；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7、为了提升设备的故障排查效率，可监测设备温度、电压、风扇在线状态，支持智能识别板卡接口组合，板卡和接口状态监测，信号丢失预警；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8、支持屏幕背景图显示；支持对输入添加文字或图片台标，文字与图片背景、位置可调；支持对输入添加 OSD，OSD属性可调；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9、支持不少于2000个用户场景，场景切换支持淡入淡出可设置为图片或视频，场景切换支持淡入淡出、直切效果；支持不少于4种屏幕画质调节模式；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▲10、支持对所有输入源同时预监，对所有输出进行回显（包含IP流回显）；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11、支持用户权限分级管控，超级管理员可分配用户使用权限，支持多用户同时在线编辑、控制、上屏操作，可预览其他用户操作；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12、支持实时和预编模式，实时模式可实现画面控制实时上屏显示，预编模式支持在软件端进行显示内容预编辑后，再上屏显示；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▲13、支持输入源画面任意截取，对截取的画面开窗调用，并可作为一个新的输入源， 不影响原输入源的使用；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▲14、系统需具备良好的兼容性，拼接器配置软件至少需支持windows、麒麟、IOS、Android、Linux等操作系统访问设备及交互操作；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结构包边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定制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原拼接屏拆除，钢结构包边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12.15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配电箱体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艾比森、利亚德、洛浦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1、10KWLED 显示屏 PLC 智能配电</w:t>
            </w:r>
            <w:r>
              <w:rPr>
                <w:rFonts w:hint="eastAsia" w:ascii="宋体" w:hAnsi="宋体"/>
                <w:sz w:val="18"/>
                <w:szCs w:val="18"/>
              </w:rPr>
              <w:t>箱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2、输入电压：380V；输出电压：220V；额定功率：100KW；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3、输出回路：3 个单相回路（AC220V）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4、每路输出最大带载功率：≤3、3KW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5、回路状态监测：五回路，支持远程控制、计划任务上电、分步逐级上电、温度检测、支持逻辑联动控制；</w:t>
            </w:r>
          </w:p>
          <w:p>
            <w:pPr>
              <w:widowControl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6、输出接线端子：火零地接线端子*30 组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7、PLC 控制器：欧姆龙 PLC 控制器*1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8、PLC 控制电源模块：明纬 DC24V电源*1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9、串口服务器：RS232-网口转换器*1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辅材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定制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89" w:lineRule="exact"/>
              <w:jc w:val="both"/>
              <w:rPr>
                <w:sz w:val="20"/>
                <w:szCs w:val="20"/>
              </w:rPr>
            </w:pP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1、在所有设备、网线、电源线、音频线、视频线上打印相应信息标签，制作操作使用手册，以便于后期的故障排查，并形成文档交付用户；辅材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2、满足系统运行涉及到的配套辅材（挂音箱葫芦支架、水晶头、扎带、插板、电源线、接地等），确保多功</w:t>
            </w:r>
          </w:p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音视频业务的正常使用；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</w:tr>
    </w:tbl>
    <w:p>
      <w:pPr>
        <w:spacing w:line="323" w:lineRule="exact"/>
        <w:ind w:firstLine="631" w:firstLineChars="3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注：1.报价必须含货款、系统集成、运输、装卸、安装、调试、培训、利润、税等一切费用。</w:t>
      </w:r>
    </w:p>
    <w:p>
      <w:pPr>
        <w:spacing w:line="323" w:lineRule="exact"/>
        <w:ind w:firstLine="1051" w:firstLineChars="500"/>
        <w:rPr>
          <w:rFonts w:hint="eastAsia"/>
          <w:sz w:val="20"/>
          <w:szCs w:val="20"/>
        </w:rPr>
      </w:pPr>
      <w:r>
        <w:rPr>
          <w:rFonts w:hint="eastAsia" w:ascii="宋体" w:hAnsi="宋体"/>
          <w:b/>
          <w:bCs/>
          <w:sz w:val="21"/>
          <w:szCs w:val="21"/>
        </w:rPr>
        <w:t>2.核心参数，即为投标供应商必须响应的实质性要求，否则将做无效标处理。</w:t>
      </w:r>
    </w:p>
    <w:p>
      <w:pPr>
        <w:spacing w:line="343" w:lineRule="exact"/>
        <w:ind w:left="12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43" w:lineRule="exact"/>
        <w:ind w:left="12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43" w:lineRule="exact"/>
        <w:ind w:left="12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numPr>
          <w:ilvl w:val="0"/>
          <w:numId w:val="1"/>
        </w:numPr>
        <w:spacing w:line="343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</w:rPr>
              <w:t>质保期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</w:rPr>
              <w:t>三年（自验收合格之日起计算）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供货时间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woUserID w:val="1"/>
              </w:rPr>
              <w:t>合同签订后7</w:t>
            </w:r>
            <w:r>
              <w:rPr>
                <w:rFonts w:hint="eastAsia" w:ascii="宋体" w:hAnsi="宋体"/>
              </w:rPr>
              <w:t>天内工作日内交货并安装调试完毕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供货地点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温州医科大学茶山校区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供货及售后服务要求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2"/>
              </w:numPr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售后服务：提供 24 小时服务。</w:t>
            </w:r>
            <w:r>
              <w:rPr>
                <w:rFonts w:hint="default" w:ascii="宋体" w:hAnsi="宋体"/>
                <w:woUserID w:val="2"/>
              </w:rPr>
              <w:t>3年质保期内，提供免费现场检修服务，每月不少于2次。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维修响应时间：产品出现故障时，成交方在接到采购方通知后，2小时内</w:t>
            </w:r>
            <w:r>
              <w:rPr>
                <w:rFonts w:hint="default" w:ascii="宋体" w:hAnsi="宋体"/>
                <w:woUserID w:val="2"/>
              </w:rPr>
              <w:t>响应并远程协助解决问题，</w:t>
            </w:r>
            <w:r>
              <w:rPr>
                <w:rFonts w:hint="eastAsia" w:ascii="宋体" w:hAnsi="宋体"/>
              </w:rPr>
              <w:t>需现场解决的，维修人员需在接到电话后 6 小时内赶到现场，处理问题，并提出维修结论，提供不间断的服务直到修复故障。质保期内，所有设备配品配件出现故障无法继续使用，要求免费更换。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woUserID w:val="2"/>
              </w:rPr>
              <w:t>中标供应商须交纳合同金额的2%作为履约保证金。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验收标准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根据国家规定和行业标准逐项验收。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43" w:lineRule="exact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特别说明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05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投标供应商须在线提交投标响应文件，经采购方审查确认完全满足竞价单要求，方为正式成交。如供货商响应文件中有漏项或者核心技术参数负偏离，采购方可单方放弃拟成交结果；</w:t>
            </w:r>
          </w:p>
          <w:p>
            <w:pPr>
              <w:widowControl w:val="0"/>
              <w:spacing w:line="274" w:lineRule="exact"/>
              <w:jc w:val="both"/>
              <w:rPr>
                <w:rFonts w:hint="eastAsia" w:ascii="宋体" w:hAnsi="宋体"/>
              </w:rPr>
            </w:pPr>
          </w:p>
        </w:tc>
      </w:tr>
    </w:tbl>
    <w:p>
      <w:pPr>
        <w:spacing w:line="343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4537E"/>
    <w:multiLevelType w:val="multilevel"/>
    <w:tmpl w:val="1A44537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385F8E"/>
    <w:multiLevelType w:val="multilevel"/>
    <w:tmpl w:val="2A385F8E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F"/>
    <w:rsid w:val="009B6BA0"/>
    <w:rsid w:val="009D26BF"/>
    <w:rsid w:val="00C7080B"/>
    <w:rsid w:val="1CDEB982"/>
    <w:rsid w:val="29FF3899"/>
    <w:rsid w:val="5EDFDCAD"/>
    <w:rsid w:val="7DAE8C91"/>
    <w:rsid w:val="B9B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2025-06-20T23:27:00Z</dcterms:created>
  <dc:creator>lenovo</dc:creator>
  <cp:lastModifiedBy>lenovo</cp:lastModifiedBy>
  <dcterms:modified xsi:type="dcterms:W3CDTF">2025-07-01T16:00:34Z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