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6E703">
      <w:pPr>
        <w:pStyle w:val="2"/>
        <w:spacing w:line="312" w:lineRule="auto"/>
        <w:jc w:val="both"/>
        <w:rPr>
          <w:rFonts w:ascii="仿宋_GB2312" w:eastAsia="仿宋_GB2312" w:cs="Times New Roman"/>
          <w:b w:val="0"/>
          <w:bCs w:val="0"/>
          <w:color w:val="000000"/>
          <w:sz w:val="28"/>
          <w:szCs w:val="28"/>
        </w:rPr>
      </w:pPr>
      <w:bookmarkStart w:id="0" w:name="_Toc13849"/>
      <w:bookmarkStart w:id="1" w:name="_Toc22587"/>
      <w:r>
        <w:rPr>
          <w:rFonts w:hint="eastAsia" w:ascii="仿宋_GB2312" w:hAnsi="宋体" w:eastAsia="仿宋_GB2312" w:cs="仿宋_GB2312"/>
          <w:b w:val="0"/>
          <w:bCs w:val="0"/>
          <w:color w:val="000000"/>
          <w:sz w:val="28"/>
          <w:szCs w:val="28"/>
        </w:rPr>
        <w:t>附件：</w:t>
      </w:r>
      <w:r>
        <w:rPr>
          <w:rFonts w:hint="eastAsia" w:ascii="仿宋_GB2312" w:hAnsi="宋体" w:eastAsia="仿宋_GB2312" w:cs="仿宋_GB2312"/>
          <w:b w:val="0"/>
          <w:bCs w:val="0"/>
          <w:color w:val="000000"/>
          <w:sz w:val="28"/>
          <w:szCs w:val="28"/>
          <w:lang w:val="en-US" w:eastAsia="zh-CN"/>
        </w:rPr>
        <w:t>2024年度</w:t>
      </w:r>
      <w:r>
        <w:rPr>
          <w:rFonts w:hint="eastAsia" w:ascii="仿宋_GB2312" w:hAnsi="宋体" w:eastAsia="仿宋_GB2312" w:cs="仿宋_GB2312"/>
          <w:b w:val="0"/>
          <w:bCs w:val="0"/>
          <w:color w:val="000000"/>
          <w:sz w:val="28"/>
          <w:szCs w:val="28"/>
        </w:rPr>
        <w:t>青田县农业农村局</w:t>
      </w:r>
      <w:r>
        <w:rPr>
          <w:rFonts w:hint="eastAsia" w:ascii="仿宋_GB2312" w:hAnsi="宋体" w:eastAsia="仿宋_GB2312" w:cs="仿宋_GB2312"/>
          <w:b w:val="0"/>
          <w:bCs w:val="0"/>
          <w:color w:val="000000"/>
          <w:sz w:val="28"/>
          <w:szCs w:val="28"/>
          <w:lang w:eastAsia="zh-CN"/>
        </w:rPr>
        <w:t>冬季</w:t>
      </w:r>
      <w:r>
        <w:rPr>
          <w:rFonts w:hint="eastAsia" w:ascii="仿宋_GB2312" w:hAnsi="宋体" w:eastAsia="仿宋_GB2312" w:cs="仿宋_GB2312"/>
          <w:b w:val="0"/>
          <w:bCs w:val="0"/>
          <w:color w:val="000000"/>
          <w:sz w:val="28"/>
          <w:szCs w:val="28"/>
        </w:rPr>
        <w:t>增殖放流</w:t>
      </w:r>
      <w:r>
        <w:rPr>
          <w:rFonts w:hint="eastAsia" w:ascii="仿宋_GB2312" w:hAnsi="宋体" w:eastAsia="仿宋_GB2312" w:cs="仿宋_GB2312"/>
          <w:b w:val="0"/>
          <w:bCs w:val="0"/>
          <w:color w:val="000000"/>
          <w:sz w:val="28"/>
          <w:szCs w:val="28"/>
          <w:lang w:eastAsia="zh-CN"/>
        </w:rPr>
        <w:t>大规格</w:t>
      </w:r>
      <w:r>
        <w:rPr>
          <w:rFonts w:hint="eastAsia" w:ascii="仿宋_GB2312" w:hAnsi="宋体" w:eastAsia="仿宋_GB2312" w:cs="仿宋_GB2312"/>
          <w:b w:val="0"/>
          <w:bCs w:val="0"/>
          <w:color w:val="000000"/>
          <w:sz w:val="28"/>
          <w:szCs w:val="28"/>
        </w:rPr>
        <w:t>鱼</w:t>
      </w:r>
      <w:r>
        <w:rPr>
          <w:rFonts w:hint="eastAsia" w:ascii="仿宋_GB2312" w:hAnsi="宋体" w:eastAsia="仿宋_GB2312" w:cs="仿宋_GB2312"/>
          <w:b w:val="0"/>
          <w:bCs w:val="0"/>
          <w:color w:val="000000"/>
          <w:sz w:val="28"/>
          <w:szCs w:val="28"/>
          <w:lang w:eastAsia="zh-CN"/>
        </w:rPr>
        <w:t>种</w:t>
      </w:r>
      <w:bookmarkStart w:id="7" w:name="_GoBack"/>
      <w:bookmarkEnd w:id="7"/>
      <w:r>
        <w:rPr>
          <w:rFonts w:hint="eastAsia" w:ascii="仿宋_GB2312" w:hAnsi="宋体" w:eastAsia="仿宋_GB2312" w:cs="仿宋_GB2312"/>
          <w:b w:val="0"/>
          <w:bCs w:val="0"/>
          <w:color w:val="000000"/>
          <w:sz w:val="28"/>
          <w:szCs w:val="28"/>
        </w:rPr>
        <w:t>采购要求（</w:t>
      </w:r>
      <w:r>
        <w:rPr>
          <w:rFonts w:hint="eastAsia" w:ascii="仿宋_GB2312" w:hAnsi="宋体" w:eastAsia="仿宋_GB2312" w:cs="仿宋_GB2312"/>
          <w:b w:val="0"/>
          <w:bCs w:val="0"/>
          <w:color w:val="000000"/>
          <w:sz w:val="28"/>
          <w:szCs w:val="28"/>
          <w:lang w:eastAsia="zh-CN"/>
        </w:rPr>
        <w:t>光倒刺鲃</w:t>
      </w:r>
      <w:r>
        <w:rPr>
          <w:rFonts w:hint="eastAsia" w:ascii="仿宋_GB2312" w:hAnsi="宋体" w:eastAsia="仿宋_GB2312" w:cs="仿宋_GB2312"/>
          <w:b w:val="0"/>
          <w:bCs w:val="0"/>
          <w:color w:val="000000"/>
          <w:sz w:val="28"/>
          <w:szCs w:val="28"/>
        </w:rPr>
        <w:t>）</w:t>
      </w:r>
    </w:p>
    <w:p w14:paraId="47CF6F95">
      <w:pPr>
        <w:pStyle w:val="2"/>
        <w:spacing w:line="312" w:lineRule="auto"/>
        <w:jc w:val="both"/>
        <w:rPr>
          <w:rFonts w:ascii="仿宋_GB2312" w:eastAsia="仿宋_GB2312" w:cs="Times New Roman"/>
          <w:b w:val="0"/>
          <w:bCs w:val="0"/>
          <w:sz w:val="28"/>
          <w:szCs w:val="28"/>
        </w:rPr>
      </w:pPr>
      <w:r>
        <w:rPr>
          <w:rFonts w:ascii="仿宋_GB2312" w:eastAsia="仿宋_GB2312" w:cs="仿宋_GB2312"/>
          <w:b w:val="0"/>
          <w:bCs w:val="0"/>
          <w:sz w:val="28"/>
          <w:szCs w:val="28"/>
        </w:rPr>
        <w:t>1</w:t>
      </w:r>
      <w:r>
        <w:rPr>
          <w:rFonts w:hint="eastAsia" w:ascii="仿宋_GB2312" w:eastAsia="仿宋_GB2312" w:cs="仿宋_GB2312"/>
          <w:b w:val="0"/>
          <w:bCs w:val="0"/>
          <w:sz w:val="28"/>
          <w:szCs w:val="28"/>
        </w:rPr>
        <w:t>、投标人资格要求</w:t>
      </w:r>
      <w:bookmarkEnd w:id="0"/>
    </w:p>
    <w:p w14:paraId="7D38C0CC">
      <w:pPr>
        <w:adjustRightInd w:val="0"/>
        <w:snapToGrid w:val="0"/>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）符合《中华人民共和国政府采购法》第二十二条规定的供应商资格条件；</w:t>
      </w:r>
    </w:p>
    <w:p w14:paraId="58432DAD">
      <w:pPr>
        <w:adjustRightInd w:val="0"/>
        <w:snapToGrid w:val="0"/>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）投标人必须具有有效的水产种苗生产许可证；</w:t>
      </w:r>
    </w:p>
    <w:p w14:paraId="71ECEF89">
      <w:pPr>
        <w:snapToGrid w:val="0"/>
        <w:spacing w:line="360" w:lineRule="auto"/>
        <w:rPr>
          <w:rFonts w:ascii="仿宋_GB2312" w:hAnsi="宋体" w:eastAsia="仿宋_GB2312" w:cs="Times New Roman"/>
          <w:color w:val="000000"/>
          <w:kern w:val="0"/>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3</w:t>
      </w:r>
      <w:r>
        <w:rPr>
          <w:rFonts w:hint="eastAsia" w:ascii="仿宋_GB2312" w:hAnsi="宋体" w:eastAsia="仿宋_GB2312" w:cs="仿宋_GB2312"/>
          <w:sz w:val="28"/>
          <w:szCs w:val="28"/>
        </w:rPr>
        <w:t>）</w:t>
      </w:r>
      <w:r>
        <w:rPr>
          <w:rFonts w:hint="eastAsia" w:ascii="仿宋_GB2312" w:hAnsi="宋体" w:eastAsia="仿宋_GB2312" w:cs="仿宋_GB2312"/>
          <w:color w:val="000000"/>
          <w:kern w:val="0"/>
          <w:sz w:val="28"/>
          <w:szCs w:val="28"/>
        </w:rPr>
        <w:t>供应商必须遵守浙江省水生生物增殖放流工作规程；</w:t>
      </w:r>
    </w:p>
    <w:p w14:paraId="1ED5B1B3">
      <w:pPr>
        <w:snapToGrid w:val="0"/>
        <w:spacing w:line="360" w:lineRule="auto"/>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4</w:t>
      </w:r>
      <w:r>
        <w:rPr>
          <w:rFonts w:hint="eastAsia" w:ascii="仿宋_GB2312" w:hAnsi="宋体" w:eastAsia="仿宋_GB2312" w:cs="仿宋_GB2312"/>
          <w:color w:val="000000"/>
          <w:sz w:val="28"/>
          <w:szCs w:val="28"/>
        </w:rPr>
        <w:t>）本项目不接受联合体投标。</w:t>
      </w:r>
    </w:p>
    <w:p w14:paraId="5F49708E">
      <w:pPr>
        <w:pStyle w:val="2"/>
        <w:spacing w:line="312" w:lineRule="auto"/>
        <w:jc w:val="both"/>
        <w:rPr>
          <w:rFonts w:ascii="仿宋_GB2312" w:eastAsia="仿宋_GB2312" w:cs="Times New Roman"/>
          <w:b w:val="0"/>
          <w:bCs w:val="0"/>
          <w:sz w:val="28"/>
          <w:szCs w:val="28"/>
        </w:rPr>
      </w:pPr>
      <w:r>
        <w:rPr>
          <w:rFonts w:ascii="仿宋_GB2312" w:hAnsi="宋体" w:eastAsia="仿宋_GB2312" w:cs="仿宋_GB2312"/>
          <w:b w:val="0"/>
          <w:bCs w:val="0"/>
          <w:sz w:val="28"/>
          <w:szCs w:val="28"/>
        </w:rPr>
        <w:t>2</w:t>
      </w:r>
      <w:r>
        <w:rPr>
          <w:rFonts w:hint="eastAsia" w:ascii="仿宋_GB2312" w:hAnsi="宋体" w:eastAsia="仿宋_GB2312" w:cs="仿宋_GB2312"/>
          <w:b w:val="0"/>
          <w:bCs w:val="0"/>
          <w:sz w:val="28"/>
          <w:szCs w:val="28"/>
        </w:rPr>
        <w:t>、采购要求</w:t>
      </w:r>
      <w:bookmarkEnd w:id="1"/>
    </w:p>
    <w:p w14:paraId="13983E8E">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1</w:t>
      </w:r>
      <w:r>
        <w:rPr>
          <w:rFonts w:hint="eastAsia" w:ascii="仿宋_GB2312" w:hAnsi="宋体" w:eastAsia="仿宋_GB2312" w:cs="仿宋_GB2312"/>
          <w:sz w:val="28"/>
          <w:szCs w:val="28"/>
        </w:rPr>
        <w:t>）质量要求：非疫区鱼苗，鱼苗规格整齐，健康活泼，无伤病。</w:t>
      </w:r>
    </w:p>
    <w:p w14:paraId="5682358B">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2</w:t>
      </w:r>
      <w:r>
        <w:rPr>
          <w:rFonts w:hint="eastAsia" w:ascii="仿宋_GB2312" w:hAnsi="宋体" w:eastAsia="仿宋_GB2312" w:cs="仿宋_GB2312"/>
          <w:sz w:val="28"/>
          <w:szCs w:val="28"/>
        </w:rPr>
        <w:t>）放流要求：放流前，中标人须提供专业机构出具的种苗质量检验及病害检疫报告，确保放流种苗健康无病害。同时，招标人有权对鱼苗进行病害检查。</w:t>
      </w:r>
    </w:p>
    <w:p w14:paraId="0BB56419">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3</w:t>
      </w:r>
      <w:r>
        <w:rPr>
          <w:rFonts w:hint="eastAsia" w:ascii="仿宋_GB2312" w:hAnsi="宋体" w:eastAsia="仿宋_GB2312" w:cs="仿宋_GB2312"/>
          <w:sz w:val="28"/>
          <w:szCs w:val="28"/>
        </w:rPr>
        <w:t>）验收要求：招标人将对鱼苗进行规格测量、数量统计、验收等。</w:t>
      </w:r>
    </w:p>
    <w:p w14:paraId="4F2748F4">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4</w:t>
      </w:r>
      <w:r>
        <w:rPr>
          <w:rFonts w:hint="eastAsia" w:ascii="仿宋_GB2312" w:hAnsi="宋体" w:eastAsia="仿宋_GB2312" w:cs="仿宋_GB2312"/>
          <w:sz w:val="28"/>
          <w:szCs w:val="28"/>
        </w:rPr>
        <w:t>）供货时间：中标人在</w:t>
      </w:r>
      <w:r>
        <w:rPr>
          <w:rFonts w:ascii="仿宋_GB2312" w:hAnsi="宋体" w:eastAsia="仿宋_GB2312" w:cs="仿宋_GB2312"/>
          <w:sz w:val="28"/>
          <w:szCs w:val="28"/>
        </w:rPr>
        <w:t>20</w:t>
      </w:r>
      <w:r>
        <w:rPr>
          <w:rFonts w:hint="eastAsia" w:ascii="仿宋_GB2312" w:hAnsi="宋体" w:eastAsia="仿宋_GB2312" w:cs="仿宋_GB2312"/>
          <w:sz w:val="28"/>
          <w:szCs w:val="28"/>
        </w:rPr>
        <w:t>2</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年</w:t>
      </w:r>
      <w:r>
        <w:rPr>
          <w:rFonts w:hint="eastAsia" w:ascii="仿宋_GB2312" w:hAnsi="宋体" w:eastAsia="仿宋_GB2312" w:cs="仿宋_GB2312"/>
          <w:sz w:val="28"/>
          <w:szCs w:val="28"/>
          <w:lang w:val="en-US" w:eastAsia="zh-CN"/>
        </w:rPr>
        <w:t>11</w:t>
      </w:r>
      <w:r>
        <w:rPr>
          <w:rFonts w:hint="eastAsia" w:ascii="仿宋_GB2312" w:hAnsi="宋体" w:eastAsia="仿宋_GB2312" w:cs="仿宋_GB2312"/>
          <w:sz w:val="28"/>
          <w:szCs w:val="28"/>
        </w:rPr>
        <w:t>月</w:t>
      </w:r>
      <w:r>
        <w:rPr>
          <w:rFonts w:ascii="仿宋_GB2312" w:hAnsi="宋体" w:eastAsia="仿宋_GB2312" w:cs="仿宋_GB2312"/>
          <w:sz w:val="28"/>
          <w:szCs w:val="28"/>
        </w:rPr>
        <w:t>31</w:t>
      </w:r>
      <w:r>
        <w:rPr>
          <w:rFonts w:hint="eastAsia" w:ascii="仿宋_GB2312" w:hAnsi="宋体" w:eastAsia="仿宋_GB2312" w:cs="仿宋_GB2312"/>
          <w:sz w:val="28"/>
          <w:szCs w:val="28"/>
        </w:rPr>
        <w:t>日前完成所有鱼种供货并经招标人验收合格，同时中标人按时完成鱼苗放流。</w:t>
      </w:r>
    </w:p>
    <w:p w14:paraId="60F28500">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5</w:t>
      </w:r>
      <w:r>
        <w:rPr>
          <w:rFonts w:hint="eastAsia" w:ascii="仿宋_GB2312" w:hAnsi="宋体" w:eastAsia="仿宋_GB2312" w:cs="仿宋_GB2312"/>
          <w:sz w:val="28"/>
          <w:szCs w:val="28"/>
        </w:rPr>
        <w:t>）供货地点：中标人应将鱼种免费送达招标人指定放流区域。</w:t>
      </w:r>
    </w:p>
    <w:p w14:paraId="122579D2">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6</w:t>
      </w:r>
      <w:r>
        <w:rPr>
          <w:rFonts w:hint="eastAsia" w:ascii="仿宋_GB2312" w:hAnsi="宋体" w:eastAsia="仿宋_GB2312" w:cs="仿宋_GB2312"/>
          <w:sz w:val="28"/>
          <w:szCs w:val="28"/>
        </w:rPr>
        <w:t>）供货要求：中标人可多批次供货，每批次鱼种供货</w:t>
      </w:r>
      <w:r>
        <w:rPr>
          <w:rFonts w:ascii="仿宋_GB2312" w:hAnsi="宋体" w:eastAsia="仿宋_GB2312" w:cs="仿宋_GB2312"/>
          <w:sz w:val="28"/>
          <w:szCs w:val="28"/>
        </w:rPr>
        <w:t>7</w:t>
      </w:r>
      <w:r>
        <w:rPr>
          <w:rFonts w:hint="eastAsia" w:ascii="仿宋_GB2312" w:hAnsi="宋体" w:eastAsia="仿宋_GB2312" w:cs="仿宋_GB2312"/>
          <w:sz w:val="28"/>
          <w:szCs w:val="28"/>
        </w:rPr>
        <w:t>日前须将苗种）的投放量报备招标人，经招标人同意后方可供货，否则招标人有权拒收。</w:t>
      </w:r>
    </w:p>
    <w:p w14:paraId="38A62CB8">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7</w:t>
      </w:r>
      <w:r>
        <w:rPr>
          <w:rFonts w:hint="eastAsia" w:ascii="仿宋_GB2312" w:hAnsi="宋体" w:eastAsia="仿宋_GB2312" w:cs="仿宋_GB2312"/>
          <w:sz w:val="28"/>
          <w:szCs w:val="28"/>
        </w:rPr>
        <w:t>）货款支付：中标人每批次鱼苗放流后须招标人签字确认，经招标人签字确认的货款累计达</w:t>
      </w:r>
      <w:r>
        <w:rPr>
          <w:rFonts w:ascii="仿宋_GB2312" w:hAnsi="宋体" w:eastAsia="仿宋_GB2312" w:cs="仿宋_GB2312"/>
          <w:sz w:val="28"/>
          <w:szCs w:val="28"/>
        </w:rPr>
        <w:t>5</w:t>
      </w:r>
      <w:r>
        <w:rPr>
          <w:rFonts w:hint="eastAsia" w:ascii="仿宋_GB2312" w:hAnsi="宋体" w:eastAsia="仿宋_GB2312" w:cs="仿宋_GB2312"/>
          <w:sz w:val="28"/>
          <w:szCs w:val="28"/>
        </w:rPr>
        <w:t>万元（含）以上，中标人即可凭鱼苗放流确认单及发票结算该额度的货款。中标人在货物采购时间内完成所有鱼苗放流任务并经招标人签字确认的，招标人将结清剩余款项。</w:t>
      </w:r>
    </w:p>
    <w:p w14:paraId="1B7608AF">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8</w:t>
      </w:r>
      <w:r>
        <w:rPr>
          <w:rFonts w:hint="eastAsia" w:ascii="仿宋_GB2312" w:hAnsi="宋体" w:eastAsia="仿宋_GB2312" w:cs="仿宋_GB2312"/>
          <w:sz w:val="28"/>
          <w:szCs w:val="28"/>
        </w:rPr>
        <w:t>）确保种苗放流效果和质量，并建立预期生态、社会效益等重要信息，协助招标人种苗检疫、跟踪监测、效果评估等服务要求。</w:t>
      </w:r>
    </w:p>
    <w:p w14:paraId="59DA1808">
      <w:pPr>
        <w:snapToGrid w:val="0"/>
        <w:spacing w:line="360" w:lineRule="auto"/>
        <w:ind w:left="-61" w:leftChars="-29"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9</w:t>
      </w:r>
      <w:r>
        <w:rPr>
          <w:rFonts w:hint="eastAsia" w:ascii="仿宋_GB2312" w:hAnsi="宋体" w:eastAsia="仿宋_GB2312" w:cs="仿宋_GB2312"/>
          <w:sz w:val="28"/>
          <w:szCs w:val="28"/>
        </w:rPr>
        <w:t>）中标人必须遵守</w:t>
      </w:r>
      <w:r>
        <w:rPr>
          <w:rFonts w:hint="eastAsia" w:ascii="仿宋_GB2312" w:hAnsi="宋体" w:eastAsia="仿宋_GB2312" w:cs="仿宋_GB2312"/>
          <w:color w:val="000000"/>
          <w:kern w:val="0"/>
          <w:sz w:val="28"/>
          <w:szCs w:val="28"/>
        </w:rPr>
        <w:t>浙江省水生生物增殖放流工作规程</w:t>
      </w:r>
      <w:r>
        <w:rPr>
          <w:rFonts w:hint="eastAsia" w:ascii="仿宋_GB2312" w:hAnsi="宋体" w:eastAsia="仿宋_GB2312" w:cs="仿宋_GB2312"/>
          <w:sz w:val="28"/>
          <w:szCs w:val="28"/>
        </w:rPr>
        <w:t>，并接受采购单位监管。</w:t>
      </w:r>
    </w:p>
    <w:p w14:paraId="2D2BE957">
      <w:pPr>
        <w:pStyle w:val="2"/>
        <w:spacing w:line="312" w:lineRule="auto"/>
        <w:ind w:firstLine="274" w:firstLineChars="98"/>
        <w:jc w:val="both"/>
        <w:rPr>
          <w:rFonts w:hint="eastAsia" w:ascii="仿宋_GB2312" w:hAnsi="宋体" w:eastAsia="仿宋_GB2312" w:cs="仿宋_GB2312"/>
          <w:b w:val="0"/>
          <w:bCs w:val="0"/>
          <w:sz w:val="28"/>
          <w:szCs w:val="28"/>
        </w:rPr>
      </w:pPr>
      <w:bookmarkStart w:id="2" w:name="_Toc1334"/>
      <w:bookmarkStart w:id="3" w:name="_Toc311794068"/>
      <w:bookmarkStart w:id="4" w:name="_Toc310341655"/>
      <w:bookmarkStart w:id="5" w:name="_Toc325727666"/>
      <w:bookmarkStart w:id="6" w:name="_Toc326591493"/>
      <w:r>
        <w:rPr>
          <w:rFonts w:hint="eastAsia" w:ascii="仿宋_GB2312" w:hAnsi="宋体" w:eastAsia="仿宋_GB2312" w:cs="仿宋_GB2312"/>
          <w:b w:val="0"/>
          <w:bCs w:val="0"/>
          <w:sz w:val="28"/>
          <w:szCs w:val="28"/>
        </w:rPr>
        <w:t>（</w:t>
      </w:r>
      <w:r>
        <w:rPr>
          <w:rFonts w:ascii="仿宋_GB2312" w:hAnsi="宋体" w:eastAsia="仿宋_GB2312" w:cs="仿宋_GB2312"/>
          <w:b w:val="0"/>
          <w:bCs w:val="0"/>
          <w:sz w:val="28"/>
          <w:szCs w:val="28"/>
        </w:rPr>
        <w:t>10</w:t>
      </w:r>
      <w:r>
        <w:rPr>
          <w:rFonts w:hint="eastAsia" w:ascii="仿宋_GB2312" w:hAnsi="宋体" w:eastAsia="仿宋_GB2312" w:cs="仿宋_GB2312"/>
          <w:b w:val="0"/>
          <w:bCs w:val="0"/>
          <w:sz w:val="28"/>
          <w:szCs w:val="28"/>
        </w:rPr>
        <w:t>）货物清单</w:t>
      </w:r>
      <w:bookmarkEnd w:id="2"/>
      <w:r>
        <w:rPr>
          <w:rFonts w:hint="eastAsia" w:ascii="仿宋_GB2312" w:hAnsi="宋体" w:eastAsia="仿宋_GB2312" w:cs="仿宋_GB2312"/>
          <w:b w:val="0"/>
          <w:bCs w:val="0"/>
          <w:sz w:val="28"/>
          <w:szCs w:val="28"/>
        </w:rPr>
        <w:t>、规格要求</w:t>
      </w:r>
    </w:p>
    <w:p w14:paraId="2F9E0C29">
      <w:pPr>
        <w:rPr>
          <w:rFonts w:hint="default" w:eastAsia="仿宋_GB2312"/>
          <w:lang w:val="en-US" w:eastAsia="zh-CN"/>
        </w:rPr>
      </w:pPr>
    </w:p>
    <w:tbl>
      <w:tblPr>
        <w:tblStyle w:val="3"/>
        <w:tblW w:w="0" w:type="auto"/>
        <w:jc w:val="center"/>
        <w:tblLayout w:type="fixed"/>
        <w:tblCellMar>
          <w:top w:w="15" w:type="dxa"/>
          <w:left w:w="108" w:type="dxa"/>
          <w:bottom w:w="15" w:type="dxa"/>
          <w:right w:w="108" w:type="dxa"/>
        </w:tblCellMar>
      </w:tblPr>
      <w:tblGrid>
        <w:gridCol w:w="503"/>
        <w:gridCol w:w="1395"/>
        <w:gridCol w:w="2160"/>
        <w:gridCol w:w="1305"/>
        <w:gridCol w:w="1545"/>
        <w:gridCol w:w="1478"/>
      </w:tblGrid>
      <w:tr w14:paraId="3CF9CE4A">
        <w:tblPrEx>
          <w:tblCellMar>
            <w:top w:w="15" w:type="dxa"/>
            <w:left w:w="108" w:type="dxa"/>
            <w:bottom w:w="15" w:type="dxa"/>
            <w:right w:w="108" w:type="dxa"/>
          </w:tblCellMar>
        </w:tblPrEx>
        <w:trPr>
          <w:trHeight w:val="1135" w:hRule="atLeast"/>
          <w:jc w:val="center"/>
        </w:trPr>
        <w:tc>
          <w:tcPr>
            <w:tcW w:w="503" w:type="dxa"/>
            <w:tcBorders>
              <w:top w:val="single" w:color="000000" w:sz="4" w:space="0"/>
              <w:left w:val="single" w:color="000000" w:sz="4" w:space="0"/>
              <w:bottom w:val="single" w:color="auto" w:sz="4" w:space="0"/>
              <w:right w:val="single" w:color="000000" w:sz="4" w:space="0"/>
            </w:tcBorders>
            <w:vAlign w:val="center"/>
          </w:tcPr>
          <w:p w14:paraId="315597A6">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序号</w:t>
            </w:r>
          </w:p>
        </w:tc>
        <w:tc>
          <w:tcPr>
            <w:tcW w:w="1395" w:type="dxa"/>
            <w:tcBorders>
              <w:top w:val="single" w:color="000000" w:sz="4" w:space="0"/>
              <w:left w:val="single" w:color="000000" w:sz="4" w:space="0"/>
              <w:right w:val="single" w:color="000000" w:sz="4" w:space="0"/>
            </w:tcBorders>
            <w:vAlign w:val="center"/>
          </w:tcPr>
          <w:p w14:paraId="27D607BD">
            <w:pPr>
              <w:widowControl/>
              <w:ind w:left="-23" w:leftChars="-11"/>
              <w:jc w:val="center"/>
              <w:rPr>
                <w:rFonts w:ascii="仿宋_GB2312" w:hAnsi="宋体" w:eastAsia="仿宋_GB2312" w:cs="Times New Roman"/>
                <w:kern w:val="0"/>
                <w:sz w:val="28"/>
                <w:szCs w:val="28"/>
              </w:rPr>
            </w:pPr>
            <w:r>
              <w:rPr>
                <w:rFonts w:hint="eastAsia" w:ascii="仿宋_GB2312" w:hAnsi="宋体" w:eastAsia="仿宋_GB2312" w:cs="仿宋_GB2312"/>
                <w:sz w:val="28"/>
                <w:szCs w:val="28"/>
              </w:rPr>
              <w:t>鱼种</w:t>
            </w:r>
            <w:r>
              <w:rPr>
                <w:rFonts w:hint="eastAsia" w:ascii="仿宋_GB2312" w:hAnsi="宋体" w:eastAsia="仿宋_GB2312" w:cs="仿宋_GB2312"/>
                <w:kern w:val="0"/>
                <w:sz w:val="28"/>
                <w:szCs w:val="28"/>
              </w:rPr>
              <w:t>名称</w:t>
            </w:r>
          </w:p>
        </w:tc>
        <w:tc>
          <w:tcPr>
            <w:tcW w:w="2160" w:type="dxa"/>
            <w:tcBorders>
              <w:top w:val="single" w:color="000000" w:sz="4" w:space="0"/>
              <w:left w:val="single" w:color="000000" w:sz="4" w:space="0"/>
              <w:right w:val="single" w:color="000000" w:sz="4" w:space="0"/>
            </w:tcBorders>
            <w:vAlign w:val="center"/>
          </w:tcPr>
          <w:p w14:paraId="7312021F">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规格及技术描述</w:t>
            </w:r>
          </w:p>
        </w:tc>
        <w:tc>
          <w:tcPr>
            <w:tcW w:w="1305" w:type="dxa"/>
            <w:tcBorders>
              <w:top w:val="single" w:color="000000" w:sz="4" w:space="0"/>
              <w:left w:val="single" w:color="000000" w:sz="4" w:space="0"/>
              <w:right w:val="single" w:color="auto" w:sz="4" w:space="0"/>
            </w:tcBorders>
            <w:vAlign w:val="center"/>
          </w:tcPr>
          <w:p w14:paraId="038409A0">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预算指导价</w:t>
            </w:r>
          </w:p>
          <w:p w14:paraId="7C4148FE">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（万元）</w:t>
            </w:r>
          </w:p>
        </w:tc>
        <w:tc>
          <w:tcPr>
            <w:tcW w:w="1545" w:type="dxa"/>
            <w:tcBorders>
              <w:top w:val="single" w:color="000000" w:sz="4" w:space="0"/>
              <w:left w:val="single" w:color="auto" w:sz="4" w:space="0"/>
              <w:right w:val="single" w:color="000000" w:sz="4" w:space="0"/>
            </w:tcBorders>
            <w:vAlign w:val="center"/>
          </w:tcPr>
          <w:p w14:paraId="13520C39">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综合单价最高限价</w:t>
            </w:r>
          </w:p>
          <w:p w14:paraId="3EE7DBBF">
            <w:pPr>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（元</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rPr>
              <w:t>尾）</w:t>
            </w:r>
          </w:p>
        </w:tc>
        <w:tc>
          <w:tcPr>
            <w:tcW w:w="1478" w:type="dxa"/>
            <w:tcBorders>
              <w:top w:val="single" w:color="000000" w:sz="4" w:space="0"/>
              <w:left w:val="single" w:color="000000" w:sz="4" w:space="0"/>
              <w:right w:val="single" w:color="000000" w:sz="4" w:space="0"/>
            </w:tcBorders>
            <w:vAlign w:val="center"/>
          </w:tcPr>
          <w:p w14:paraId="3B6E1D04">
            <w:pPr>
              <w:widowControl/>
              <w:jc w:val="center"/>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供苗时间</w:t>
            </w:r>
          </w:p>
        </w:tc>
      </w:tr>
      <w:tr w14:paraId="4347AD63">
        <w:tblPrEx>
          <w:tblCellMar>
            <w:top w:w="15" w:type="dxa"/>
            <w:left w:w="108" w:type="dxa"/>
            <w:bottom w:w="15" w:type="dxa"/>
            <w:right w:w="108" w:type="dxa"/>
          </w:tblCellMar>
        </w:tblPrEx>
        <w:trPr>
          <w:trHeight w:val="741" w:hRule="atLeast"/>
          <w:jc w:val="center"/>
        </w:trPr>
        <w:tc>
          <w:tcPr>
            <w:tcW w:w="503" w:type="dxa"/>
            <w:tcBorders>
              <w:top w:val="single" w:color="auto" w:sz="4" w:space="0"/>
              <w:left w:val="single" w:color="000000" w:sz="4" w:space="0"/>
              <w:bottom w:val="single" w:color="auto" w:sz="4" w:space="0"/>
              <w:right w:val="single" w:color="000000" w:sz="4" w:space="0"/>
            </w:tcBorders>
          </w:tcPr>
          <w:p w14:paraId="020BFB49">
            <w:pPr>
              <w:rPr>
                <w:rFonts w:ascii="仿宋_GB2312" w:eastAsia="仿宋_GB2312"/>
                <w:sz w:val="28"/>
                <w:szCs w:val="28"/>
              </w:rPr>
            </w:pPr>
            <w:r>
              <w:rPr>
                <w:rFonts w:hint="eastAsia" w:ascii="仿宋_GB2312" w:eastAsia="仿宋_GB2312"/>
                <w:sz w:val="28"/>
                <w:szCs w:val="28"/>
              </w:rPr>
              <w:t>2</w:t>
            </w:r>
          </w:p>
        </w:tc>
        <w:tc>
          <w:tcPr>
            <w:tcW w:w="1395" w:type="dxa"/>
            <w:tcBorders>
              <w:top w:val="single" w:color="000000" w:sz="4" w:space="0"/>
              <w:left w:val="single" w:color="000000" w:sz="4" w:space="0"/>
              <w:bottom w:val="single" w:color="000000" w:sz="4" w:space="0"/>
              <w:right w:val="single" w:color="000000" w:sz="4" w:space="0"/>
            </w:tcBorders>
          </w:tcPr>
          <w:p w14:paraId="55256296">
            <w:pPr>
              <w:rPr>
                <w:rFonts w:ascii="仿宋_GB2312" w:eastAsia="仿宋_GB2312"/>
                <w:sz w:val="28"/>
                <w:szCs w:val="28"/>
              </w:rPr>
            </w:pPr>
            <w:r>
              <w:rPr>
                <w:rFonts w:hint="eastAsia" w:ascii="仿宋_GB2312" w:eastAsia="仿宋_GB2312"/>
                <w:sz w:val="28"/>
                <w:szCs w:val="28"/>
                <w:lang w:eastAsia="zh-CN"/>
              </w:rPr>
              <w:t>光倒刺鲃</w:t>
            </w:r>
            <w:r>
              <w:rPr>
                <w:rFonts w:hint="eastAsia" w:ascii="仿宋_GB2312" w:hAnsi="宋体" w:eastAsia="仿宋_GB2312"/>
                <w:sz w:val="28"/>
                <w:szCs w:val="28"/>
              </w:rPr>
              <w:t>鱼种</w:t>
            </w:r>
          </w:p>
        </w:tc>
        <w:tc>
          <w:tcPr>
            <w:tcW w:w="2160" w:type="dxa"/>
            <w:tcBorders>
              <w:top w:val="single" w:color="000000" w:sz="4" w:space="0"/>
              <w:left w:val="single" w:color="000000" w:sz="4" w:space="0"/>
              <w:bottom w:val="single" w:color="000000" w:sz="4" w:space="0"/>
              <w:right w:val="single" w:color="000000" w:sz="4" w:space="0"/>
            </w:tcBorders>
          </w:tcPr>
          <w:p w14:paraId="644531D1">
            <w:pPr>
              <w:rPr>
                <w:rFonts w:ascii="仿宋_GB2312" w:eastAsia="仿宋_GB2312"/>
                <w:sz w:val="28"/>
                <w:szCs w:val="28"/>
              </w:rPr>
            </w:pPr>
            <w:r>
              <w:rPr>
                <w:rFonts w:hint="eastAsia" w:ascii="仿宋_GB2312" w:eastAsia="仿宋_GB2312"/>
                <w:sz w:val="28"/>
                <w:szCs w:val="28"/>
              </w:rPr>
              <w:t xml:space="preserve"> 体长≥</w:t>
            </w:r>
            <w:r>
              <w:rPr>
                <w:rFonts w:hint="eastAsia" w:ascii="仿宋_GB2312" w:eastAsia="仿宋_GB2312"/>
                <w:sz w:val="28"/>
                <w:szCs w:val="28"/>
                <w:lang w:val="en-US" w:eastAsia="zh-CN"/>
              </w:rPr>
              <w:t>8c</w:t>
            </w:r>
            <w:r>
              <w:rPr>
                <w:rFonts w:hint="eastAsia" w:ascii="仿宋_GB2312" w:eastAsia="仿宋_GB2312"/>
                <w:sz w:val="28"/>
                <w:szCs w:val="28"/>
              </w:rPr>
              <w:t>m</w:t>
            </w:r>
          </w:p>
        </w:tc>
        <w:tc>
          <w:tcPr>
            <w:tcW w:w="1305" w:type="dxa"/>
            <w:tcBorders>
              <w:top w:val="single" w:color="000000" w:sz="4" w:space="0"/>
              <w:left w:val="single" w:color="000000" w:sz="4" w:space="0"/>
              <w:bottom w:val="single" w:color="000000" w:sz="4" w:space="0"/>
              <w:right w:val="single" w:color="auto" w:sz="4" w:space="0"/>
            </w:tcBorders>
          </w:tcPr>
          <w:p w14:paraId="14E2EB52">
            <w:pPr>
              <w:rPr>
                <w:rFonts w:hint="default" w:ascii="仿宋_GB2312" w:eastAsia="仿宋_GB2312"/>
                <w:sz w:val="28"/>
                <w:szCs w:val="28"/>
                <w:lang w:val="en-US" w:eastAsia="zh-CN"/>
              </w:rPr>
            </w:pPr>
            <w:r>
              <w:rPr>
                <w:rFonts w:hint="eastAsia" w:ascii="仿宋_GB2312" w:eastAsia="仿宋_GB2312"/>
                <w:sz w:val="28"/>
                <w:szCs w:val="28"/>
                <w:lang w:val="en-US" w:eastAsia="zh-CN"/>
              </w:rPr>
              <w:t>15.00</w:t>
            </w:r>
          </w:p>
        </w:tc>
        <w:tc>
          <w:tcPr>
            <w:tcW w:w="1545" w:type="dxa"/>
            <w:tcBorders>
              <w:top w:val="single" w:color="000000" w:sz="4" w:space="0"/>
              <w:left w:val="single" w:color="auto" w:sz="4" w:space="0"/>
              <w:bottom w:val="single" w:color="000000" w:sz="4" w:space="0"/>
              <w:right w:val="single" w:color="000000" w:sz="4" w:space="0"/>
            </w:tcBorders>
          </w:tcPr>
          <w:p w14:paraId="1B1E63A2">
            <w:pPr>
              <w:rPr>
                <w:rFonts w:hint="default" w:ascii="仿宋_GB2312" w:eastAsia="仿宋_GB2312"/>
                <w:sz w:val="28"/>
                <w:szCs w:val="28"/>
                <w:lang w:val="en-US" w:eastAsia="zh-CN"/>
              </w:rPr>
            </w:pPr>
            <w:r>
              <w:rPr>
                <w:rFonts w:hint="eastAsia" w:ascii="仿宋_GB2312" w:eastAsia="仿宋_GB2312"/>
                <w:sz w:val="28"/>
                <w:szCs w:val="28"/>
                <w:lang w:val="en-US" w:eastAsia="zh-CN"/>
              </w:rPr>
              <w:t>1.2</w:t>
            </w:r>
          </w:p>
        </w:tc>
        <w:tc>
          <w:tcPr>
            <w:tcW w:w="1478" w:type="dxa"/>
            <w:tcBorders>
              <w:top w:val="single" w:color="000000" w:sz="4" w:space="0"/>
              <w:left w:val="single" w:color="000000" w:sz="4" w:space="0"/>
              <w:bottom w:val="single" w:color="000000" w:sz="4" w:space="0"/>
              <w:right w:val="single" w:color="000000" w:sz="4" w:space="0"/>
            </w:tcBorders>
          </w:tcPr>
          <w:p w14:paraId="084AA85D">
            <w:pPr>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 xml:space="preserve">月31日前 </w:t>
            </w:r>
          </w:p>
        </w:tc>
      </w:tr>
      <w:bookmarkEnd w:id="3"/>
      <w:bookmarkEnd w:id="4"/>
      <w:bookmarkEnd w:id="5"/>
      <w:bookmarkEnd w:id="6"/>
    </w:tbl>
    <w:p w14:paraId="350759EA">
      <w:pPr>
        <w:rPr>
          <w:rFonts w:hint="default" w:ascii="仿宋_GB2312"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zEzMjM3ZTE1MTdiMGQ5OGJmNTA4ZWUwMzNhMzAifQ=="/>
  </w:docVars>
  <w:rsids>
    <w:rsidRoot w:val="00371D19"/>
    <w:rsid w:val="0005537E"/>
    <w:rsid w:val="00157A8C"/>
    <w:rsid w:val="00181A79"/>
    <w:rsid w:val="00267449"/>
    <w:rsid w:val="002F2B99"/>
    <w:rsid w:val="00310B43"/>
    <w:rsid w:val="0031418C"/>
    <w:rsid w:val="003459A6"/>
    <w:rsid w:val="00371D19"/>
    <w:rsid w:val="003E78BC"/>
    <w:rsid w:val="00431F6D"/>
    <w:rsid w:val="006538EA"/>
    <w:rsid w:val="00664EC3"/>
    <w:rsid w:val="00697674"/>
    <w:rsid w:val="006C3F52"/>
    <w:rsid w:val="007413A0"/>
    <w:rsid w:val="007541E6"/>
    <w:rsid w:val="007725F9"/>
    <w:rsid w:val="007A5BF9"/>
    <w:rsid w:val="00871682"/>
    <w:rsid w:val="009A3123"/>
    <w:rsid w:val="009B1949"/>
    <w:rsid w:val="009E7A22"/>
    <w:rsid w:val="00A024F3"/>
    <w:rsid w:val="00A40132"/>
    <w:rsid w:val="00B951E4"/>
    <w:rsid w:val="00C80BAA"/>
    <w:rsid w:val="00CC3843"/>
    <w:rsid w:val="00D11F38"/>
    <w:rsid w:val="00E42BA7"/>
    <w:rsid w:val="00E45E61"/>
    <w:rsid w:val="00E470D6"/>
    <w:rsid w:val="00F74AB1"/>
    <w:rsid w:val="00F9674F"/>
    <w:rsid w:val="12DD4005"/>
    <w:rsid w:val="25F64E75"/>
    <w:rsid w:val="2C1B367F"/>
    <w:rsid w:val="2C4300D2"/>
    <w:rsid w:val="2FB51267"/>
    <w:rsid w:val="321F08CF"/>
    <w:rsid w:val="341032E9"/>
    <w:rsid w:val="50A770DF"/>
    <w:rsid w:val="517B6F6C"/>
    <w:rsid w:val="563B30F9"/>
    <w:rsid w:val="5A3B72F9"/>
    <w:rsid w:val="6D7E14B2"/>
    <w:rsid w:val="6E8B1F47"/>
    <w:rsid w:val="7EE9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宋体" w:cs="宋体"/>
      <w:kern w:val="2"/>
      <w:sz w:val="21"/>
      <w:szCs w:val="21"/>
      <w:lang w:val="en-US" w:eastAsia="zh-CN" w:bidi="ar-SA"/>
    </w:rPr>
  </w:style>
  <w:style w:type="paragraph" w:styleId="2">
    <w:name w:val="heading 2"/>
    <w:basedOn w:val="1"/>
    <w:next w:val="1"/>
    <w:link w:val="5"/>
    <w:autoRedefine/>
    <w:qFormat/>
    <w:uiPriority w:val="0"/>
    <w:pPr>
      <w:keepNext/>
      <w:keepLines/>
      <w:spacing w:line="360" w:lineRule="auto"/>
      <w:jc w:val="center"/>
      <w:outlineLvl w:val="1"/>
    </w:pPr>
    <w:rPr>
      <w:rFonts w:ascii="Arial" w:hAnsi="Arial" w:cs="Arial"/>
      <w:b/>
      <w:bCs/>
      <w:sz w:val="30"/>
      <w:szCs w:val="30"/>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autoRedefine/>
    <w:qFormat/>
    <w:locked/>
    <w:uiPriority w:val="0"/>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705</Words>
  <Characters>726</Characters>
  <Lines>5</Lines>
  <Paragraphs>1</Paragraphs>
  <TotalTime>13</TotalTime>
  <ScaleCrop>false</ScaleCrop>
  <LinksUpToDate>false</LinksUpToDate>
  <CharactersWithSpaces>729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2020-04-28T02:44:00Z</dcterms:created>
  <dc:creator>Administrator</dc:creator>
  <cp:lastModifiedBy>舒猛侠</cp:lastModifiedBy>
  <dcterms:modified xsi:type="dcterms:W3CDTF">2024-09-14T03:25:37Z</dcterms:modified>
  <dc:title>附件：青田县农业农村局增殖放流鱼苗采购要求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C336DC2B55964F85BD46CB3821522B4B_13</vt:lpwstr>
  </property>
</Properties>
</file>