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3654" w:firstLineChars="700"/>
        <w:jc w:val="both"/>
        <w:rPr>
          <w:rFonts w:ascii="宋体" w:hAnsi="宋体" w:cs="宋体"/>
          <w:bCs w:val="0"/>
          <w:sz w:val="52"/>
          <w:szCs w:val="52"/>
          <w:lang w:bidi="ar"/>
        </w:rPr>
      </w:pPr>
    </w:p>
    <w:p>
      <w:pPr>
        <w:pStyle w:val="15"/>
        <w:rPr>
          <w:rFonts w:ascii="宋体" w:hAnsi="宋体" w:cs="宋体"/>
          <w:bCs w:val="0"/>
          <w:sz w:val="52"/>
          <w:szCs w:val="52"/>
          <w:lang w:bidi="ar"/>
        </w:rPr>
      </w:pPr>
      <w:r>
        <w:rPr>
          <w:rFonts w:hint="eastAsia" w:ascii="宋体" w:hAnsi="宋体" w:cs="宋体"/>
          <w:bCs w:val="0"/>
          <w:sz w:val="52"/>
          <w:szCs w:val="52"/>
          <w:lang w:bidi="ar"/>
        </w:rPr>
        <w:t>在线询价文件</w:t>
      </w:r>
    </w:p>
    <w:p>
      <w:pPr>
        <w:jc w:val="center"/>
        <w:rPr>
          <w:rFonts w:ascii="宋体" w:hAnsi="宋体" w:cs="宋体"/>
          <w:b/>
          <w:sz w:val="52"/>
          <w:szCs w:val="52"/>
          <w:lang w:bidi="ar"/>
        </w:rPr>
      </w:pPr>
    </w:p>
    <w:p>
      <w:pPr>
        <w:pStyle w:val="8"/>
        <w:jc w:val="center"/>
        <w:rPr>
          <w:lang w:eastAsia="zh-CN"/>
        </w:rPr>
      </w:pPr>
    </w:p>
    <w:p>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hAnsi="宋体" w:cs="宋体"/>
          <w:sz w:val="28"/>
          <w:szCs w:val="28"/>
          <w:lang w:bidi="ar"/>
        </w:rPr>
      </w:pPr>
      <w:r>
        <w:rPr>
          <w:rFonts w:hint="eastAsia" w:ascii="宋体" w:hAnsi="宋体" w:cs="宋体"/>
          <w:sz w:val="28"/>
          <w:szCs w:val="28"/>
          <w:lang w:bidi="ar"/>
        </w:rPr>
        <w:t xml:space="preserve">          项目名称：网络欺骗防御系统项目</w:t>
      </w:r>
    </w:p>
    <w:p>
      <w:pPr>
        <w:jc w:val="center"/>
      </w:pPr>
    </w:p>
    <w:p>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hAnsi="宋体" w:cs="宋体"/>
          <w:sz w:val="28"/>
          <w:szCs w:val="28"/>
          <w:lang w:bidi="ar"/>
        </w:rPr>
      </w:pPr>
      <w:r>
        <w:rPr>
          <w:rFonts w:hint="eastAsia" w:ascii="宋体" w:hAnsi="宋体" w:cs="宋体"/>
          <w:sz w:val="28"/>
          <w:szCs w:val="28"/>
          <w:lang w:bidi="ar"/>
        </w:rPr>
        <w:t xml:space="preserve">            采购人：台州科技职业学院</w:t>
      </w:r>
    </w:p>
    <w:p>
      <w:pPr>
        <w:pStyle w:val="8"/>
        <w:jc w:val="center"/>
        <w:rPr>
          <w:lang w:eastAsia="zh-CN"/>
        </w:rPr>
      </w:pPr>
    </w:p>
    <w:p>
      <w:pPr>
        <w:pStyle w:val="8"/>
        <w:jc w:val="center"/>
      </w:pPr>
      <w:r>
        <w:rPr>
          <w:rFonts w:hint="eastAsia" w:hAnsi="宋体"/>
          <w:sz w:val="28"/>
          <w:szCs w:val="28"/>
          <w:lang w:eastAsia="zh-CN" w:bidi="ar"/>
        </w:rPr>
        <w:t>2024年4月</w:t>
      </w:r>
    </w:p>
    <w:p>
      <w:pPr>
        <w:pStyle w:val="15"/>
      </w:pPr>
    </w:p>
    <w:p>
      <w:pPr>
        <w:pStyle w:val="15"/>
      </w:pPr>
    </w:p>
    <w:p>
      <w:pPr>
        <w:pStyle w:val="15"/>
      </w:pPr>
    </w:p>
    <w:p>
      <w:pPr>
        <w:pStyle w:val="15"/>
      </w:pPr>
    </w:p>
    <w:p>
      <w:pPr>
        <w:pStyle w:val="15"/>
      </w:pPr>
    </w:p>
    <w:p>
      <w:pPr>
        <w:pStyle w:val="15"/>
      </w:pPr>
    </w:p>
    <w:p>
      <w:pPr>
        <w:pStyle w:val="15"/>
      </w:pPr>
    </w:p>
    <w:p/>
    <w:p>
      <w:pPr>
        <w:pStyle w:val="8"/>
      </w:pPr>
    </w:p>
    <w:p/>
    <w:p>
      <w:pPr>
        <w:pStyle w:val="8"/>
      </w:pPr>
    </w:p>
    <w:p/>
    <w:p>
      <w:pPr>
        <w:spacing w:line="276" w:lineRule="auto"/>
        <w:ind w:right="-69"/>
        <w:rPr>
          <w:sz w:val="20"/>
          <w:szCs w:val="20"/>
        </w:rPr>
      </w:pPr>
    </w:p>
    <w:p>
      <w:pPr>
        <w:rPr>
          <w:rFonts w:ascii="宋体" w:hAnsi="宋体" w:cs="宋体"/>
          <w:b/>
          <w:bCs/>
          <w:sz w:val="24"/>
          <w:szCs w:val="24"/>
        </w:rPr>
      </w:pPr>
      <w:r>
        <w:rPr>
          <w:rFonts w:ascii="宋体" w:hAnsi="宋体" w:cs="宋体"/>
          <w:b/>
          <w:bCs/>
          <w:sz w:val="24"/>
          <w:szCs w:val="24"/>
        </w:rPr>
        <w:br w:type="page"/>
      </w:r>
    </w:p>
    <w:p>
      <w:pPr>
        <w:spacing w:after="156" w:afterLines="50" w:line="276" w:lineRule="auto"/>
        <w:ind w:right="-68"/>
        <w:rPr>
          <w:rFonts w:ascii="宋体" w:hAnsi="宋体" w:cs="宋体"/>
          <w:b/>
          <w:bCs/>
          <w:sz w:val="24"/>
          <w:szCs w:val="24"/>
        </w:rPr>
      </w:pPr>
      <w:r>
        <w:rPr>
          <w:rFonts w:ascii="宋体" w:hAnsi="宋体" w:cs="宋体"/>
          <w:b/>
          <w:bCs/>
          <w:sz w:val="24"/>
          <w:szCs w:val="24"/>
        </w:rPr>
        <w:t>一、</w:t>
      </w:r>
      <w:r>
        <w:rPr>
          <w:rFonts w:hint="eastAsia" w:ascii="宋体" w:hAnsi="宋体" w:cs="宋体"/>
          <w:b/>
          <w:bCs/>
          <w:sz w:val="24"/>
          <w:szCs w:val="24"/>
        </w:rPr>
        <w:t>项目概况</w:t>
      </w:r>
    </w:p>
    <w:tbl>
      <w:tblPr>
        <w:tblStyle w:val="17"/>
        <w:tblW w:w="8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336"/>
        <w:gridCol w:w="739"/>
        <w:gridCol w:w="822"/>
        <w:gridCol w:w="1541"/>
        <w:gridCol w:w="3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09" w:type="dxa"/>
            <w:vAlign w:val="center"/>
          </w:tcPr>
          <w:p>
            <w:pPr>
              <w:spacing w:line="276" w:lineRule="auto"/>
              <w:ind w:right="-69"/>
              <w:jc w:val="center"/>
              <w:rPr>
                <w:rFonts w:ascii="宋体" w:hAnsi="宋体" w:cs="宋体"/>
                <w:b/>
                <w:bCs/>
                <w:sz w:val="24"/>
                <w:szCs w:val="24"/>
              </w:rPr>
            </w:pPr>
            <w:r>
              <w:rPr>
                <w:rFonts w:ascii="宋体" w:hAnsi="宋体" w:cs="宋体"/>
                <w:b/>
                <w:bCs/>
                <w:sz w:val="24"/>
                <w:szCs w:val="24"/>
              </w:rPr>
              <w:t>序号</w:t>
            </w:r>
          </w:p>
        </w:tc>
        <w:tc>
          <w:tcPr>
            <w:tcW w:w="1336" w:type="dxa"/>
            <w:vAlign w:val="center"/>
          </w:tcPr>
          <w:p>
            <w:pPr>
              <w:spacing w:line="276" w:lineRule="auto"/>
              <w:ind w:right="-69"/>
              <w:jc w:val="center"/>
              <w:rPr>
                <w:rFonts w:ascii="宋体" w:hAnsi="宋体" w:cs="宋体"/>
                <w:b/>
                <w:bCs/>
                <w:sz w:val="24"/>
                <w:szCs w:val="24"/>
              </w:rPr>
            </w:pPr>
            <w:r>
              <w:rPr>
                <w:rFonts w:ascii="宋体" w:hAnsi="宋体" w:cs="宋体"/>
                <w:b/>
                <w:bCs/>
                <w:sz w:val="24"/>
                <w:szCs w:val="24"/>
              </w:rPr>
              <w:t>项目名称</w:t>
            </w:r>
          </w:p>
        </w:tc>
        <w:tc>
          <w:tcPr>
            <w:tcW w:w="739" w:type="dxa"/>
            <w:vAlign w:val="center"/>
          </w:tcPr>
          <w:p>
            <w:pPr>
              <w:spacing w:line="276" w:lineRule="auto"/>
              <w:ind w:right="-69"/>
              <w:jc w:val="center"/>
              <w:rPr>
                <w:rFonts w:ascii="宋体" w:hAnsi="宋体" w:cs="宋体"/>
                <w:b/>
                <w:bCs/>
                <w:sz w:val="24"/>
                <w:szCs w:val="24"/>
              </w:rPr>
            </w:pPr>
            <w:r>
              <w:rPr>
                <w:rFonts w:hint="eastAsia" w:ascii="宋体" w:hAnsi="宋体" w:cs="宋体"/>
                <w:b/>
                <w:bCs/>
                <w:sz w:val="24"/>
                <w:szCs w:val="24"/>
              </w:rPr>
              <w:t>单位</w:t>
            </w:r>
          </w:p>
        </w:tc>
        <w:tc>
          <w:tcPr>
            <w:tcW w:w="822" w:type="dxa"/>
            <w:vAlign w:val="center"/>
          </w:tcPr>
          <w:p>
            <w:pPr>
              <w:spacing w:line="276" w:lineRule="auto"/>
              <w:ind w:right="-69"/>
              <w:jc w:val="center"/>
              <w:rPr>
                <w:rFonts w:ascii="宋体" w:hAnsi="宋体" w:cs="宋体"/>
                <w:b/>
                <w:bCs/>
                <w:sz w:val="24"/>
                <w:szCs w:val="24"/>
              </w:rPr>
            </w:pPr>
            <w:r>
              <w:rPr>
                <w:rFonts w:hint="eastAsia" w:ascii="宋体" w:hAnsi="宋体" w:cs="宋体"/>
                <w:b/>
                <w:bCs/>
                <w:sz w:val="24"/>
                <w:szCs w:val="24"/>
              </w:rPr>
              <w:t>数量</w:t>
            </w:r>
          </w:p>
        </w:tc>
        <w:tc>
          <w:tcPr>
            <w:tcW w:w="1541" w:type="dxa"/>
            <w:vAlign w:val="center"/>
          </w:tcPr>
          <w:p>
            <w:pPr>
              <w:spacing w:line="276" w:lineRule="auto"/>
              <w:ind w:right="-69"/>
              <w:jc w:val="center"/>
              <w:rPr>
                <w:rFonts w:ascii="宋体" w:hAnsi="宋体" w:cs="宋体"/>
                <w:b/>
                <w:bCs/>
                <w:sz w:val="24"/>
                <w:szCs w:val="24"/>
              </w:rPr>
            </w:pPr>
            <w:r>
              <w:rPr>
                <w:rFonts w:ascii="宋体" w:hAnsi="宋体" w:cs="宋体"/>
                <w:b/>
                <w:bCs/>
                <w:sz w:val="24"/>
                <w:szCs w:val="24"/>
              </w:rPr>
              <w:t>预算金额</w:t>
            </w:r>
          </w:p>
        </w:tc>
        <w:tc>
          <w:tcPr>
            <w:tcW w:w="3185" w:type="dxa"/>
            <w:vAlign w:val="center"/>
          </w:tcPr>
          <w:p>
            <w:pPr>
              <w:spacing w:line="276" w:lineRule="auto"/>
              <w:ind w:right="-69"/>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709" w:type="dxa"/>
            <w:vAlign w:val="center"/>
          </w:tcPr>
          <w:p>
            <w:pPr>
              <w:spacing w:line="276" w:lineRule="auto"/>
              <w:ind w:right="-69"/>
              <w:jc w:val="center"/>
              <w:rPr>
                <w:rFonts w:ascii="宋体" w:hAnsi="宋体" w:cs="宋体"/>
                <w:sz w:val="21"/>
                <w:szCs w:val="21"/>
              </w:rPr>
            </w:pPr>
            <w:r>
              <w:rPr>
                <w:rFonts w:hint="eastAsia" w:ascii="宋体" w:hAnsi="宋体" w:cs="宋体"/>
                <w:sz w:val="21"/>
                <w:szCs w:val="21"/>
              </w:rPr>
              <w:t>1</w:t>
            </w:r>
          </w:p>
        </w:tc>
        <w:tc>
          <w:tcPr>
            <w:tcW w:w="1336" w:type="dxa"/>
            <w:vAlign w:val="center"/>
          </w:tcPr>
          <w:p>
            <w:pPr>
              <w:spacing w:line="276" w:lineRule="auto"/>
              <w:ind w:right="-69"/>
              <w:jc w:val="center"/>
              <w:rPr>
                <w:rFonts w:ascii="宋体" w:hAnsi="宋体" w:cs="宋体"/>
                <w:sz w:val="21"/>
                <w:szCs w:val="21"/>
              </w:rPr>
            </w:pPr>
            <w:r>
              <w:rPr>
                <w:rFonts w:hint="eastAsia"/>
              </w:rPr>
              <w:t>网络欺骗防御系统</w:t>
            </w:r>
          </w:p>
        </w:tc>
        <w:tc>
          <w:tcPr>
            <w:tcW w:w="739" w:type="dxa"/>
            <w:vAlign w:val="center"/>
          </w:tcPr>
          <w:p>
            <w:pPr>
              <w:spacing w:line="276" w:lineRule="auto"/>
              <w:ind w:right="-69"/>
              <w:jc w:val="center"/>
              <w:rPr>
                <w:rFonts w:ascii="宋体" w:hAnsi="宋体" w:cs="宋体"/>
                <w:sz w:val="21"/>
                <w:szCs w:val="21"/>
              </w:rPr>
            </w:pPr>
            <w:r>
              <w:rPr>
                <w:rFonts w:hint="eastAsia" w:ascii="宋体" w:hAnsi="宋体" w:cs="宋体"/>
                <w:sz w:val="21"/>
                <w:szCs w:val="21"/>
              </w:rPr>
              <w:t>项</w:t>
            </w:r>
          </w:p>
        </w:tc>
        <w:tc>
          <w:tcPr>
            <w:tcW w:w="822" w:type="dxa"/>
            <w:vAlign w:val="center"/>
          </w:tcPr>
          <w:p>
            <w:pPr>
              <w:spacing w:line="276" w:lineRule="auto"/>
              <w:ind w:right="-69"/>
              <w:jc w:val="center"/>
              <w:rPr>
                <w:rFonts w:ascii="宋体" w:hAnsi="宋体" w:cs="宋体"/>
                <w:sz w:val="21"/>
                <w:szCs w:val="21"/>
              </w:rPr>
            </w:pPr>
            <w:r>
              <w:rPr>
                <w:rFonts w:hint="eastAsia" w:ascii="宋体" w:hAnsi="宋体" w:cs="宋体"/>
                <w:sz w:val="21"/>
                <w:szCs w:val="21"/>
              </w:rPr>
              <w:t>1</w:t>
            </w:r>
          </w:p>
        </w:tc>
        <w:tc>
          <w:tcPr>
            <w:tcW w:w="1541" w:type="dxa"/>
            <w:vAlign w:val="center"/>
          </w:tcPr>
          <w:p>
            <w:pPr>
              <w:spacing w:line="276" w:lineRule="auto"/>
              <w:ind w:right="-69"/>
              <w:jc w:val="center"/>
              <w:rPr>
                <w:rFonts w:ascii="宋体" w:hAnsi="宋体" w:cs="宋体"/>
                <w:sz w:val="21"/>
                <w:szCs w:val="21"/>
              </w:rPr>
            </w:pPr>
            <w:r>
              <w:rPr>
                <w:rFonts w:hint="eastAsia"/>
              </w:rPr>
              <w:t>15万元</w:t>
            </w:r>
          </w:p>
        </w:tc>
        <w:tc>
          <w:tcPr>
            <w:tcW w:w="3185" w:type="dxa"/>
            <w:vAlign w:val="center"/>
          </w:tcPr>
          <w:p>
            <w:pPr>
              <w:spacing w:line="276" w:lineRule="auto"/>
              <w:ind w:right="-69"/>
              <w:rPr>
                <w:rFonts w:ascii="宋体" w:hAnsi="宋体" w:cs="宋体"/>
                <w:sz w:val="21"/>
                <w:szCs w:val="21"/>
              </w:rPr>
            </w:pPr>
            <w:r>
              <w:rPr>
                <w:rFonts w:hAnsi="宋体" w:cs="宋体"/>
              </w:rPr>
              <w:t>带▲号指标</w:t>
            </w:r>
            <w:r>
              <w:rPr>
                <w:rFonts w:hint="eastAsia" w:hAnsi="宋体" w:cs="宋体"/>
              </w:rPr>
              <w:t>不满足需求或带</w:t>
            </w:r>
            <w:r>
              <w:rPr>
                <w:rFonts w:hAnsi="宋体" w:cs="宋体"/>
              </w:rPr>
              <w:t>★</w:t>
            </w:r>
            <w:r>
              <w:rPr>
                <w:rFonts w:hint="eastAsia" w:hAnsi="宋体" w:cs="宋体"/>
              </w:rPr>
              <w:t>号指标超过5项</w:t>
            </w:r>
            <w:r>
              <w:rPr>
                <w:rFonts w:hAnsi="宋体" w:cs="宋体"/>
              </w:rPr>
              <w:t>不满足</w:t>
            </w:r>
            <w:r>
              <w:rPr>
                <w:rFonts w:hint="eastAsia" w:hAnsi="宋体" w:cs="宋体"/>
              </w:rPr>
              <w:t>需求，均</w:t>
            </w:r>
            <w:r>
              <w:rPr>
                <w:rFonts w:hAnsi="宋体" w:cs="宋体"/>
              </w:rPr>
              <w:t>作为不响应招标处理。</w:t>
            </w:r>
          </w:p>
        </w:tc>
      </w:tr>
    </w:tbl>
    <w:p>
      <w:pPr>
        <w:numPr>
          <w:ilvl w:val="0"/>
          <w:numId w:val="2"/>
        </w:numPr>
        <w:spacing w:before="156" w:beforeLines="50" w:line="360" w:lineRule="auto"/>
        <w:rPr>
          <w:b/>
          <w:sz w:val="24"/>
        </w:rPr>
      </w:pPr>
      <w:r>
        <w:rPr>
          <w:rFonts w:hint="eastAsia"/>
          <w:b/>
          <w:sz w:val="24"/>
        </w:rPr>
        <w:t>技术要求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926"/>
        <w:gridCol w:w="577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Align w:val="center"/>
          </w:tcPr>
          <w:p>
            <w:pPr>
              <w:adjustRightInd w:val="0"/>
              <w:snapToGrid w:val="0"/>
              <w:jc w:val="center"/>
              <w:rPr>
                <w:rFonts w:ascii="宋体" w:hAnsi="宋体" w:cs="宋体"/>
                <w:szCs w:val="21"/>
              </w:rPr>
            </w:pPr>
            <w:r>
              <w:rPr>
                <w:rFonts w:hint="eastAsia" w:ascii="宋体" w:hAnsi="宋体"/>
                <w:sz w:val="24"/>
                <w:szCs w:val="24"/>
              </w:rPr>
              <w:t>名称</w:t>
            </w:r>
          </w:p>
        </w:tc>
        <w:tc>
          <w:tcPr>
            <w:tcW w:w="926" w:type="dxa"/>
            <w:noWrap/>
            <w:vAlign w:val="center"/>
          </w:tcPr>
          <w:p>
            <w:pPr>
              <w:adjustRightInd w:val="0"/>
              <w:snapToGrid w:val="0"/>
              <w:spacing w:line="360" w:lineRule="auto"/>
              <w:jc w:val="center"/>
              <w:rPr>
                <w:rFonts w:ascii="宋体" w:hAnsi="宋体" w:cs="宋体"/>
                <w:szCs w:val="21"/>
              </w:rPr>
            </w:pPr>
            <w:r>
              <w:rPr>
                <w:rFonts w:hint="eastAsia" w:ascii="宋体" w:hAnsi="宋体"/>
                <w:sz w:val="24"/>
                <w:szCs w:val="24"/>
              </w:rPr>
              <w:t>模块</w:t>
            </w:r>
          </w:p>
        </w:tc>
        <w:tc>
          <w:tcPr>
            <w:tcW w:w="5769" w:type="dxa"/>
            <w:vAlign w:val="center"/>
          </w:tcPr>
          <w:p>
            <w:pPr>
              <w:pStyle w:val="16"/>
              <w:ind w:firstLine="0" w:firstLineChars="0"/>
              <w:jc w:val="center"/>
              <w:rPr>
                <w:rFonts w:ascii="Times New Roman" w:hAnsi="宋体" w:cs="宋体"/>
              </w:rPr>
            </w:pPr>
            <w:r>
              <w:rPr>
                <w:rFonts w:hint="eastAsia" w:ascii="宋体" w:hAnsi="宋体"/>
                <w:sz w:val="24"/>
                <w:szCs w:val="24"/>
              </w:rPr>
              <w:t>技术参数</w:t>
            </w:r>
          </w:p>
        </w:tc>
        <w:tc>
          <w:tcPr>
            <w:tcW w:w="0" w:type="auto"/>
            <w:vAlign w:val="center"/>
          </w:tcPr>
          <w:p>
            <w:pPr>
              <w:pStyle w:val="16"/>
              <w:ind w:firstLine="0" w:firstLineChars="0"/>
              <w:jc w:val="center"/>
              <w:rPr>
                <w:rFonts w:ascii="Times New Roman" w:hAnsi="宋体" w:cs="宋体"/>
              </w:rPr>
            </w:pPr>
            <w:r>
              <w:rPr>
                <w:rFonts w:hint="eastAsia" w:ascii="宋体" w:hAnsi="宋体"/>
                <w:sz w:val="24"/>
                <w:szCs w:val="24"/>
              </w:rPr>
              <w:t>单位</w:t>
            </w:r>
          </w:p>
        </w:tc>
        <w:tc>
          <w:tcPr>
            <w:tcW w:w="0" w:type="auto"/>
            <w:vAlign w:val="center"/>
          </w:tcPr>
          <w:p>
            <w:pPr>
              <w:pStyle w:val="16"/>
              <w:ind w:firstLine="0" w:firstLineChars="0"/>
              <w:jc w:val="center"/>
              <w:rPr>
                <w:rFonts w:ascii="Times New Roman" w:hAnsi="宋体" w:cs="宋体"/>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restart"/>
            <w:vAlign w:val="center"/>
          </w:tcPr>
          <w:p>
            <w:pPr>
              <w:adjustRightInd w:val="0"/>
              <w:snapToGrid w:val="0"/>
              <w:jc w:val="center"/>
              <w:rPr>
                <w:rFonts w:ascii="宋体" w:hAnsi="宋体" w:cs="宋体"/>
                <w:szCs w:val="21"/>
              </w:rPr>
            </w:pPr>
            <w:r>
              <w:rPr>
                <w:rFonts w:hint="eastAsia" w:ascii="宋体" w:hAnsi="宋体" w:cs="宋体"/>
                <w:szCs w:val="21"/>
              </w:rPr>
              <w:t>网络欺骗防御系统</w:t>
            </w:r>
          </w:p>
        </w:tc>
        <w:tc>
          <w:tcPr>
            <w:tcW w:w="926"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服务器</w:t>
            </w:r>
          </w:p>
        </w:tc>
        <w:tc>
          <w:tcPr>
            <w:tcW w:w="5769" w:type="dxa"/>
            <w:vAlign w:val="center"/>
          </w:tcPr>
          <w:p>
            <w:pPr>
              <w:pStyle w:val="16"/>
              <w:adjustRightInd w:val="0"/>
              <w:snapToGrid w:val="0"/>
              <w:spacing w:after="0"/>
              <w:ind w:firstLine="0" w:firstLineChars="0"/>
            </w:pPr>
            <w:r>
              <w:rPr>
                <w:rFonts w:hint="eastAsia" w:ascii="Times New Roman" w:hAnsi="宋体" w:cs="宋体"/>
              </w:rPr>
              <w:t>2U 服务器机箱，服务器主板X11 SSL-F，E3 1230V5 CPU， 16G ECC内存，1T*2硬盘(支持RAID)，双电冗余电源，2个千兆网口。</w:t>
            </w:r>
          </w:p>
        </w:tc>
        <w:tc>
          <w:tcPr>
            <w:tcW w:w="0" w:type="auto"/>
            <w:vMerge w:val="restart"/>
          </w:tcPr>
          <w:p>
            <w:pPr>
              <w:pStyle w:val="16"/>
              <w:ind w:firstLine="0" w:firstLineChars="0"/>
              <w:rPr>
                <w:rFonts w:ascii="Times New Roman" w:hAnsi="宋体" w:cs="宋体"/>
              </w:rPr>
            </w:pPr>
            <w:r>
              <w:rPr>
                <w:rFonts w:hint="eastAsia" w:ascii="Times New Roman" w:hAnsi="宋体" w:cs="宋体"/>
              </w:rPr>
              <w:t>套</w:t>
            </w:r>
          </w:p>
        </w:tc>
        <w:tc>
          <w:tcPr>
            <w:tcW w:w="0" w:type="auto"/>
            <w:vMerge w:val="restart"/>
          </w:tcPr>
          <w:p>
            <w:pPr>
              <w:pStyle w:val="16"/>
              <w:ind w:firstLine="0" w:firstLineChars="0"/>
              <w:rPr>
                <w:rFonts w:ascii="Times New Roman" w:hAnsi="宋体" w:cs="宋体"/>
              </w:rPr>
            </w:pPr>
            <w:r>
              <w:rPr>
                <w:rFonts w:hint="eastAsia" w:ascii="Times New Roman"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vAlign w:val="center"/>
          </w:tcPr>
          <w:p>
            <w:pPr>
              <w:adjustRightInd w:val="0"/>
              <w:snapToGrid w:val="0"/>
              <w:jc w:val="center"/>
              <w:rPr>
                <w:rFonts w:ascii="宋体" w:hAnsi="宋体" w:cs="宋体"/>
                <w:szCs w:val="21"/>
              </w:rPr>
            </w:pPr>
          </w:p>
        </w:tc>
        <w:tc>
          <w:tcPr>
            <w:tcW w:w="926"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威胁溯源反制平台</w:t>
            </w:r>
          </w:p>
        </w:tc>
        <w:tc>
          <w:tcPr>
            <w:tcW w:w="5769" w:type="dxa"/>
            <w:vAlign w:val="center"/>
          </w:tcPr>
          <w:p>
            <w:pPr>
              <w:adjustRightInd w:val="0"/>
              <w:snapToGrid w:val="0"/>
              <w:rPr>
                <w:rFonts w:ascii="宋体" w:hAnsi="宋体" w:cs="宋体"/>
                <w:szCs w:val="21"/>
              </w:rPr>
            </w:pPr>
            <w:r>
              <w:rPr>
                <w:rFonts w:hint="eastAsia" w:ascii="宋体" w:hAnsi="宋体" w:cs="宋体"/>
                <w:szCs w:val="21"/>
              </w:rPr>
              <w:t>威胁溯源反制平台以多维度方式进行统计展示。</w:t>
            </w:r>
          </w:p>
          <w:p>
            <w:pPr>
              <w:adjustRightInd w:val="0"/>
              <w:snapToGrid w:val="0"/>
              <w:rPr>
                <w:rFonts w:ascii="宋体" w:hAnsi="宋体" w:cs="宋体"/>
                <w:szCs w:val="21"/>
              </w:rPr>
            </w:pPr>
            <w:r>
              <w:rPr>
                <w:rFonts w:hint="eastAsia" w:ascii="宋体" w:hAnsi="宋体" w:cs="宋体"/>
                <w:szCs w:val="21"/>
              </w:rPr>
              <w:t>★（1）黑客溯源以攻击源的维度进行归类，通过对攻击源进行深度分析整合，将攻击者定性为：真人、扫描工具、未知三大类。针对攻击源可分析其攻击轨迹及身份信息。对真人攻击者支持全方位溯源，包括IP、地理位置、网络ID、操作系统类型等。</w:t>
            </w:r>
          </w:p>
          <w:p>
            <w:pPr>
              <w:adjustRightInd w:val="0"/>
              <w:snapToGrid w:val="0"/>
              <w:rPr>
                <w:rFonts w:ascii="宋体" w:hAnsi="宋体" w:cs="宋体"/>
                <w:szCs w:val="21"/>
              </w:rPr>
            </w:pPr>
            <w:r>
              <w:rPr>
                <w:rFonts w:hint="eastAsia" w:ascii="宋体" w:hAnsi="宋体" w:cs="宋体"/>
                <w:szCs w:val="21"/>
              </w:rPr>
              <w:t>（2）黑客反制以设备的维度进行归类，获取PC设备的设备精确信息、黑客IP、敏感信息等，并且具备反向控制攻击者主机的能力。</w:t>
            </w:r>
          </w:p>
          <w:p>
            <w:pPr>
              <w:adjustRightInd w:val="0"/>
              <w:snapToGrid w:val="0"/>
              <w:rPr>
                <w:rFonts w:ascii="宋体" w:hAnsi="宋体" w:cs="宋体"/>
                <w:szCs w:val="21"/>
              </w:rPr>
            </w:pPr>
            <w:r>
              <w:rPr>
                <w:rFonts w:hint="eastAsia" w:ascii="宋体" w:hAnsi="宋体" w:cs="宋体"/>
                <w:szCs w:val="21"/>
              </w:rPr>
              <w:t>★（3）攻击事件以攻击者对沙箱发起的所有攻击行为为维度进行归并展示。通过事件分析可了解攻击者对沙箱发起的一系列攻击行为，运用的攻击手法，以及攻击事件的起止时间和严重程度。</w:t>
            </w:r>
          </w:p>
          <w:p>
            <w:pPr>
              <w:adjustRightInd w:val="0"/>
              <w:snapToGrid w:val="0"/>
              <w:rPr>
                <w:rFonts w:ascii="宋体" w:hAnsi="宋体" w:cs="宋体"/>
                <w:szCs w:val="21"/>
              </w:rPr>
            </w:pPr>
            <w:r>
              <w:rPr>
                <w:rFonts w:hint="eastAsia" w:ascii="宋体" w:hAnsi="宋体" w:cs="宋体"/>
                <w:szCs w:val="21"/>
              </w:rPr>
              <w:t>（4）行为分析以时间线的方式，展示最近出现的攻击行为，通过查看攻击行为上下文，可深度分析攻击事件之间的关联关系以及攻击者的攻击意图。</w:t>
            </w:r>
          </w:p>
          <w:p>
            <w:pPr>
              <w:adjustRightInd w:val="0"/>
              <w:snapToGrid w:val="0"/>
              <w:rPr>
                <w:rFonts w:ascii="宋体" w:hAnsi="宋体" w:cs="宋体"/>
                <w:szCs w:val="21"/>
              </w:rPr>
            </w:pPr>
            <w:r>
              <w:rPr>
                <w:rFonts w:hint="eastAsia" w:ascii="宋体" w:hAnsi="宋体" w:cs="宋体"/>
                <w:szCs w:val="21"/>
              </w:rPr>
              <w:t>★（5）钓鱼邮件检测有效的保护企业员工邮箱安全及攻击回溯；获取攻击者IP、对恶意文件进行识别，为企业提供多重防护。</w:t>
            </w:r>
          </w:p>
        </w:tc>
        <w:tc>
          <w:tcPr>
            <w:tcW w:w="0" w:type="auto"/>
            <w:vMerge w:val="continue"/>
          </w:tcPr>
          <w:p>
            <w:pPr>
              <w:wordWrap w:val="0"/>
              <w:adjustRightInd w:val="0"/>
              <w:snapToGrid w:val="0"/>
              <w:spacing w:line="360" w:lineRule="auto"/>
              <w:rPr>
                <w:rFonts w:ascii="宋体" w:hAnsi="宋体" w:cs="宋体"/>
                <w:szCs w:val="21"/>
              </w:rPr>
            </w:pPr>
          </w:p>
        </w:tc>
        <w:tc>
          <w:tcPr>
            <w:tcW w:w="0" w:type="auto"/>
            <w:vMerge w:val="continue"/>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云蜜网欺骗防御平台</w:t>
            </w:r>
          </w:p>
        </w:tc>
        <w:tc>
          <w:tcPr>
            <w:tcW w:w="5769" w:type="dxa"/>
            <w:vAlign w:val="center"/>
          </w:tcPr>
          <w:p>
            <w:pPr>
              <w:adjustRightInd w:val="0"/>
              <w:snapToGrid w:val="0"/>
              <w:rPr>
                <w:rFonts w:ascii="宋体" w:hAnsi="宋体" w:cs="宋体"/>
                <w:szCs w:val="21"/>
              </w:rPr>
            </w:pPr>
            <w:r>
              <w:rPr>
                <w:rFonts w:hint="eastAsia" w:ascii="宋体" w:hAnsi="宋体" w:cs="宋体"/>
                <w:szCs w:val="21"/>
              </w:rPr>
              <w:t>（1）蜜网管理是核心，包括沙箱管理、中继节点、伪装代理、VPN欺骗、攻击诱捕、诱饵欺骗及智能蜜网。以沙箱为基础，中继节点和伪装代理向外辐射扩大覆盖面，欺骗诱饵散布在各个区域与沙箱信息相关联，形成蜜网拓扑。</w:t>
            </w:r>
          </w:p>
          <w:p>
            <w:pPr>
              <w:adjustRightInd w:val="0"/>
              <w:snapToGrid w:val="0"/>
              <w:rPr>
                <w:rFonts w:ascii="宋体" w:hAnsi="宋体" w:cs="宋体"/>
                <w:szCs w:val="21"/>
              </w:rPr>
            </w:pPr>
            <w:r>
              <w:rPr>
                <w:rFonts w:hint="eastAsia" w:ascii="宋体" w:hAnsi="宋体" w:cs="宋体"/>
                <w:szCs w:val="21"/>
              </w:rPr>
              <w:t xml:space="preserve">（2）沙箱模拟服务和业务，包含20余种应用服务、14种系统服务、3种windows服务、10余种工控服务以及自定义模板。沙箱可以关联多个IP，中继节点和伪装代理通过流量转发的方式，将沙箱服务发布到需要覆盖的各个区域。 </w:t>
            </w:r>
          </w:p>
          <w:p>
            <w:pPr>
              <w:adjustRightInd w:val="0"/>
              <w:snapToGrid w:val="0"/>
              <w:rPr>
                <w:rFonts w:ascii="宋体" w:hAnsi="宋体" w:cs="宋体"/>
                <w:szCs w:val="21"/>
              </w:rPr>
            </w:pPr>
            <w:r>
              <w:rPr>
                <w:rFonts w:hint="eastAsia" w:ascii="宋体" w:hAnsi="宋体" w:cs="宋体"/>
                <w:szCs w:val="21"/>
              </w:rPr>
              <w:t>★（3）工控安全形势日益严峻，沙箱技术被越来越多的应用在工控领域，也针对modbus、s7、IEC-104、IPMI等工控协议进行模拟；可以模拟真实的工控现场环境，通过部署协议仿真蜜罐伪装工业现场PLC设备，部署组态软件仿真蜜罐伪装上位机系统，二者产生交互模拟真实业务场景，攻击者掉入蜜罐陷阱后，可以迷惑攻击者，达到起到保护真实环境甚至是溯源反制的能力。</w:t>
            </w:r>
          </w:p>
        </w:tc>
        <w:tc>
          <w:tcPr>
            <w:tcW w:w="0" w:type="auto"/>
            <w:vMerge w:val="continue"/>
          </w:tcPr>
          <w:p>
            <w:pPr>
              <w:wordWrap w:val="0"/>
              <w:adjustRightInd w:val="0"/>
              <w:snapToGrid w:val="0"/>
              <w:spacing w:line="360" w:lineRule="auto"/>
              <w:rPr>
                <w:rFonts w:ascii="宋体" w:hAnsi="宋体" w:cs="宋体"/>
                <w:szCs w:val="21"/>
              </w:rPr>
            </w:pPr>
          </w:p>
        </w:tc>
        <w:tc>
          <w:tcPr>
            <w:tcW w:w="0" w:type="auto"/>
            <w:vMerge w:val="continue"/>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vMerge w:val="restart"/>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实验内容</w:t>
            </w:r>
          </w:p>
        </w:tc>
        <w:tc>
          <w:tcPr>
            <w:tcW w:w="5769" w:type="dxa"/>
            <w:vAlign w:val="center"/>
          </w:tcPr>
          <w:p>
            <w:pPr>
              <w:adjustRightInd w:val="0"/>
              <w:snapToGrid w:val="0"/>
              <w:rPr>
                <w:rFonts w:ascii="宋体" w:hAnsi="宋体" w:cs="宋体"/>
                <w:szCs w:val="21"/>
              </w:rPr>
            </w:pPr>
            <w:r>
              <w:rPr>
                <w:rFonts w:hint="eastAsia" w:ascii="宋体" w:hAnsi="宋体" w:cs="宋体"/>
                <w:szCs w:val="21"/>
              </w:rPr>
              <w:t>★以Kill Chain为参考模型，以ATT&amp;CK为技术补充，对应攻击者采取攻击的每一个步骤，通过沙箱业务仿真、漏洞伪装、虚拟系统、脱敏虚假数据、行为记录，学习如何构建入侵攻击链。</w:t>
            </w:r>
          </w:p>
        </w:tc>
        <w:tc>
          <w:tcPr>
            <w:tcW w:w="0" w:type="auto"/>
            <w:vMerge w:val="continue"/>
          </w:tcPr>
          <w:p>
            <w:pPr>
              <w:adjustRightInd w:val="0"/>
              <w:snapToGrid w:val="0"/>
              <w:spacing w:line="360" w:lineRule="auto"/>
              <w:rPr>
                <w:rFonts w:ascii="宋体" w:hAnsi="宋体" w:cs="宋体"/>
                <w:szCs w:val="21"/>
              </w:rPr>
            </w:pPr>
          </w:p>
        </w:tc>
        <w:tc>
          <w:tcPr>
            <w:tcW w:w="0" w:type="auto"/>
            <w:vMerge w:val="continue"/>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vMerge w:val="continue"/>
            <w:noWrap/>
            <w:vAlign w:val="center"/>
          </w:tcPr>
          <w:p>
            <w:pPr>
              <w:adjustRightInd w:val="0"/>
              <w:snapToGrid w:val="0"/>
              <w:spacing w:line="360" w:lineRule="auto"/>
              <w:jc w:val="center"/>
              <w:rPr>
                <w:rFonts w:ascii="宋体" w:hAnsi="宋体" w:cs="宋体"/>
                <w:szCs w:val="21"/>
              </w:rPr>
            </w:pPr>
          </w:p>
        </w:tc>
        <w:tc>
          <w:tcPr>
            <w:tcW w:w="5769" w:type="dxa"/>
            <w:vAlign w:val="center"/>
          </w:tcPr>
          <w:p>
            <w:pPr>
              <w:adjustRightInd w:val="0"/>
              <w:snapToGrid w:val="0"/>
              <w:rPr>
                <w:rFonts w:ascii="宋体" w:hAnsi="宋体" w:cs="宋体"/>
                <w:szCs w:val="21"/>
              </w:rPr>
            </w:pPr>
            <w:r>
              <w:rPr>
                <w:rFonts w:hint="eastAsia" w:ascii="宋体" w:hAnsi="宋体" w:cs="宋体"/>
                <w:szCs w:val="21"/>
              </w:rPr>
              <w:t>★具备多种捕获入侵者虚拟身份的技术，精准定位，多维度聚合，通过还原攻击过程，溯源追踪攻击者身份，形成黑客画像，学习如何从根源上找到威胁。</w:t>
            </w:r>
          </w:p>
        </w:tc>
        <w:tc>
          <w:tcPr>
            <w:tcW w:w="0" w:type="auto"/>
            <w:vMerge w:val="continue"/>
          </w:tcPr>
          <w:p>
            <w:pPr>
              <w:adjustRightInd w:val="0"/>
              <w:snapToGrid w:val="0"/>
              <w:spacing w:line="360" w:lineRule="auto"/>
              <w:rPr>
                <w:rFonts w:ascii="宋体" w:hAnsi="宋体" w:cs="宋体"/>
                <w:szCs w:val="21"/>
              </w:rPr>
            </w:pPr>
          </w:p>
        </w:tc>
        <w:tc>
          <w:tcPr>
            <w:tcW w:w="0" w:type="auto"/>
            <w:vMerge w:val="continue"/>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vMerge w:val="continue"/>
            <w:noWrap/>
            <w:vAlign w:val="center"/>
          </w:tcPr>
          <w:p>
            <w:pPr>
              <w:adjustRightInd w:val="0"/>
              <w:snapToGrid w:val="0"/>
              <w:spacing w:line="360" w:lineRule="auto"/>
              <w:jc w:val="center"/>
              <w:rPr>
                <w:rFonts w:ascii="宋体" w:hAnsi="宋体" w:cs="宋体"/>
                <w:szCs w:val="21"/>
              </w:rPr>
            </w:pPr>
          </w:p>
        </w:tc>
        <w:tc>
          <w:tcPr>
            <w:tcW w:w="5769" w:type="dxa"/>
            <w:vAlign w:val="center"/>
          </w:tcPr>
          <w:p>
            <w:pPr>
              <w:adjustRightInd w:val="0"/>
              <w:snapToGrid w:val="0"/>
              <w:rPr>
                <w:rFonts w:ascii="宋体" w:hAnsi="宋体" w:cs="宋体"/>
                <w:szCs w:val="21"/>
              </w:rPr>
            </w:pPr>
            <w:r>
              <w:rPr>
                <w:rFonts w:hint="eastAsia" w:ascii="宋体" w:hAnsi="宋体" w:cs="宋体"/>
                <w:szCs w:val="21"/>
              </w:rPr>
              <w:t>★学习构建沙箱时可以针对现有的模板、自定义等web类、系统服务类沙箱进行随意组合，通过多样化、不同场景下的欺骗思路理论上可以有无限种可能。通过不同的服务、不同的页面、不同场景下的多种服务排列组合可以有效应对攻击者将某沙箱定义为某厂家或是蜜罐的情况</w:t>
            </w:r>
          </w:p>
        </w:tc>
        <w:tc>
          <w:tcPr>
            <w:tcW w:w="0" w:type="auto"/>
            <w:vMerge w:val="continue"/>
          </w:tcPr>
          <w:p>
            <w:pPr>
              <w:adjustRightInd w:val="0"/>
              <w:snapToGrid w:val="0"/>
              <w:spacing w:line="360" w:lineRule="auto"/>
              <w:rPr>
                <w:rFonts w:ascii="宋体" w:hAnsi="宋体" w:cs="宋体"/>
                <w:szCs w:val="21"/>
              </w:rPr>
            </w:pPr>
          </w:p>
        </w:tc>
        <w:tc>
          <w:tcPr>
            <w:tcW w:w="0" w:type="auto"/>
            <w:vMerge w:val="continue"/>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vMerge w:val="continue"/>
            <w:noWrap/>
            <w:vAlign w:val="center"/>
          </w:tcPr>
          <w:p>
            <w:pPr>
              <w:adjustRightInd w:val="0"/>
              <w:snapToGrid w:val="0"/>
              <w:spacing w:line="360" w:lineRule="auto"/>
              <w:jc w:val="center"/>
              <w:rPr>
                <w:rFonts w:ascii="宋体" w:hAnsi="宋体" w:cs="宋体"/>
                <w:szCs w:val="21"/>
              </w:rPr>
            </w:pPr>
          </w:p>
        </w:tc>
        <w:tc>
          <w:tcPr>
            <w:tcW w:w="5769" w:type="dxa"/>
            <w:vAlign w:val="center"/>
          </w:tcPr>
          <w:p>
            <w:pPr>
              <w:adjustRightInd w:val="0"/>
              <w:snapToGrid w:val="0"/>
              <w:rPr>
                <w:rFonts w:ascii="宋体" w:hAnsi="宋体" w:cs="宋体"/>
                <w:szCs w:val="21"/>
              </w:rPr>
            </w:pPr>
            <w:r>
              <w:rPr>
                <w:rFonts w:hint="eastAsia" w:ascii="宋体" w:hAnsi="宋体" w:cs="宋体"/>
                <w:szCs w:val="21"/>
              </w:rPr>
              <w:t>学习II型虚拟化技术架构，II型虚拟化的Hypervisor(KVM)架构保证资源隔离，虚拟机运行在传统操作系统上，创建的是硬件全仿真实例，被称为“托管（宿主）”型。托管型/主机型Hypervisor运行在基础操作系统上，构建出一整套虚拟硬件平台（CPU/Memory/Storage/Adapter），使用者根据需要安装新的操作系统和应用软件，底层和上层的操作系统可以完全无关化。</w:t>
            </w:r>
          </w:p>
        </w:tc>
        <w:tc>
          <w:tcPr>
            <w:tcW w:w="0" w:type="auto"/>
            <w:vMerge w:val="continue"/>
          </w:tcPr>
          <w:p>
            <w:pPr>
              <w:wordWrap w:val="0"/>
              <w:adjustRightInd w:val="0"/>
              <w:snapToGrid w:val="0"/>
              <w:spacing w:line="360" w:lineRule="auto"/>
              <w:rPr>
                <w:rFonts w:ascii="宋体" w:hAnsi="宋体" w:cs="宋体"/>
                <w:szCs w:val="21"/>
              </w:rPr>
            </w:pPr>
          </w:p>
        </w:tc>
        <w:tc>
          <w:tcPr>
            <w:tcW w:w="0" w:type="auto"/>
            <w:vMerge w:val="continue"/>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vMerge w:val="continue"/>
            <w:noWrap/>
            <w:vAlign w:val="center"/>
          </w:tcPr>
          <w:p>
            <w:pPr>
              <w:adjustRightInd w:val="0"/>
              <w:snapToGrid w:val="0"/>
              <w:spacing w:line="360" w:lineRule="auto"/>
              <w:jc w:val="center"/>
              <w:rPr>
                <w:rFonts w:ascii="宋体" w:hAnsi="宋体" w:cs="宋体"/>
                <w:szCs w:val="21"/>
              </w:rPr>
            </w:pPr>
          </w:p>
        </w:tc>
        <w:tc>
          <w:tcPr>
            <w:tcW w:w="5769" w:type="dxa"/>
            <w:vAlign w:val="center"/>
          </w:tcPr>
          <w:p>
            <w:pPr>
              <w:adjustRightInd w:val="0"/>
              <w:snapToGrid w:val="0"/>
              <w:rPr>
                <w:rFonts w:ascii="宋体" w:hAnsi="宋体" w:cs="宋体"/>
                <w:szCs w:val="21"/>
              </w:rPr>
            </w:pPr>
            <w:r>
              <w:rPr>
                <w:rFonts w:hint="eastAsia" w:ascii="宋体" w:hAnsi="宋体" w:cs="宋体"/>
                <w:szCs w:val="21"/>
              </w:rPr>
              <w:t>★学习攻击反制，涵盖十余种反向控制手段，如连接MysqlCheat沙箱的攻击者，可反向获取其敏感信息；从mailbox沙箱拖走备份文件的攻击者，可秘密植入反制程序；攻击者从web沙箱下载的伪装控件，捆绑了的反制程序。一旦运行，便可获取攻击者的设备上敏感信息，例如操作系统版本、IP信息、历史登陆的社交账号等，高级反制可反向控制对攻击者的设备</w:t>
            </w:r>
          </w:p>
        </w:tc>
        <w:tc>
          <w:tcPr>
            <w:tcW w:w="0" w:type="auto"/>
            <w:vMerge w:val="continue"/>
          </w:tcPr>
          <w:p>
            <w:pPr>
              <w:wordWrap w:val="0"/>
              <w:adjustRightInd w:val="0"/>
              <w:snapToGrid w:val="0"/>
              <w:spacing w:line="360" w:lineRule="auto"/>
              <w:rPr>
                <w:rFonts w:ascii="宋体" w:hAnsi="宋体" w:cs="宋体"/>
                <w:szCs w:val="21"/>
              </w:rPr>
            </w:pPr>
          </w:p>
        </w:tc>
        <w:tc>
          <w:tcPr>
            <w:tcW w:w="0" w:type="auto"/>
            <w:vMerge w:val="continue"/>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vMerge w:val="continue"/>
          </w:tcPr>
          <w:p>
            <w:pPr>
              <w:adjustRightInd w:val="0"/>
              <w:snapToGrid w:val="0"/>
              <w:spacing w:line="360" w:lineRule="auto"/>
              <w:jc w:val="center"/>
              <w:rPr>
                <w:rFonts w:ascii="宋体" w:hAnsi="宋体" w:cs="宋体"/>
                <w:szCs w:val="21"/>
              </w:rPr>
            </w:pPr>
          </w:p>
        </w:tc>
        <w:tc>
          <w:tcPr>
            <w:tcW w:w="926"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场景部署</w:t>
            </w:r>
          </w:p>
        </w:tc>
        <w:tc>
          <w:tcPr>
            <w:tcW w:w="5769" w:type="dxa"/>
            <w:vAlign w:val="center"/>
          </w:tcPr>
          <w:p>
            <w:pPr>
              <w:adjustRightInd w:val="0"/>
              <w:snapToGrid w:val="0"/>
              <w:rPr>
                <w:rFonts w:ascii="宋体" w:hAnsi="宋体" w:cs="宋体"/>
                <w:szCs w:val="21"/>
              </w:rPr>
            </w:pPr>
            <w:r>
              <w:rPr>
                <w:rFonts w:hint="eastAsia" w:ascii="宋体" w:hAnsi="宋体" w:cs="宋体"/>
                <w:szCs w:val="21"/>
              </w:rPr>
              <w:t>（1）互联网侧，可部署于DMZ区或互联网出口位置，开启web应用类沙箱或者制作自定义高仿真的沙箱，通过网络设备将沙箱的仿真服务发布至互联网，也可通过负载均衡设备将一些敏感的目录重定向至沙箱，还可以通过与流量设备联动，进行虚拟网站欺骗和公网IP欺骗。</w:t>
            </w:r>
          </w:p>
          <w:p>
            <w:pPr>
              <w:adjustRightInd w:val="0"/>
              <w:snapToGrid w:val="0"/>
              <w:rPr>
                <w:rFonts w:ascii="宋体" w:hAnsi="宋体" w:cs="宋体"/>
                <w:szCs w:val="21"/>
              </w:rPr>
            </w:pPr>
            <w:r>
              <w:rPr>
                <w:rFonts w:hint="eastAsia" w:ascii="宋体" w:hAnsi="宋体" w:cs="宋体"/>
                <w:szCs w:val="21"/>
              </w:rPr>
              <w:t>（2）内网侧，可部署于安全管理域或测试生产区。开启系统服务类沙箱、windows沙箱以及内网仿真业务沙箱，通过伪装代理覆盖当前网络下已存在的主机，通过中继节点覆盖各个Vlan下空闲的IP，最后辅以主机诱饵覆盖Linux端主机信息混淆，办公网诱饵做windows端的攻击欺骗。</w:t>
            </w:r>
          </w:p>
          <w:p>
            <w:pPr>
              <w:adjustRightInd w:val="0"/>
              <w:snapToGrid w:val="0"/>
              <w:rPr>
                <w:rFonts w:ascii="宋体" w:hAnsi="宋体" w:cs="宋体"/>
                <w:szCs w:val="21"/>
              </w:rPr>
            </w:pPr>
            <w:r>
              <w:rPr>
                <w:rFonts w:hint="eastAsia" w:ascii="宋体" w:hAnsi="宋体" w:cs="宋体"/>
                <w:szCs w:val="21"/>
              </w:rPr>
              <w:t>（3）在工控场景中，可部署于网络关键节点或者工业企业网络的出口处，合理启用工控沙箱和服务协议，通过中继节点将生产控制大区的空闲IP，利用网络中的空闲IP绑定工控沙箱服务，将攻击流量诱导至部署的工控沙箱中。</w:t>
            </w:r>
          </w:p>
        </w:tc>
        <w:tc>
          <w:tcPr>
            <w:tcW w:w="0" w:type="auto"/>
            <w:vMerge w:val="continue"/>
          </w:tcPr>
          <w:p>
            <w:pPr>
              <w:wordWrap w:val="0"/>
              <w:adjustRightInd w:val="0"/>
              <w:snapToGrid w:val="0"/>
              <w:spacing w:line="360" w:lineRule="auto"/>
              <w:rPr>
                <w:rFonts w:ascii="宋体" w:hAnsi="宋体" w:cs="宋体"/>
                <w:szCs w:val="21"/>
              </w:rPr>
            </w:pPr>
          </w:p>
        </w:tc>
        <w:tc>
          <w:tcPr>
            <w:tcW w:w="0" w:type="auto"/>
            <w:vMerge w:val="continue"/>
          </w:tcPr>
          <w:p>
            <w:pPr>
              <w:wordWrap w:val="0"/>
              <w:adjustRightInd w:val="0"/>
              <w:snapToGrid w:val="0"/>
              <w:spacing w:line="360" w:lineRule="auto"/>
              <w:rPr>
                <w:rFonts w:ascii="宋体" w:hAnsi="宋体" w:cs="宋体"/>
                <w:szCs w:val="21"/>
              </w:rPr>
            </w:pPr>
          </w:p>
        </w:tc>
      </w:tr>
    </w:tbl>
    <w:p>
      <w:pPr>
        <w:adjustRightInd w:val="0"/>
        <w:snapToGrid w:val="0"/>
        <w:spacing w:line="400" w:lineRule="exact"/>
        <w:rPr>
          <w:rFonts w:ascii="宋体" w:hAnsi="宋体" w:cs="宋体"/>
          <w:b/>
          <w:sz w:val="24"/>
          <w:szCs w:val="24"/>
        </w:rPr>
      </w:pPr>
      <w:r>
        <w:rPr>
          <w:rFonts w:hint="eastAsia" w:ascii="宋体" w:hAnsi="宋体" w:cs="宋体"/>
          <w:b/>
          <w:sz w:val="24"/>
          <w:szCs w:val="24"/>
        </w:rPr>
        <w:t>三、商务需求</w:t>
      </w:r>
    </w:p>
    <w:p>
      <w:pPr>
        <w:pStyle w:val="6"/>
        <w:adjustRightInd w:val="0"/>
        <w:snapToGrid w:val="0"/>
        <w:spacing w:line="400" w:lineRule="exact"/>
        <w:ind w:firstLine="482" w:firstLineChars="200"/>
        <w:rPr>
          <w:rFonts w:ascii="宋体" w:hAnsi="宋体" w:cs="宋体"/>
          <w:b/>
          <w:sz w:val="24"/>
          <w:szCs w:val="21"/>
        </w:rPr>
      </w:pPr>
      <w:r>
        <w:rPr>
          <w:rFonts w:hint="eastAsia" w:ascii="宋体" w:hAnsi="宋体" w:cs="宋体"/>
          <w:b/>
          <w:sz w:val="24"/>
          <w:szCs w:val="21"/>
        </w:rPr>
        <w:t>1.投标要求</w:t>
      </w:r>
    </w:p>
    <w:p>
      <w:pPr>
        <w:pStyle w:val="6"/>
        <w:adjustRightInd w:val="0"/>
        <w:snapToGrid w:val="0"/>
        <w:spacing w:line="400" w:lineRule="exact"/>
        <w:ind w:firstLine="480" w:firstLineChars="200"/>
        <w:rPr>
          <w:rFonts w:ascii="宋体" w:hAnsi="宋体" w:cs="宋体"/>
          <w:sz w:val="24"/>
          <w:szCs w:val="21"/>
        </w:rPr>
      </w:pPr>
      <w:r>
        <w:rPr>
          <w:rFonts w:hint="eastAsia" w:ascii="宋体" w:hAnsi="宋体" w:cs="宋体"/>
          <w:sz w:val="24"/>
          <w:szCs w:val="21"/>
        </w:rPr>
        <w:t>▲</w:t>
      </w:r>
      <w:r>
        <w:rPr>
          <w:rFonts w:hint="eastAsia" w:ascii="宋体" w:hAnsi="宋体" w:cs="宋体"/>
          <w:sz w:val="24"/>
          <w:szCs w:val="24"/>
        </w:rPr>
        <w:t>（</w:t>
      </w:r>
      <w:r>
        <w:rPr>
          <w:rFonts w:hint="eastAsia" w:ascii="宋体" w:hAnsi="宋体" w:cs="宋体"/>
          <w:sz w:val="24"/>
          <w:szCs w:val="21"/>
        </w:rPr>
        <w:t>1</w:t>
      </w:r>
      <w:r>
        <w:rPr>
          <w:rFonts w:hint="eastAsia" w:hAnsi="宋体" w:cs="宋体"/>
          <w:sz w:val="24"/>
          <w:szCs w:val="24"/>
        </w:rPr>
        <w:t>）</w:t>
      </w:r>
      <w:r>
        <w:rPr>
          <w:rFonts w:hint="eastAsia" w:ascii="宋体" w:hAnsi="宋体" w:cs="宋体"/>
          <w:sz w:val="24"/>
          <w:szCs w:val="21"/>
        </w:rPr>
        <w:t>中标人在中标后24小时内提供招标文件内所要求的证明材料电子版本，资料原件备查，如不提供按虚假响应处理，取消预中标资格。</w:t>
      </w:r>
    </w:p>
    <w:p>
      <w:pPr>
        <w:pStyle w:val="6"/>
        <w:adjustRightInd w:val="0"/>
        <w:snapToGrid w:val="0"/>
        <w:spacing w:line="400" w:lineRule="exact"/>
        <w:ind w:firstLine="480" w:firstLineChars="200"/>
        <w:rPr>
          <w:rFonts w:ascii="宋体" w:hAnsi="宋体" w:cs="宋体"/>
          <w:sz w:val="24"/>
          <w:szCs w:val="21"/>
        </w:rPr>
      </w:pPr>
      <w:r>
        <w:rPr>
          <w:rFonts w:hint="eastAsia" w:ascii="宋体" w:hAnsi="宋体" w:cs="宋体"/>
          <w:sz w:val="24"/>
          <w:szCs w:val="21"/>
        </w:rPr>
        <w:t>（2）中标人在中标后15个工作日内需进行软件测试，并进行所承诺的所有功能测试，提供测试报告，如经测试发现与标书要求或投标文件不一致，则视为欺诈行为，招标人将不授予合同，投标单位将承担一切后果与责任。</w:t>
      </w:r>
    </w:p>
    <w:p>
      <w:pPr>
        <w:pStyle w:val="6"/>
        <w:adjustRightInd w:val="0"/>
        <w:snapToGrid w:val="0"/>
        <w:spacing w:line="400" w:lineRule="exact"/>
        <w:ind w:firstLine="480" w:firstLineChars="200"/>
        <w:rPr>
          <w:rFonts w:ascii="宋体" w:hAnsi="宋体" w:cs="宋体"/>
          <w:sz w:val="24"/>
          <w:szCs w:val="21"/>
        </w:rPr>
      </w:pPr>
      <w:r>
        <w:rPr>
          <w:rFonts w:hint="eastAsia" w:ascii="宋体" w:hAnsi="宋体" w:cs="宋体"/>
          <w:sz w:val="24"/>
          <w:szCs w:val="21"/>
        </w:rPr>
        <w:t>▲</w:t>
      </w:r>
      <w:r>
        <w:rPr>
          <w:rFonts w:hint="eastAsia" w:ascii="宋体" w:hAnsi="宋体" w:cs="宋体"/>
          <w:sz w:val="24"/>
          <w:szCs w:val="24"/>
        </w:rPr>
        <w:t>（</w:t>
      </w:r>
      <w:r>
        <w:rPr>
          <w:rFonts w:hint="eastAsia" w:ascii="宋体" w:hAnsi="宋体" w:cs="宋体"/>
          <w:sz w:val="24"/>
          <w:szCs w:val="21"/>
        </w:rPr>
        <w:t>3）投标人在投标时需承诺中标后10日内提供设备原厂商针对本项目的授权函和三年售后（质保）服务承诺函。</w:t>
      </w:r>
    </w:p>
    <w:p>
      <w:pPr>
        <w:pStyle w:val="2"/>
        <w:adjustRightInd w:val="0"/>
        <w:snapToGrid w:val="0"/>
        <w:spacing w:line="400" w:lineRule="exact"/>
        <w:rPr>
          <w:rFonts w:ascii="宋体" w:hAnsi="宋体"/>
          <w:sz w:val="24"/>
          <w:szCs w:val="24"/>
        </w:rPr>
      </w:pPr>
      <w:r>
        <w:rPr>
          <w:rFonts w:hint="eastAsia" w:hAnsi="宋体" w:cs="宋体"/>
          <w:sz w:val="24"/>
          <w:szCs w:val="24"/>
          <w:lang w:val="en-US"/>
        </w:rPr>
        <w:t>（4）产品原</w:t>
      </w:r>
      <w:r>
        <w:rPr>
          <w:rFonts w:hint="eastAsia" w:ascii="宋体" w:hAnsi="宋体"/>
          <w:sz w:val="24"/>
          <w:szCs w:val="24"/>
        </w:rPr>
        <w:t>厂商需具备国家信息安全测评信息安全服务资质证书（安全工程类</w:t>
      </w:r>
      <w:r>
        <w:rPr>
          <w:rFonts w:hint="eastAsia" w:ascii="宋体" w:hAnsi="宋体"/>
          <w:sz w:val="24"/>
          <w:szCs w:val="24"/>
          <w:lang w:val="en-US"/>
        </w:rPr>
        <w:t>一</w:t>
      </w:r>
      <w:r>
        <w:rPr>
          <w:rFonts w:hint="eastAsia" w:ascii="宋体" w:hAnsi="宋体"/>
          <w:sz w:val="24"/>
          <w:szCs w:val="24"/>
        </w:rPr>
        <w:t>级）。</w:t>
      </w:r>
    </w:p>
    <w:p>
      <w:pPr>
        <w:pStyle w:val="2"/>
        <w:adjustRightInd w:val="0"/>
        <w:snapToGrid w:val="0"/>
        <w:spacing w:line="400" w:lineRule="exact"/>
        <w:rPr>
          <w:rFonts w:ascii="宋体" w:hAnsi="宋体"/>
          <w:sz w:val="24"/>
          <w:szCs w:val="24"/>
        </w:rPr>
      </w:pPr>
      <w:r>
        <w:rPr>
          <w:rFonts w:hint="eastAsia" w:hAnsi="宋体" w:cs="宋体"/>
          <w:sz w:val="24"/>
          <w:szCs w:val="24"/>
          <w:lang w:val="en-US"/>
        </w:rPr>
        <w:t>（5）产品原</w:t>
      </w:r>
      <w:r>
        <w:rPr>
          <w:rFonts w:hint="eastAsia" w:ascii="宋体" w:hAnsi="宋体"/>
          <w:sz w:val="24"/>
          <w:szCs w:val="24"/>
        </w:rPr>
        <w:t>厂商需中国网络安全审查技术与认证中心信息安全服务资质（信息系统安全集成服务</w:t>
      </w:r>
      <w:r>
        <w:rPr>
          <w:rFonts w:hint="eastAsia" w:ascii="宋体" w:hAnsi="宋体"/>
          <w:sz w:val="24"/>
          <w:szCs w:val="24"/>
          <w:lang w:val="en-US"/>
        </w:rPr>
        <w:t>三</w:t>
      </w:r>
      <w:r>
        <w:rPr>
          <w:rFonts w:hint="eastAsia" w:ascii="宋体" w:hAnsi="宋体"/>
          <w:sz w:val="24"/>
          <w:szCs w:val="24"/>
        </w:rPr>
        <w:t>级）。</w:t>
      </w:r>
    </w:p>
    <w:p>
      <w:pPr>
        <w:pStyle w:val="2"/>
        <w:adjustRightInd w:val="0"/>
        <w:snapToGrid w:val="0"/>
        <w:spacing w:line="400" w:lineRule="exact"/>
        <w:rPr>
          <w:rFonts w:ascii="宋体" w:hAnsi="宋体"/>
          <w:sz w:val="24"/>
          <w:szCs w:val="24"/>
        </w:rPr>
      </w:pPr>
      <w:r>
        <w:rPr>
          <w:rFonts w:hint="eastAsia" w:hAnsi="宋体" w:cs="宋体"/>
          <w:sz w:val="24"/>
          <w:szCs w:val="24"/>
          <w:lang w:val="en-US"/>
        </w:rPr>
        <w:t>（6）产品原</w:t>
      </w:r>
      <w:r>
        <w:rPr>
          <w:rFonts w:hint="eastAsia" w:ascii="宋体" w:hAnsi="宋体"/>
          <w:sz w:val="24"/>
          <w:szCs w:val="24"/>
        </w:rPr>
        <w:t>厂商需具备国家信息安全测评信息安全服务资质证书（风险评估</w:t>
      </w:r>
      <w:r>
        <w:rPr>
          <w:rFonts w:hint="eastAsia" w:ascii="宋体" w:hAnsi="宋体"/>
          <w:sz w:val="24"/>
          <w:szCs w:val="24"/>
          <w:lang w:val="en-US"/>
        </w:rPr>
        <w:t>一</w:t>
      </w:r>
      <w:r>
        <w:rPr>
          <w:rFonts w:hint="eastAsia" w:ascii="宋体" w:hAnsi="宋体"/>
          <w:sz w:val="24"/>
          <w:szCs w:val="24"/>
        </w:rPr>
        <w:t>级）。</w:t>
      </w:r>
    </w:p>
    <w:p>
      <w:pPr>
        <w:pStyle w:val="2"/>
        <w:adjustRightInd w:val="0"/>
        <w:snapToGrid w:val="0"/>
        <w:spacing w:line="400" w:lineRule="exact"/>
        <w:rPr>
          <w:rFonts w:ascii="宋体" w:hAnsi="宋体"/>
          <w:sz w:val="24"/>
          <w:szCs w:val="24"/>
        </w:rPr>
      </w:pPr>
      <w:r>
        <w:rPr>
          <w:rFonts w:hint="eastAsia" w:hAnsi="宋体" w:cs="宋体"/>
          <w:sz w:val="24"/>
          <w:szCs w:val="24"/>
          <w:lang w:val="en-US"/>
        </w:rPr>
        <w:t>（7）产品原</w:t>
      </w:r>
      <w:r>
        <w:rPr>
          <w:rFonts w:hint="eastAsia" w:ascii="宋体" w:hAnsi="宋体"/>
          <w:sz w:val="24"/>
          <w:szCs w:val="24"/>
        </w:rPr>
        <w:t xml:space="preserve">厂商需具备软件能力成熟度模型CMMI </w:t>
      </w:r>
      <w:r>
        <w:rPr>
          <w:rFonts w:hint="eastAsia" w:ascii="宋体" w:hAnsi="宋体"/>
          <w:sz w:val="24"/>
          <w:szCs w:val="24"/>
          <w:lang w:val="en-US"/>
        </w:rPr>
        <w:t>3及以上</w:t>
      </w:r>
      <w:r>
        <w:rPr>
          <w:rFonts w:hint="eastAsia" w:ascii="宋体" w:hAnsi="宋体"/>
          <w:sz w:val="24"/>
          <w:szCs w:val="24"/>
        </w:rPr>
        <w:t>认证</w:t>
      </w:r>
      <w:bookmarkStart w:id="1" w:name="_GoBack"/>
      <w:bookmarkEnd w:id="1"/>
      <w:r>
        <w:rPr>
          <w:rFonts w:hint="eastAsia" w:ascii="宋体" w:hAnsi="宋体"/>
          <w:sz w:val="24"/>
          <w:szCs w:val="24"/>
        </w:rPr>
        <w:t>。</w:t>
      </w:r>
    </w:p>
    <w:p>
      <w:pPr>
        <w:pStyle w:val="2"/>
        <w:adjustRightInd w:val="0"/>
        <w:snapToGrid w:val="0"/>
        <w:spacing w:line="400" w:lineRule="exact"/>
        <w:rPr>
          <w:rFonts w:ascii="宋体" w:hAnsi="宋体"/>
          <w:sz w:val="24"/>
          <w:szCs w:val="24"/>
        </w:rPr>
      </w:pPr>
      <w:r>
        <w:rPr>
          <w:rFonts w:hint="eastAsia" w:ascii="宋体" w:hAnsi="宋体"/>
          <w:sz w:val="24"/>
          <w:szCs w:val="24"/>
        </w:rPr>
        <w:t>注：其中</w:t>
      </w:r>
      <w:r>
        <w:rPr>
          <w:rFonts w:hint="eastAsia" w:hAnsi="宋体" w:cs="宋体"/>
          <w:sz w:val="24"/>
          <w:szCs w:val="24"/>
          <w:lang w:val="en-US"/>
        </w:rPr>
        <w:t>（4）至（7）需至少满足2项</w:t>
      </w:r>
      <w:r>
        <w:rPr>
          <w:rFonts w:hint="eastAsia" w:hAnsi="宋体" w:cs="宋体"/>
          <w:sz w:val="24"/>
          <w:szCs w:val="24"/>
          <w:lang w:val="en-US" w:eastAsia="zh-CN"/>
        </w:rPr>
        <w:t>，并提供证明材料</w:t>
      </w:r>
      <w:r>
        <w:rPr>
          <w:rFonts w:hint="eastAsia" w:hAnsi="宋体" w:cs="宋体"/>
          <w:sz w:val="24"/>
          <w:szCs w:val="24"/>
          <w:lang w:val="en-US"/>
        </w:rPr>
        <w:t>。</w:t>
      </w:r>
    </w:p>
    <w:p>
      <w:pPr>
        <w:adjustRightInd w:val="0"/>
        <w:snapToGrid w:val="0"/>
        <w:spacing w:line="400" w:lineRule="exact"/>
        <w:ind w:firstLine="482" w:firstLineChars="200"/>
        <w:rPr>
          <w:rFonts w:ascii="宋体" w:hAnsi="宋体" w:cs="宋体"/>
          <w:b/>
          <w:bCs/>
          <w:sz w:val="24"/>
          <w:szCs w:val="24"/>
        </w:rPr>
      </w:pPr>
      <w:r>
        <w:rPr>
          <w:rFonts w:hint="eastAsia" w:ascii="宋体" w:hAnsi="宋体" w:cs="宋体"/>
          <w:b/>
          <w:bCs/>
          <w:sz w:val="24"/>
          <w:szCs w:val="24"/>
        </w:rPr>
        <w:t>2.质量保证和售后服务</w:t>
      </w:r>
    </w:p>
    <w:p>
      <w:pPr>
        <w:adjustRightInd w:val="0"/>
        <w:snapToGrid w:val="0"/>
        <w:spacing w:line="400" w:lineRule="exact"/>
        <w:ind w:firstLine="480" w:firstLineChars="200"/>
        <w:rPr>
          <w:rFonts w:ascii="宋体" w:hAnsi="宋体"/>
          <w:sz w:val="24"/>
          <w:szCs w:val="24"/>
        </w:rPr>
      </w:pPr>
      <w:r>
        <w:rPr>
          <w:rFonts w:hint="eastAsia" w:hAnsi="宋体" w:cs="宋体"/>
          <w:sz w:val="24"/>
          <w:szCs w:val="24"/>
        </w:rPr>
        <w:t>（</w:t>
      </w:r>
      <w:r>
        <w:rPr>
          <w:rFonts w:hint="eastAsia" w:ascii="宋体" w:hAnsi="宋体"/>
          <w:sz w:val="24"/>
          <w:szCs w:val="24"/>
        </w:rPr>
        <w:t>1</w:t>
      </w:r>
      <w:r>
        <w:rPr>
          <w:rFonts w:hint="eastAsia" w:hAnsi="宋体" w:cs="宋体"/>
          <w:sz w:val="24"/>
          <w:szCs w:val="24"/>
        </w:rPr>
        <w:t>）</w:t>
      </w:r>
      <w:r>
        <w:rPr>
          <w:rFonts w:hint="eastAsia" w:ascii="宋体" w:hAnsi="宋体"/>
          <w:sz w:val="24"/>
          <w:szCs w:val="24"/>
        </w:rPr>
        <w:t>提供3年免费升级维护。</w:t>
      </w:r>
    </w:p>
    <w:p>
      <w:pPr>
        <w:pStyle w:val="2"/>
        <w:adjustRightInd w:val="0"/>
        <w:snapToGrid w:val="0"/>
        <w:spacing w:line="400" w:lineRule="exact"/>
        <w:rPr>
          <w:rFonts w:ascii="宋体" w:hAnsi="宋体"/>
          <w:sz w:val="24"/>
          <w:szCs w:val="24"/>
        </w:rPr>
      </w:pPr>
      <w:r>
        <w:rPr>
          <w:rFonts w:hint="eastAsia" w:hAnsi="宋体" w:cs="宋体"/>
          <w:sz w:val="24"/>
          <w:szCs w:val="24"/>
          <w:lang w:val="en-US"/>
        </w:rPr>
        <w:t>（</w:t>
      </w:r>
      <w:r>
        <w:rPr>
          <w:rFonts w:hint="eastAsia" w:ascii="宋体" w:hAnsi="宋体"/>
          <w:sz w:val="24"/>
          <w:szCs w:val="24"/>
          <w:lang w:val="en-US"/>
        </w:rPr>
        <w:t>2</w:t>
      </w:r>
      <w:r>
        <w:rPr>
          <w:rFonts w:hint="eastAsia" w:hAnsi="宋体" w:cs="宋体"/>
          <w:sz w:val="24"/>
          <w:szCs w:val="24"/>
          <w:lang w:val="en-US"/>
        </w:rPr>
        <w:t>）</w:t>
      </w:r>
      <w:r>
        <w:rPr>
          <w:rFonts w:hint="eastAsia" w:ascii="宋体" w:hAnsi="宋体"/>
          <w:sz w:val="24"/>
          <w:szCs w:val="24"/>
        </w:rPr>
        <w:t>提供</w:t>
      </w:r>
      <w:r>
        <w:rPr>
          <w:rFonts w:ascii="宋体" w:hAnsi="宋体"/>
          <w:sz w:val="24"/>
          <w:szCs w:val="24"/>
        </w:rPr>
        <w:t>7*</w:t>
      </w:r>
      <w:r>
        <w:rPr>
          <w:rFonts w:hint="eastAsia" w:ascii="宋体" w:hAnsi="宋体"/>
          <w:sz w:val="24"/>
          <w:szCs w:val="24"/>
        </w:rPr>
        <w:t>24小时技术支持热线。</w:t>
      </w:r>
    </w:p>
    <w:p>
      <w:pPr>
        <w:pStyle w:val="2"/>
        <w:adjustRightInd w:val="0"/>
        <w:snapToGrid w:val="0"/>
        <w:spacing w:line="400" w:lineRule="exact"/>
        <w:rPr>
          <w:rFonts w:ascii="宋体" w:hAnsi="宋体"/>
          <w:sz w:val="24"/>
          <w:szCs w:val="24"/>
        </w:rPr>
      </w:pPr>
      <w:r>
        <w:rPr>
          <w:rFonts w:hint="eastAsia" w:hAnsi="宋体" w:cs="宋体"/>
          <w:sz w:val="24"/>
          <w:szCs w:val="24"/>
          <w:lang w:val="en-US"/>
        </w:rPr>
        <w:t>（</w:t>
      </w:r>
      <w:r>
        <w:rPr>
          <w:rFonts w:hint="eastAsia" w:ascii="宋体" w:hAnsi="宋体"/>
          <w:sz w:val="24"/>
          <w:szCs w:val="24"/>
        </w:rPr>
        <w:t>3</w:t>
      </w:r>
      <w:r>
        <w:rPr>
          <w:rFonts w:hint="eastAsia" w:hAnsi="宋体" w:cs="宋体"/>
          <w:sz w:val="24"/>
          <w:szCs w:val="24"/>
          <w:lang w:val="en-US"/>
        </w:rPr>
        <w:t>）</w:t>
      </w:r>
      <w:r>
        <w:rPr>
          <w:rFonts w:hint="eastAsia" w:ascii="宋体" w:hAnsi="宋体"/>
          <w:sz w:val="24"/>
          <w:szCs w:val="24"/>
        </w:rPr>
        <w:t>提供安装调试后1天本地操作培训。</w:t>
      </w:r>
    </w:p>
    <w:p>
      <w:pPr>
        <w:pStyle w:val="2"/>
        <w:adjustRightInd w:val="0"/>
        <w:snapToGrid w:val="0"/>
        <w:spacing w:line="400" w:lineRule="exact"/>
        <w:rPr>
          <w:rFonts w:ascii="宋体" w:hAnsi="宋体"/>
          <w:sz w:val="24"/>
          <w:szCs w:val="24"/>
        </w:rPr>
      </w:pPr>
      <w:r>
        <w:rPr>
          <w:rFonts w:hint="eastAsia" w:hAnsi="宋体" w:cs="宋体"/>
          <w:sz w:val="24"/>
          <w:szCs w:val="24"/>
          <w:lang w:val="en-US"/>
        </w:rPr>
        <w:t>（</w:t>
      </w:r>
      <w:r>
        <w:rPr>
          <w:rFonts w:hint="eastAsia" w:ascii="宋体" w:hAnsi="宋体"/>
          <w:sz w:val="24"/>
          <w:szCs w:val="24"/>
        </w:rPr>
        <w:t>4</w:t>
      </w:r>
      <w:r>
        <w:rPr>
          <w:rFonts w:hint="eastAsia" w:hAnsi="宋体" w:cs="宋体"/>
          <w:sz w:val="24"/>
          <w:szCs w:val="24"/>
          <w:lang w:val="en-US"/>
        </w:rPr>
        <w:t>）</w:t>
      </w:r>
      <w:r>
        <w:rPr>
          <w:rFonts w:hint="eastAsia" w:ascii="宋体" w:hAnsi="宋体"/>
          <w:sz w:val="24"/>
          <w:szCs w:val="24"/>
        </w:rPr>
        <w:t>本地应急响应时间≤2小时。</w:t>
      </w:r>
    </w:p>
    <w:p>
      <w:pPr>
        <w:pStyle w:val="2"/>
        <w:adjustRightInd w:val="0"/>
        <w:snapToGrid w:val="0"/>
        <w:spacing w:line="400" w:lineRule="exact"/>
        <w:rPr>
          <w:rFonts w:hAnsi="宋体"/>
        </w:rPr>
      </w:pPr>
      <w:r>
        <w:rPr>
          <w:rFonts w:hint="eastAsia" w:hAnsi="宋体" w:cs="宋体"/>
          <w:sz w:val="24"/>
          <w:szCs w:val="24"/>
          <w:lang w:val="en-US"/>
        </w:rPr>
        <w:t>（</w:t>
      </w:r>
      <w:r>
        <w:rPr>
          <w:rFonts w:hint="eastAsia" w:ascii="宋体" w:hAnsi="宋体"/>
          <w:sz w:val="24"/>
          <w:szCs w:val="24"/>
        </w:rPr>
        <w:t>5）</w:t>
      </w:r>
      <w:r>
        <w:rPr>
          <w:rFonts w:hint="eastAsia" w:ascii="宋体" w:hAnsi="宋体"/>
          <w:sz w:val="24"/>
          <w:szCs w:val="24"/>
          <w:lang w:val="en-US"/>
        </w:rPr>
        <w:t>产品原厂商项目经理须同时具备以下5个认证中至少2项：①项目管理专业人士资格认证（PMP）、②注册信息安全专业人员认证（CISP）、③信息安全保障人员认证（CISAW(安全集成专业级））、④信息安全保障人员认证（CISAW(安全运维专业级））、⑤</w:t>
      </w:r>
      <w:r>
        <w:rPr>
          <w:rFonts w:ascii="宋体" w:hAnsi="宋体"/>
          <w:sz w:val="24"/>
          <w:szCs w:val="24"/>
        </w:rPr>
        <w:t>信息安全管理体系认证</w:t>
      </w:r>
      <w:r>
        <w:rPr>
          <w:rFonts w:hint="eastAsia" w:ascii="宋体" w:hAnsi="宋体"/>
          <w:sz w:val="24"/>
          <w:szCs w:val="24"/>
        </w:rPr>
        <w:t>（</w:t>
      </w:r>
      <w:r>
        <w:rPr>
          <w:rFonts w:hint="eastAsia" w:ascii="宋体" w:hAnsi="宋体"/>
          <w:sz w:val="24"/>
          <w:szCs w:val="24"/>
          <w:lang w:val="en-US"/>
        </w:rPr>
        <w:t>ISO27001 Foundation</w:t>
      </w:r>
      <w:r>
        <w:rPr>
          <w:rFonts w:hint="eastAsia" w:ascii="宋体" w:hAnsi="宋体"/>
          <w:sz w:val="24"/>
          <w:szCs w:val="24"/>
        </w:rPr>
        <w:t>）。</w:t>
      </w:r>
      <w:r>
        <w:rPr>
          <w:rFonts w:hint="eastAsia" w:hAnsi="宋体"/>
        </w:rPr>
        <w:t>（提供相关证书复印件及近三个月内浙江省社保证明）。</w:t>
      </w:r>
    </w:p>
    <w:p>
      <w:pPr>
        <w:pStyle w:val="8"/>
        <w:spacing w:line="400" w:lineRule="exact"/>
        <w:ind w:firstLine="482" w:firstLineChars="200"/>
        <w:rPr>
          <w:rFonts w:hAnsi="宋体"/>
          <w:lang w:eastAsia="zh-CN"/>
        </w:rPr>
      </w:pPr>
      <w:r>
        <w:rPr>
          <w:rFonts w:hint="eastAsia" w:hAnsi="宋体"/>
          <w:b/>
          <w:bCs/>
          <w:lang w:eastAsia="zh-CN"/>
        </w:rPr>
        <w:t>3.付款方式</w:t>
      </w:r>
    </w:p>
    <w:p>
      <w:pPr>
        <w:spacing w:line="400" w:lineRule="exact"/>
        <w:ind w:firstLine="480" w:firstLineChars="200"/>
        <w:rPr>
          <w:rFonts w:ascii="宋体" w:hAnsi="宋体" w:cs="宋体"/>
          <w:sz w:val="24"/>
          <w:szCs w:val="24"/>
        </w:rPr>
      </w:pPr>
      <w:r>
        <w:rPr>
          <w:rFonts w:hint="eastAsia" w:ascii="宋体" w:hAnsi="宋体" w:cs="宋体"/>
          <w:sz w:val="24"/>
          <w:szCs w:val="24"/>
        </w:rPr>
        <w:t>甲方在合同签订后10个工作日内支付合同金额的40%，安装调试完毕，项目验收合格并收到发票后10个工作日内支付合同金额的60%。</w:t>
      </w:r>
    </w:p>
    <w:p>
      <w:pPr>
        <w:widowControl w:val="0"/>
        <w:adjustRightInd w:val="0"/>
        <w:snapToGrid w:val="0"/>
        <w:spacing w:line="400" w:lineRule="exact"/>
        <w:ind w:firstLine="482" w:firstLineChars="200"/>
        <w:jc w:val="both"/>
        <w:rPr>
          <w:rFonts w:ascii="宋体" w:hAnsi="宋体" w:cs="宋体"/>
          <w:b/>
          <w:bCs/>
          <w:sz w:val="24"/>
          <w:szCs w:val="24"/>
        </w:rPr>
      </w:pPr>
      <w:r>
        <w:rPr>
          <w:rFonts w:hint="eastAsia" w:ascii="宋体" w:hAnsi="宋体" w:cs="宋体"/>
          <w:b/>
          <w:bCs/>
          <w:sz w:val="24"/>
          <w:szCs w:val="24"/>
        </w:rPr>
        <w:t>4.交货时间及地点</w:t>
      </w:r>
    </w:p>
    <w:p>
      <w:pPr>
        <w:pStyle w:val="10"/>
        <w:widowControl/>
        <w:adjustRightInd w:val="0"/>
        <w:snapToGrid w:val="0"/>
        <w:spacing w:before="0" w:beforeLines="0" w:after="0" w:afterLines="0"/>
        <w:ind w:firstLine="480" w:firstLineChars="200"/>
        <w:outlineLvl w:val="0"/>
        <w:rPr>
          <w:rFonts w:hint="default" w:hAnsi="宋体" w:cs="宋体"/>
        </w:rPr>
      </w:pPr>
      <w:r>
        <w:rPr>
          <w:rFonts w:hAnsi="宋体" w:cs="宋体"/>
        </w:rPr>
        <w:t>（1）交货时间：合同签订后10天内交货并安装、调试完毕；</w:t>
      </w:r>
    </w:p>
    <w:p>
      <w:pPr>
        <w:pStyle w:val="10"/>
        <w:widowControl/>
        <w:adjustRightInd w:val="0"/>
        <w:snapToGrid w:val="0"/>
        <w:spacing w:before="0" w:beforeLines="0" w:after="0" w:afterLines="0"/>
        <w:ind w:firstLine="480" w:firstLineChars="200"/>
        <w:outlineLvl w:val="0"/>
        <w:rPr>
          <w:rFonts w:hint="default" w:hAnsi="宋体" w:cs="宋体"/>
        </w:rPr>
      </w:pPr>
      <w:r>
        <w:rPr>
          <w:rFonts w:hAnsi="宋体" w:cs="宋体"/>
        </w:rPr>
        <w:t>（2）交货地点：台州市黄岩区嘉木路288号；</w:t>
      </w:r>
    </w:p>
    <w:p>
      <w:pPr>
        <w:adjustRightInd w:val="0"/>
        <w:snapToGrid w:val="0"/>
        <w:spacing w:line="400" w:lineRule="exact"/>
        <w:ind w:firstLine="480" w:firstLineChars="200"/>
      </w:pPr>
      <w:r>
        <w:rPr>
          <w:rFonts w:hint="eastAsia" w:hAnsi="宋体" w:cs="宋体"/>
          <w:sz w:val="24"/>
          <w:szCs w:val="24"/>
        </w:rPr>
        <w:t>（</w:t>
      </w:r>
      <w:r>
        <w:rPr>
          <w:rFonts w:hint="eastAsia" w:ascii="宋体" w:hAnsi="宋体" w:cs="宋体"/>
          <w:sz w:val="24"/>
          <w:szCs w:val="24"/>
        </w:rPr>
        <w:t>3）收货联系人：李老师，15057628610。</w:t>
      </w:r>
    </w:p>
    <w:p>
      <w:pPr>
        <w:pStyle w:val="10"/>
        <w:widowControl/>
        <w:adjustRightInd w:val="0"/>
        <w:snapToGrid w:val="0"/>
        <w:spacing w:before="0" w:beforeLines="0" w:after="0" w:afterLines="0"/>
        <w:outlineLvl w:val="0"/>
        <w:rPr>
          <w:rFonts w:hint="default" w:ascii="Times New Roman" w:hAnsi="Times New Roman"/>
          <w:b/>
          <w:kern w:val="0"/>
          <w:szCs w:val="22"/>
        </w:rPr>
      </w:pPr>
      <w:r>
        <w:rPr>
          <w:rFonts w:ascii="Times New Roman" w:hAnsi="Times New Roman"/>
          <w:b/>
          <w:kern w:val="0"/>
          <w:szCs w:val="22"/>
        </w:rPr>
        <w:t>四、其他事项</w:t>
      </w:r>
    </w:p>
    <w:p>
      <w:pPr>
        <w:widowControl w:val="0"/>
        <w:snapToGrid w:val="0"/>
        <w:spacing w:line="400" w:lineRule="exact"/>
        <w:ind w:firstLine="480" w:firstLineChars="200"/>
        <w:jc w:val="both"/>
        <w:rPr>
          <w:rFonts w:ascii="宋体" w:hAnsi="宋体" w:cs="宋体"/>
          <w:sz w:val="24"/>
          <w:szCs w:val="24"/>
        </w:rPr>
      </w:pPr>
      <w:r>
        <w:rPr>
          <w:rFonts w:hint="eastAsia" w:ascii="宋体" w:hAnsi="宋体" w:cs="宋体"/>
          <w:sz w:val="24"/>
          <w:szCs w:val="24"/>
        </w:rPr>
        <w:t>1.一家供应商只能报价一种品牌，否则作无效标处理；若投标供应商用不满足参数产品恶意投标，影响采购人采购进程的，采购人有进一步追究其责任的权利。</w:t>
      </w:r>
    </w:p>
    <w:p>
      <w:pPr>
        <w:pStyle w:val="8"/>
        <w:spacing w:line="400" w:lineRule="exact"/>
        <w:ind w:firstLine="480" w:firstLineChars="200"/>
        <w:rPr>
          <w:lang w:eastAsia="zh-CN"/>
        </w:rPr>
      </w:pPr>
      <w:r>
        <w:rPr>
          <w:rFonts w:hint="eastAsia"/>
          <w:lang w:eastAsia="zh-CN"/>
        </w:rPr>
        <w:t xml:space="preserve">2.招标方根据需要在中标金额范围内提前通知可调整货物配置的，供应商应当配合完成。供应商备货、供货前应当提供细化的供货安装方案，方案须征得招标方同意后方可进场施工，擅自施工造成的后果由供应商承担。 </w:t>
      </w:r>
    </w:p>
    <w:p>
      <w:pPr>
        <w:widowControl w:val="0"/>
        <w:snapToGrid w:val="0"/>
        <w:spacing w:line="400" w:lineRule="exact"/>
        <w:ind w:firstLine="480" w:firstLineChars="200"/>
        <w:jc w:val="both"/>
      </w:pPr>
      <w:r>
        <w:rPr>
          <w:rFonts w:hint="eastAsia" w:ascii="宋体" w:hAnsi="宋体" w:cs="宋体"/>
          <w:sz w:val="24"/>
          <w:szCs w:val="24"/>
        </w:rPr>
        <w:t>3.投标供应商应当</w:t>
      </w:r>
      <w:r>
        <w:rPr>
          <w:rFonts w:hint="eastAsia" w:ascii="宋体" w:hAnsi="宋体" w:cs="宋体"/>
          <w:b/>
          <w:bCs/>
          <w:sz w:val="24"/>
          <w:szCs w:val="24"/>
        </w:rPr>
        <w:t>在询价时附上响应文件。</w:t>
      </w:r>
      <w:r>
        <w:rPr>
          <w:rFonts w:hint="eastAsia" w:ascii="宋体" w:hAnsi="宋体" w:cs="宋体"/>
          <w:sz w:val="24"/>
          <w:szCs w:val="24"/>
        </w:rPr>
        <w:t>（请按以下附件格式填写，加盖投标单位公章后扫描制作成PDF格式文件，上传到政采云平台，文件要求：清析、明确；网上自动成交后，需双方根据询价文件确认达成一致结果才为正式成交。</w:t>
      </w:r>
    </w:p>
    <w:p>
      <w:pPr>
        <w:pStyle w:val="2"/>
        <w:ind w:firstLine="0" w:firstLineChars="0"/>
        <w:rPr>
          <w:lang w:val="en-US"/>
        </w:rPr>
      </w:pPr>
    </w:p>
    <w:p>
      <w:pPr>
        <w:widowControl w:val="0"/>
        <w:snapToGrid w:val="0"/>
        <w:spacing w:line="400" w:lineRule="exact"/>
        <w:ind w:firstLine="480" w:firstLineChars="200"/>
        <w:jc w:val="both"/>
        <w:rPr>
          <w:rFonts w:ascii="宋体" w:hAnsi="宋体" w:cs="宋体"/>
          <w:kern w:val="2"/>
          <w:sz w:val="24"/>
          <w:szCs w:val="24"/>
          <w:lang w:bidi="ar"/>
        </w:rPr>
        <w:sectPr>
          <w:pgSz w:w="11900" w:h="16840"/>
          <w:pgMar w:top="851" w:right="1800" w:bottom="851" w:left="1800" w:header="851" w:footer="992" w:gutter="0"/>
          <w:cols w:space="425" w:num="1"/>
          <w:docGrid w:type="lines" w:linePitch="312" w:charSpace="0"/>
        </w:sectPr>
      </w:pPr>
    </w:p>
    <w:p>
      <w:pPr>
        <w:widowControl w:val="0"/>
        <w:snapToGrid w:val="0"/>
        <w:spacing w:before="156" w:beforeLines="50" w:after="50"/>
        <w:jc w:val="both"/>
        <w:rPr>
          <w:rFonts w:ascii="宋体" w:hAnsi="宋体" w:cs="宋体"/>
          <w:b/>
          <w:sz w:val="36"/>
          <w:szCs w:val="36"/>
        </w:rPr>
      </w:pPr>
      <w:r>
        <w:rPr>
          <w:rFonts w:hint="eastAsia" w:ascii="宋体" w:hAnsi="宋体" w:cs="宋体"/>
          <w:b/>
          <w:kern w:val="2"/>
          <w:sz w:val="36"/>
          <w:szCs w:val="36"/>
          <w:lang w:bidi="ar"/>
        </w:rPr>
        <w:t>附件：</w:t>
      </w:r>
    </w:p>
    <w:p>
      <w:pPr>
        <w:widowControl w:val="0"/>
        <w:snapToGrid w:val="0"/>
        <w:spacing w:before="156" w:beforeLines="50" w:after="50"/>
        <w:jc w:val="both"/>
        <w:rPr>
          <w:rFonts w:ascii="宋体" w:hAnsi="宋体" w:cs="宋体"/>
          <w:b/>
          <w:sz w:val="36"/>
          <w:szCs w:val="36"/>
        </w:rPr>
      </w:pPr>
    </w:p>
    <w:p>
      <w:pPr>
        <w:widowControl w:val="0"/>
        <w:snapToGrid w:val="0"/>
        <w:spacing w:before="156" w:beforeLines="50" w:after="50"/>
        <w:jc w:val="center"/>
        <w:rPr>
          <w:rFonts w:ascii="宋体" w:hAnsi="宋体" w:eastAsia="仿宋_GB2312" w:cs="宋体"/>
          <w:bCs/>
          <w:sz w:val="30"/>
          <w:szCs w:val="30"/>
        </w:rPr>
      </w:pPr>
    </w:p>
    <w:p>
      <w:pPr>
        <w:widowControl w:val="0"/>
        <w:spacing w:line="360" w:lineRule="exact"/>
        <w:jc w:val="center"/>
        <w:rPr>
          <w:rFonts w:ascii="宋体" w:hAnsi="宋体" w:cs="宋体"/>
          <w:b/>
          <w:sz w:val="28"/>
          <w:szCs w:val="28"/>
        </w:rPr>
      </w:pPr>
    </w:p>
    <w:p>
      <w:pPr>
        <w:widowControl w:val="0"/>
        <w:snapToGrid w:val="0"/>
        <w:spacing w:before="156" w:beforeLines="50" w:after="50"/>
        <w:jc w:val="both"/>
        <w:rPr>
          <w:rFonts w:ascii="宋体" w:hAnsi="宋体" w:cs="宋体"/>
          <w:b/>
          <w:sz w:val="36"/>
          <w:szCs w:val="36"/>
        </w:rPr>
      </w:pPr>
    </w:p>
    <w:p>
      <w:pPr>
        <w:pStyle w:val="10"/>
        <w:widowControl/>
        <w:snapToGrid w:val="0"/>
        <w:spacing w:line="240" w:lineRule="auto"/>
        <w:jc w:val="center"/>
        <w:outlineLvl w:val="0"/>
        <w:rPr>
          <w:rFonts w:hint="default" w:hAnsi="宋体"/>
          <w:b/>
          <w:sz w:val="44"/>
          <w:szCs w:val="44"/>
        </w:rPr>
      </w:pPr>
      <w:r>
        <w:rPr>
          <w:rFonts w:hAnsi="宋体"/>
          <w:b/>
          <w:sz w:val="44"/>
          <w:szCs w:val="44"/>
        </w:rPr>
        <w:t>在线询价响应文件</w:t>
      </w:r>
    </w:p>
    <w:p>
      <w:pPr>
        <w:widowControl w:val="0"/>
        <w:snapToGrid w:val="0"/>
        <w:spacing w:before="156" w:beforeLines="50" w:after="50"/>
        <w:jc w:val="center"/>
        <w:rPr>
          <w:rFonts w:ascii="宋体" w:hAnsi="宋体" w:cs="宋体"/>
          <w:bCs/>
          <w:szCs w:val="20"/>
        </w:rPr>
      </w:pPr>
    </w:p>
    <w:p>
      <w:pPr>
        <w:widowControl w:val="0"/>
        <w:snapToGrid w:val="0"/>
        <w:spacing w:before="156" w:beforeLines="50" w:after="50"/>
        <w:ind w:firstLine="983" w:firstLineChars="445"/>
        <w:jc w:val="both"/>
        <w:rPr>
          <w:rFonts w:ascii="宋体" w:hAnsi="宋体" w:cs="宋体"/>
          <w:b/>
          <w:bCs/>
          <w:szCs w:val="28"/>
        </w:rPr>
      </w:pPr>
    </w:p>
    <w:p>
      <w:pPr>
        <w:widowControl w:val="0"/>
        <w:snapToGrid w:val="0"/>
        <w:spacing w:before="156" w:beforeLines="50" w:after="50"/>
        <w:ind w:firstLine="983" w:firstLineChars="445"/>
        <w:jc w:val="both"/>
        <w:rPr>
          <w:rFonts w:ascii="宋体" w:hAnsi="宋体" w:cs="宋体"/>
          <w:b/>
          <w:bCs/>
          <w:szCs w:val="28"/>
        </w:rPr>
      </w:pPr>
    </w:p>
    <w:p>
      <w:pPr>
        <w:widowControl w:val="0"/>
        <w:snapToGrid w:val="0"/>
        <w:spacing w:before="156" w:beforeLines="50" w:after="50" w:line="360" w:lineRule="auto"/>
        <w:ind w:firstLine="1251" w:firstLineChars="445"/>
        <w:jc w:val="both"/>
        <w:rPr>
          <w:rFonts w:ascii="宋体" w:hAnsi="宋体" w:cs="宋体"/>
          <w:b/>
          <w:bCs/>
          <w:sz w:val="28"/>
          <w:szCs w:val="28"/>
        </w:rPr>
      </w:pPr>
      <w:r>
        <w:rPr>
          <w:rFonts w:hint="eastAsia" w:ascii="宋体" w:hAnsi="宋体" w:cs="宋体"/>
          <w:b/>
          <w:bCs/>
          <w:kern w:val="2"/>
          <w:sz w:val="28"/>
          <w:szCs w:val="28"/>
          <w:lang w:bidi="ar"/>
        </w:rPr>
        <w:t>项目名称：</w:t>
      </w:r>
      <w:r>
        <w:rPr>
          <w:rFonts w:hint="eastAsia" w:ascii="宋体" w:hAnsi="宋体" w:cs="宋体"/>
          <w:bCs/>
          <w:kern w:val="2"/>
          <w:sz w:val="28"/>
          <w:szCs w:val="28"/>
          <w:u w:val="single"/>
          <w:lang w:bidi="ar"/>
        </w:rPr>
        <w:t xml:space="preserve">                   </w:t>
      </w:r>
    </w:p>
    <w:p>
      <w:pPr>
        <w:widowControl w:val="0"/>
        <w:snapToGrid w:val="0"/>
        <w:spacing w:before="156" w:beforeLines="50" w:after="50" w:line="360" w:lineRule="auto"/>
        <w:ind w:firstLine="562" w:firstLineChars="200"/>
        <w:jc w:val="both"/>
        <w:rPr>
          <w:rFonts w:ascii="宋体" w:hAnsi="宋体" w:cs="宋体"/>
          <w:b/>
          <w:bCs/>
          <w:sz w:val="28"/>
          <w:szCs w:val="28"/>
          <w:u w:val="single"/>
        </w:rPr>
      </w:pPr>
      <w:r>
        <w:rPr>
          <w:rFonts w:hint="eastAsia" w:ascii="宋体" w:hAnsi="宋体" w:cs="宋体"/>
          <w:b/>
          <w:bCs/>
          <w:kern w:val="2"/>
          <w:sz w:val="28"/>
          <w:szCs w:val="28"/>
          <w:lang w:bidi="ar"/>
        </w:rPr>
        <w:t xml:space="preserve">     项目编号：</w:t>
      </w:r>
      <w:r>
        <w:rPr>
          <w:rFonts w:hint="eastAsia" w:ascii="宋体" w:hAnsi="宋体" w:cs="宋体"/>
          <w:b/>
          <w:bCs/>
          <w:kern w:val="2"/>
          <w:sz w:val="28"/>
          <w:szCs w:val="28"/>
          <w:u w:val="single"/>
          <w:lang w:bidi="ar"/>
        </w:rPr>
        <w:t xml:space="preserve">                   </w:t>
      </w:r>
    </w:p>
    <w:p>
      <w:pPr>
        <w:widowControl w:val="0"/>
        <w:snapToGrid w:val="0"/>
        <w:spacing w:before="156" w:beforeLines="50" w:after="50" w:line="360" w:lineRule="auto"/>
        <w:ind w:firstLine="422" w:firstLineChars="200"/>
        <w:jc w:val="both"/>
        <w:rPr>
          <w:rFonts w:ascii="宋体" w:hAnsi="宋体" w:cs="宋体"/>
          <w:b/>
          <w:bCs/>
          <w:szCs w:val="28"/>
        </w:rPr>
      </w:pPr>
      <w:r>
        <w:rPr>
          <w:rFonts w:hint="eastAsia" w:ascii="宋体" w:hAnsi="宋体" w:cs="宋体"/>
          <w:b/>
          <w:bCs/>
          <w:kern w:val="2"/>
          <w:sz w:val="21"/>
          <w:szCs w:val="28"/>
          <w:lang w:bidi="ar"/>
        </w:rPr>
        <w:t xml:space="preserve">  </w:t>
      </w:r>
    </w:p>
    <w:p>
      <w:pPr>
        <w:widowControl w:val="0"/>
        <w:snapToGrid w:val="0"/>
        <w:spacing w:before="156" w:beforeLines="50" w:after="50" w:line="360" w:lineRule="auto"/>
        <w:ind w:firstLine="442" w:firstLineChars="200"/>
        <w:jc w:val="both"/>
        <w:rPr>
          <w:rFonts w:ascii="宋体" w:hAnsi="宋体" w:cs="宋体"/>
          <w:b/>
          <w:bCs/>
          <w:szCs w:val="28"/>
        </w:rPr>
      </w:pPr>
    </w:p>
    <w:p>
      <w:pPr>
        <w:widowControl w:val="0"/>
        <w:snapToGrid w:val="0"/>
        <w:spacing w:before="156" w:beforeLines="50" w:after="50" w:line="360" w:lineRule="auto"/>
        <w:ind w:firstLine="442" w:firstLineChars="200"/>
        <w:jc w:val="both"/>
        <w:rPr>
          <w:rFonts w:ascii="宋体" w:hAnsi="宋体" w:cs="宋体"/>
          <w:b/>
          <w:bCs/>
          <w:szCs w:val="28"/>
        </w:rPr>
      </w:pPr>
    </w:p>
    <w:p>
      <w:pPr>
        <w:pStyle w:val="6"/>
        <w:widowControl/>
        <w:snapToGrid w:val="0"/>
        <w:spacing w:before="50" w:after="50" w:line="360" w:lineRule="auto"/>
        <w:ind w:firstLine="1301" w:firstLineChars="463"/>
        <w:rPr>
          <w:rFonts w:ascii="宋体" w:hAnsi="宋体" w:cs="宋体"/>
          <w:b/>
          <w:bCs/>
          <w:sz w:val="28"/>
          <w:szCs w:val="28"/>
        </w:rPr>
      </w:pPr>
      <w:r>
        <w:rPr>
          <w:rFonts w:hint="eastAsia" w:ascii="宋体" w:hAnsi="宋体" w:cs="宋体"/>
          <w:b/>
          <w:bCs/>
          <w:sz w:val="28"/>
          <w:szCs w:val="28"/>
        </w:rPr>
        <w:t>投标人名称：（盖章）</w:t>
      </w:r>
    </w:p>
    <w:p>
      <w:pPr>
        <w:pStyle w:val="6"/>
        <w:widowControl/>
        <w:snapToGrid w:val="0"/>
        <w:spacing w:before="50" w:after="50" w:line="360" w:lineRule="auto"/>
        <w:ind w:firstLine="1301" w:firstLineChars="463"/>
        <w:rPr>
          <w:rFonts w:ascii="宋体" w:hAnsi="宋体" w:cs="宋体"/>
          <w:b/>
          <w:bCs/>
          <w:sz w:val="28"/>
          <w:szCs w:val="28"/>
        </w:rPr>
      </w:pPr>
      <w:r>
        <w:rPr>
          <w:rFonts w:hint="eastAsia" w:ascii="宋体" w:hAnsi="宋体" w:cs="宋体"/>
          <w:b/>
          <w:bCs/>
          <w:sz w:val="28"/>
          <w:szCs w:val="28"/>
        </w:rPr>
        <w:t>投标人授权代表：</w:t>
      </w:r>
    </w:p>
    <w:p>
      <w:pPr>
        <w:pStyle w:val="6"/>
        <w:widowControl/>
        <w:snapToGrid w:val="0"/>
        <w:spacing w:before="50" w:after="50" w:line="360" w:lineRule="auto"/>
        <w:ind w:firstLine="1301" w:firstLineChars="463"/>
        <w:rPr>
          <w:rFonts w:ascii="宋体" w:hAnsi="宋体" w:cs="宋体"/>
          <w:b/>
          <w:bCs/>
          <w:sz w:val="28"/>
          <w:szCs w:val="28"/>
        </w:rPr>
      </w:pPr>
      <w:r>
        <w:rPr>
          <w:rFonts w:hint="eastAsia" w:ascii="宋体" w:hAnsi="宋体" w:cs="宋体"/>
          <w:b/>
          <w:bCs/>
          <w:sz w:val="28"/>
          <w:szCs w:val="28"/>
        </w:rPr>
        <w:t>授权代表联系方式：</w:t>
      </w:r>
    </w:p>
    <w:p>
      <w:pPr>
        <w:pStyle w:val="6"/>
        <w:widowControl/>
        <w:snapToGrid w:val="0"/>
        <w:spacing w:before="50" w:after="50" w:line="360" w:lineRule="auto"/>
        <w:ind w:firstLine="1307" w:firstLineChars="465"/>
        <w:rPr>
          <w:rFonts w:ascii="宋体" w:hAnsi="宋体" w:cs="宋体"/>
          <w:b/>
          <w:bCs/>
          <w:sz w:val="28"/>
          <w:szCs w:val="28"/>
        </w:rPr>
      </w:pPr>
      <w:r>
        <w:rPr>
          <w:rFonts w:hint="eastAsia" w:ascii="宋体" w:hAnsi="宋体" w:cs="宋体"/>
          <w:b/>
          <w:bCs/>
          <w:sz w:val="28"/>
          <w:szCs w:val="28"/>
        </w:rPr>
        <w:t>投标人地址：</w:t>
      </w:r>
    </w:p>
    <w:p>
      <w:pPr>
        <w:pStyle w:val="6"/>
        <w:widowControl/>
        <w:snapToGrid w:val="0"/>
        <w:spacing w:before="50" w:after="50"/>
        <w:ind w:firstLine="0"/>
        <w:rPr>
          <w:rFonts w:ascii="宋体" w:hAnsi="宋体" w:cs="宋体"/>
        </w:rPr>
      </w:pPr>
      <w:r>
        <w:rPr>
          <w:rFonts w:hint="eastAsia" w:ascii="宋体" w:hAnsi="宋体" w:cs="宋体"/>
        </w:rPr>
        <w:t xml:space="preserve">                       </w:t>
      </w:r>
    </w:p>
    <w:p>
      <w:pPr>
        <w:pStyle w:val="6"/>
        <w:widowControl/>
        <w:snapToGrid w:val="0"/>
        <w:spacing w:before="50" w:after="50"/>
        <w:ind w:firstLine="972" w:firstLineChars="463"/>
        <w:jc w:val="right"/>
        <w:rPr>
          <w:rFonts w:ascii="宋体" w:hAnsi="宋体" w:cs="宋体"/>
        </w:rPr>
      </w:pPr>
    </w:p>
    <w:p>
      <w:pPr>
        <w:pStyle w:val="6"/>
        <w:widowControl/>
        <w:snapToGrid w:val="0"/>
        <w:spacing w:before="50" w:after="50"/>
        <w:ind w:firstLine="972" w:firstLineChars="463"/>
        <w:jc w:val="right"/>
        <w:rPr>
          <w:rFonts w:ascii="宋体" w:hAnsi="宋体" w:cs="宋体"/>
          <w:b/>
          <w:bCs/>
          <w:sz w:val="28"/>
          <w:szCs w:val="28"/>
        </w:rPr>
      </w:pPr>
      <w:r>
        <w:rPr>
          <w:rFonts w:hint="eastAsia" w:ascii="宋体" w:hAnsi="宋体" w:cs="宋体"/>
        </w:rPr>
        <w:t xml:space="preserve">     </w:t>
      </w:r>
      <w:r>
        <w:rPr>
          <w:rFonts w:hint="eastAsia" w:ascii="宋体" w:hAnsi="宋体" w:cs="宋体"/>
          <w:b/>
          <w:bCs/>
          <w:sz w:val="28"/>
          <w:szCs w:val="28"/>
        </w:rPr>
        <w:t xml:space="preserve"> 年    月    日</w:t>
      </w:r>
    </w:p>
    <w:p>
      <w:pPr>
        <w:pStyle w:val="6"/>
        <w:widowControl/>
        <w:snapToGrid w:val="0"/>
        <w:spacing w:before="50" w:after="50"/>
        <w:ind w:firstLine="1301" w:firstLineChars="463"/>
        <w:jc w:val="right"/>
        <w:rPr>
          <w:rFonts w:ascii="宋体" w:hAnsi="宋体" w:cs="宋体"/>
          <w:b/>
          <w:bCs/>
          <w:sz w:val="28"/>
          <w:szCs w:val="28"/>
        </w:rPr>
      </w:pPr>
    </w:p>
    <w:p>
      <w:pPr>
        <w:pStyle w:val="6"/>
        <w:widowControl/>
        <w:snapToGrid w:val="0"/>
        <w:spacing w:before="50" w:after="50"/>
        <w:ind w:firstLine="1301" w:firstLineChars="463"/>
        <w:jc w:val="right"/>
        <w:rPr>
          <w:rFonts w:ascii="宋体" w:hAnsi="宋体" w:cs="宋体"/>
          <w:b/>
          <w:bCs/>
          <w:sz w:val="28"/>
          <w:szCs w:val="28"/>
        </w:rPr>
      </w:pPr>
    </w:p>
    <w:p>
      <w:pPr>
        <w:widowControl w:val="0"/>
        <w:snapToGrid w:val="0"/>
        <w:spacing w:before="50" w:after="50" w:line="360" w:lineRule="auto"/>
        <w:jc w:val="center"/>
        <w:rPr>
          <w:rFonts w:ascii="宋体" w:hAnsi="宋体" w:cs="宋体"/>
          <w:b/>
          <w:bCs/>
          <w:sz w:val="36"/>
          <w:szCs w:val="36"/>
        </w:rPr>
      </w:pPr>
    </w:p>
    <w:p>
      <w:pPr>
        <w:pStyle w:val="8"/>
        <w:rPr>
          <w:rFonts w:hAnsi="宋体"/>
          <w:b/>
          <w:bCs/>
          <w:sz w:val="36"/>
          <w:szCs w:val="36"/>
          <w:lang w:eastAsia="zh-CN"/>
        </w:rPr>
      </w:pPr>
    </w:p>
    <w:p>
      <w:pPr>
        <w:rPr>
          <w:rFonts w:ascii="宋体" w:hAnsi="宋体" w:cs="宋体"/>
          <w:b/>
          <w:bCs/>
          <w:sz w:val="36"/>
          <w:szCs w:val="36"/>
        </w:rPr>
      </w:pPr>
    </w:p>
    <w:p>
      <w:pPr>
        <w:pStyle w:val="8"/>
        <w:rPr>
          <w:lang w:eastAsia="zh-CN"/>
        </w:rPr>
      </w:pPr>
    </w:p>
    <w:p>
      <w:pPr>
        <w:pStyle w:val="8"/>
        <w:rPr>
          <w:lang w:eastAsia="zh-CN"/>
        </w:rPr>
      </w:pPr>
    </w:p>
    <w:p>
      <w:pPr>
        <w:widowControl w:val="0"/>
        <w:snapToGrid w:val="0"/>
        <w:spacing w:before="50" w:after="50" w:line="360" w:lineRule="auto"/>
        <w:jc w:val="center"/>
        <w:rPr>
          <w:rFonts w:ascii="宋体" w:hAnsi="宋体" w:cs="宋体"/>
          <w:b/>
          <w:bCs/>
          <w:sz w:val="36"/>
          <w:szCs w:val="36"/>
        </w:rPr>
      </w:pPr>
      <w:r>
        <w:rPr>
          <w:rFonts w:hint="eastAsia" w:ascii="宋体" w:hAnsi="宋体" w:cs="宋体"/>
          <w:b/>
          <w:bCs/>
          <w:kern w:val="2"/>
          <w:sz w:val="36"/>
          <w:szCs w:val="36"/>
          <w:lang w:bidi="ar"/>
        </w:rPr>
        <w:t>目   录</w:t>
      </w:r>
    </w:p>
    <w:p>
      <w:pPr>
        <w:widowControl w:val="0"/>
        <w:snapToGrid w:val="0"/>
        <w:spacing w:line="360" w:lineRule="auto"/>
        <w:jc w:val="both"/>
        <w:rPr>
          <w:rFonts w:cs="宋体"/>
          <w:bCs/>
          <w:kern w:val="2"/>
          <w:sz w:val="28"/>
          <w:szCs w:val="28"/>
          <w:lang w:bidi="ar"/>
        </w:rPr>
      </w:pPr>
    </w:p>
    <w:p>
      <w:pPr>
        <w:widowControl w:val="0"/>
        <w:snapToGrid w:val="0"/>
        <w:spacing w:line="360" w:lineRule="auto"/>
        <w:jc w:val="both"/>
        <w:rPr>
          <w:rFonts w:cs="宋体"/>
          <w:bCs/>
          <w:kern w:val="2"/>
          <w:sz w:val="28"/>
          <w:szCs w:val="28"/>
          <w:lang w:bidi="ar"/>
        </w:rPr>
      </w:pPr>
    </w:p>
    <w:p>
      <w:pPr>
        <w:widowControl w:val="0"/>
        <w:snapToGrid w:val="0"/>
        <w:spacing w:line="360" w:lineRule="auto"/>
        <w:jc w:val="both"/>
        <w:rPr>
          <w:rFonts w:ascii="宋体" w:hAnsi="宋体" w:cs="宋体"/>
          <w:sz w:val="28"/>
          <w:szCs w:val="28"/>
        </w:rPr>
      </w:pPr>
      <w:r>
        <w:rPr>
          <w:rFonts w:hint="eastAsia" w:cs="宋体"/>
          <w:bCs/>
          <w:kern w:val="2"/>
          <w:sz w:val="28"/>
          <w:szCs w:val="28"/>
          <w:lang w:bidi="ar"/>
        </w:rPr>
        <w:t>1、授权委托书</w:t>
      </w:r>
    </w:p>
    <w:p>
      <w:pPr>
        <w:widowControl w:val="0"/>
        <w:snapToGrid w:val="0"/>
        <w:spacing w:line="360" w:lineRule="auto"/>
        <w:jc w:val="both"/>
      </w:pPr>
      <w:r>
        <w:rPr>
          <w:rFonts w:hint="eastAsia" w:cs="宋体"/>
          <w:kern w:val="2"/>
          <w:sz w:val="28"/>
          <w:szCs w:val="28"/>
          <w:lang w:bidi="ar"/>
        </w:rPr>
        <w:t>2、法人或者其他组织的营业执照等证明文件、自然人身份证明</w:t>
      </w:r>
    </w:p>
    <w:p>
      <w:pPr>
        <w:widowControl w:val="0"/>
        <w:spacing w:line="360" w:lineRule="auto"/>
        <w:jc w:val="both"/>
        <w:rPr>
          <w:rFonts w:ascii="宋体" w:hAnsi="宋体" w:cs="宋体"/>
          <w:kern w:val="2"/>
          <w:sz w:val="28"/>
          <w:szCs w:val="24"/>
          <w:lang w:bidi="ar"/>
        </w:rPr>
      </w:pPr>
      <w:r>
        <w:rPr>
          <w:rFonts w:hint="eastAsia" w:ascii="宋体" w:hAnsi="宋体" w:cs="宋体"/>
          <w:kern w:val="2"/>
          <w:sz w:val="28"/>
          <w:szCs w:val="24"/>
          <w:lang w:bidi="ar"/>
        </w:rPr>
        <w:t>3、技术响应需求表</w:t>
      </w:r>
    </w:p>
    <w:p>
      <w:pPr>
        <w:pStyle w:val="8"/>
        <w:rPr>
          <w:rFonts w:hAnsi="宋体"/>
          <w:kern w:val="2"/>
          <w:sz w:val="28"/>
          <w:lang w:eastAsia="zh-CN" w:bidi="ar"/>
        </w:rPr>
      </w:pPr>
      <w:r>
        <w:rPr>
          <w:rFonts w:hint="eastAsia" w:hAnsi="宋体"/>
          <w:kern w:val="2"/>
          <w:sz w:val="28"/>
          <w:lang w:eastAsia="zh-CN" w:bidi="ar"/>
        </w:rPr>
        <w:t>4、报 价 明 细 表</w:t>
      </w:r>
    </w:p>
    <w:p>
      <w:pPr>
        <w:rPr>
          <w:rFonts w:ascii="宋体" w:hAnsi="宋体" w:cs="宋体"/>
          <w:kern w:val="2"/>
          <w:sz w:val="28"/>
          <w:szCs w:val="24"/>
          <w:lang w:bidi="ar"/>
        </w:rPr>
      </w:pPr>
      <w:r>
        <w:rPr>
          <w:rFonts w:hint="eastAsia" w:ascii="宋体" w:hAnsi="宋体" w:cs="宋体"/>
          <w:kern w:val="2"/>
          <w:sz w:val="28"/>
          <w:szCs w:val="24"/>
          <w:lang w:bidi="ar"/>
        </w:rPr>
        <w:t>5、相关检测报告</w:t>
      </w:r>
    </w:p>
    <w:p>
      <w:pPr>
        <w:pStyle w:val="8"/>
        <w:rPr>
          <w:lang w:eastAsia="zh-CN"/>
        </w:rPr>
      </w:pPr>
    </w:p>
    <w:p>
      <w:pPr>
        <w:widowControl w:val="0"/>
        <w:spacing w:line="360" w:lineRule="auto"/>
        <w:ind w:left="420"/>
        <w:jc w:val="both"/>
        <w:rPr>
          <w:rFonts w:ascii="宋体" w:hAnsi="宋体" w:cs="宋体"/>
          <w:b/>
          <w:sz w:val="28"/>
          <w:szCs w:val="24"/>
        </w:rPr>
      </w:pPr>
    </w:p>
    <w:p>
      <w:pPr>
        <w:widowControl w:val="0"/>
        <w:spacing w:line="360" w:lineRule="auto"/>
        <w:ind w:firstLine="361" w:firstLineChars="100"/>
        <w:rPr>
          <w:rFonts w:hAnsi="宋体"/>
          <w:b/>
          <w:kern w:val="2"/>
          <w:sz w:val="36"/>
          <w:szCs w:val="36"/>
          <w:lang w:bidi="ar"/>
        </w:rPr>
      </w:pPr>
      <w:r>
        <w:rPr>
          <w:rFonts w:hAnsi="宋体"/>
          <w:b/>
          <w:kern w:val="2"/>
          <w:sz w:val="36"/>
          <w:szCs w:val="36"/>
          <w:lang w:bidi="ar"/>
        </w:rPr>
        <w:br w:type="page"/>
      </w:r>
      <w:r>
        <w:rPr>
          <w:rFonts w:hint="eastAsia" w:hAnsi="宋体"/>
          <w:b/>
          <w:kern w:val="2"/>
          <w:sz w:val="21"/>
          <w:szCs w:val="21"/>
          <w:lang w:bidi="ar"/>
        </w:rPr>
        <w:t>附件1：</w:t>
      </w:r>
    </w:p>
    <w:p>
      <w:pPr>
        <w:widowControl w:val="0"/>
        <w:spacing w:line="360" w:lineRule="auto"/>
        <w:ind w:firstLine="321" w:firstLineChars="100"/>
        <w:jc w:val="center"/>
        <w:rPr>
          <w:rFonts w:hAnsi="宋体"/>
          <w:b/>
          <w:sz w:val="32"/>
          <w:szCs w:val="32"/>
          <w:u w:val="single"/>
        </w:rPr>
      </w:pPr>
      <w:r>
        <w:rPr>
          <w:rFonts w:hint="eastAsia" w:cs="宋体"/>
          <w:b/>
          <w:kern w:val="2"/>
          <w:sz w:val="32"/>
          <w:szCs w:val="32"/>
          <w:lang w:bidi="ar"/>
        </w:rPr>
        <w:t>授权委托书</w:t>
      </w:r>
    </w:p>
    <w:p>
      <w:pPr>
        <w:widowControl w:val="0"/>
        <w:snapToGrid w:val="0"/>
        <w:spacing w:before="156" w:beforeLines="50" w:after="50" w:line="360" w:lineRule="auto"/>
        <w:jc w:val="both"/>
        <w:rPr>
          <w:rFonts w:ascii="宋体" w:hAnsi="宋体" w:cs="宋体"/>
          <w:sz w:val="24"/>
          <w:szCs w:val="24"/>
        </w:rPr>
      </w:pPr>
      <w:r>
        <w:rPr>
          <w:rFonts w:hint="eastAsia" w:ascii="宋体" w:hAnsi="宋体" w:cs="宋体"/>
          <w:kern w:val="2"/>
          <w:sz w:val="24"/>
          <w:szCs w:val="24"/>
          <w:u w:val="single"/>
          <w:lang w:bidi="ar"/>
        </w:rPr>
        <w:t>台州科技职业学院</w:t>
      </w:r>
      <w:r>
        <w:rPr>
          <w:rFonts w:hint="eastAsia" w:ascii="宋体" w:hAnsi="宋体" w:cs="宋体"/>
          <w:sz w:val="24"/>
          <w:szCs w:val="24"/>
          <w:lang w:bidi="ar"/>
        </w:rPr>
        <w:t>：</w:t>
      </w:r>
    </w:p>
    <w:p>
      <w:pPr>
        <w:pStyle w:val="10"/>
        <w:widowControl/>
        <w:spacing w:line="500" w:lineRule="exact"/>
        <w:ind w:left="240" w:leftChars="109" w:firstLine="480" w:firstLineChars="200"/>
        <w:rPr>
          <w:rFonts w:hint="default" w:hAnsi="宋体"/>
        </w:rPr>
      </w:pPr>
      <w:r>
        <w:rPr>
          <w:rFonts w:hAnsi="宋体"/>
          <w:u w:val="single"/>
        </w:rPr>
        <w:t xml:space="preserve">（投标人全称）  </w:t>
      </w:r>
      <w:r>
        <w:rPr>
          <w:rFonts w:hAnsi="宋体"/>
        </w:rPr>
        <w:t>法定代表人</w:t>
      </w:r>
      <w:r>
        <w:rPr>
          <w:rFonts w:ascii="Arial" w:hAnsi="Arial" w:cs="Arial"/>
        </w:rPr>
        <w:t>（或营业执照中单位负责人）</w:t>
      </w:r>
      <w:r>
        <w:rPr>
          <w:rFonts w:hAnsi="宋体"/>
          <w:u w:val="single"/>
        </w:rPr>
        <w:tab/>
      </w:r>
      <w:r>
        <w:rPr>
          <w:rFonts w:hAnsi="宋体"/>
          <w:u w:val="single"/>
        </w:rPr>
        <w:t>（法定代表人</w:t>
      </w:r>
      <w:r>
        <w:rPr>
          <w:rFonts w:ascii="Arial" w:hAnsi="Arial" w:cs="Arial"/>
          <w:u w:val="single"/>
        </w:rPr>
        <w:t>或营业执照中单位负责人</w:t>
      </w:r>
      <w:r>
        <w:rPr>
          <w:rFonts w:hAnsi="宋体"/>
          <w:u w:val="single"/>
        </w:rPr>
        <w:t xml:space="preserve">姓名） </w:t>
      </w:r>
      <w:r>
        <w:rPr>
          <w:rFonts w:hAnsi="宋体"/>
        </w:rPr>
        <w:t>授权</w:t>
      </w:r>
      <w:r>
        <w:rPr>
          <w:rFonts w:hAnsi="宋体"/>
          <w:u w:val="single"/>
        </w:rPr>
        <w:t xml:space="preserve">   （全权代表姓名） </w:t>
      </w:r>
      <w:r>
        <w:rPr>
          <w:rFonts w:hAnsi="宋体"/>
        </w:rPr>
        <w:t>为全权代表，参加贵单位组织的</w:t>
      </w:r>
      <w:r>
        <w:rPr>
          <w:rFonts w:hAnsi="宋体"/>
          <w:u w:val="single"/>
        </w:rPr>
        <w:tab/>
      </w:r>
      <w:r>
        <w:rPr>
          <w:rFonts w:hAnsi="宋体"/>
          <w:u w:val="single"/>
        </w:rPr>
        <w:t xml:space="preserve">   </w:t>
      </w:r>
      <w:r>
        <w:rPr>
          <w:rFonts w:hAnsi="宋体"/>
        </w:rPr>
        <w:t>项目的采购活动，并代表我方全权办理针对上述项目的投标、开标、评标、签约等具体事务和签署相关文件。我方对全权代表的签字事项负全部责任。</w:t>
      </w:r>
    </w:p>
    <w:p>
      <w:pPr>
        <w:pStyle w:val="10"/>
        <w:widowControl/>
        <w:spacing w:line="500" w:lineRule="exact"/>
        <w:ind w:left="145" w:leftChars="66" w:firstLine="480" w:firstLineChars="200"/>
        <w:rPr>
          <w:rFonts w:hint="default" w:hAnsi="宋体"/>
        </w:rPr>
      </w:pPr>
      <w:r>
        <w:rPr>
          <w:rFonts w:hAnsi="宋体"/>
        </w:rPr>
        <w:t>在撤销授权的书面通知以前，本授权书一直有效。全权代表在授权委托书有效期内签署的所有文件不因授权的撤销而失效。</w:t>
      </w:r>
    </w:p>
    <w:p>
      <w:pPr>
        <w:pStyle w:val="10"/>
        <w:widowControl/>
        <w:spacing w:line="500" w:lineRule="exact"/>
        <w:ind w:left="145" w:leftChars="66" w:firstLine="480" w:firstLineChars="200"/>
        <w:rPr>
          <w:rFonts w:hint="default" w:hAnsi="宋体"/>
        </w:rPr>
      </w:pPr>
      <w:r>
        <w:rPr>
          <w:rFonts w:hAnsi="宋体"/>
        </w:rPr>
        <w:t>全权代表无转委托权，特此委托。</w:t>
      </w:r>
    </w:p>
    <w:p>
      <w:pPr>
        <w:widowControl w:val="0"/>
        <w:spacing w:line="360" w:lineRule="auto"/>
        <w:jc w:val="both"/>
        <w:rPr>
          <w:sz w:val="24"/>
          <w:szCs w:val="24"/>
        </w:rPr>
      </w:pPr>
    </w:p>
    <w:p>
      <w:pPr>
        <w:widowControl w:val="0"/>
        <w:spacing w:line="360" w:lineRule="auto"/>
        <w:jc w:val="both"/>
        <w:rPr>
          <w:sz w:val="24"/>
          <w:szCs w:val="24"/>
        </w:rPr>
      </w:pPr>
      <w:r>
        <w:rPr>
          <w:rFonts w:hint="eastAsia" w:ascii="宋体" w:cs="宋体"/>
          <w:kern w:val="2"/>
          <w:sz w:val="24"/>
          <w:szCs w:val="24"/>
          <w:lang w:bidi="ar"/>
        </w:rPr>
        <w:t>法定代表人签字或盖章：</w:t>
      </w:r>
    </w:p>
    <w:p>
      <w:pPr>
        <w:widowControl w:val="0"/>
        <w:spacing w:line="360" w:lineRule="auto"/>
        <w:jc w:val="both"/>
        <w:rPr>
          <w:sz w:val="24"/>
          <w:szCs w:val="24"/>
        </w:rPr>
      </w:pPr>
      <w:r>
        <w:rPr>
          <w:rFonts w:hint="eastAsia" w:ascii="宋体" w:cs="宋体"/>
          <w:kern w:val="2"/>
          <w:sz w:val="24"/>
          <w:szCs w:val="24"/>
          <w:lang w:bidi="ar"/>
        </w:rPr>
        <w:t>投标人全称（公章）：                              日期：</w:t>
      </w:r>
    </w:p>
    <w:p>
      <w:pPr>
        <w:widowControl w:val="0"/>
        <w:spacing w:line="360" w:lineRule="auto"/>
        <w:jc w:val="both"/>
        <w:rPr>
          <w:sz w:val="24"/>
          <w:szCs w:val="24"/>
        </w:rPr>
      </w:pPr>
    </w:p>
    <w:p>
      <w:pPr>
        <w:widowControl w:val="0"/>
        <w:spacing w:line="360" w:lineRule="auto"/>
        <w:jc w:val="both"/>
        <w:rPr>
          <w:b/>
          <w:sz w:val="24"/>
          <w:szCs w:val="24"/>
        </w:rPr>
      </w:pPr>
      <w:r>
        <w:rPr>
          <w:rFonts w:hint="eastAsia" w:ascii="宋体" w:cs="宋体"/>
          <w:b/>
          <w:kern w:val="2"/>
          <w:sz w:val="24"/>
          <w:szCs w:val="24"/>
          <w:lang w:bidi="ar"/>
        </w:rPr>
        <w:t>附：</w:t>
      </w:r>
    </w:p>
    <w:tbl>
      <w:tblPr>
        <w:tblStyle w:val="17"/>
        <w:tblpPr w:leftFromText="180" w:rightFromText="180" w:vertAnchor="text" w:tblpX="4208"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ascii="宋体" w:cs="宋体"/>
                <w:b/>
                <w:sz w:val="24"/>
                <w:szCs w:val="24"/>
              </w:rPr>
            </w:pPr>
          </w:p>
          <w:p>
            <w:pPr>
              <w:widowControl w:val="0"/>
              <w:spacing w:line="360" w:lineRule="auto"/>
              <w:ind w:firstLine="361" w:firstLineChars="150"/>
              <w:jc w:val="both"/>
              <w:rPr>
                <w:rFonts w:ascii="宋体" w:cs="宋体"/>
                <w:b/>
                <w:sz w:val="24"/>
                <w:szCs w:val="24"/>
              </w:rPr>
            </w:pPr>
            <w:r>
              <w:rPr>
                <w:rFonts w:hint="eastAsia" w:ascii="宋体" w:cs="宋体"/>
                <w:b/>
                <w:kern w:val="2"/>
                <w:sz w:val="24"/>
                <w:szCs w:val="24"/>
                <w:lang w:bidi="ar"/>
              </w:rPr>
              <w:t>法定代表身份证复印件粘帖处</w:t>
            </w:r>
          </w:p>
        </w:tc>
      </w:tr>
    </w:tbl>
    <w:p>
      <w:pPr>
        <w:widowControl w:val="0"/>
        <w:spacing w:line="360" w:lineRule="auto"/>
        <w:jc w:val="both"/>
        <w:rPr>
          <w:sz w:val="24"/>
          <w:szCs w:val="24"/>
        </w:rPr>
      </w:pPr>
      <w:r>
        <w:rPr>
          <w:rFonts w:hint="eastAsia" w:ascii="宋体" w:cs="宋体"/>
          <w:kern w:val="2"/>
          <w:sz w:val="24"/>
          <w:szCs w:val="24"/>
          <w:lang w:bidi="ar"/>
        </w:rPr>
        <w:t xml:space="preserve">法定代表人姓名：                                 </w:t>
      </w:r>
    </w:p>
    <w:p>
      <w:pPr>
        <w:widowControl w:val="0"/>
        <w:spacing w:line="360" w:lineRule="auto"/>
        <w:jc w:val="both"/>
        <w:rPr>
          <w:sz w:val="24"/>
          <w:szCs w:val="24"/>
        </w:rPr>
      </w:pPr>
      <w:r>
        <w:rPr>
          <w:rFonts w:hint="eastAsia" w:ascii="宋体" w:cs="宋体"/>
          <w:kern w:val="2"/>
          <w:sz w:val="24"/>
          <w:szCs w:val="24"/>
          <w:lang w:bidi="ar"/>
        </w:rPr>
        <w:t>传真：</w:t>
      </w:r>
    </w:p>
    <w:p>
      <w:pPr>
        <w:widowControl w:val="0"/>
        <w:spacing w:line="360" w:lineRule="auto"/>
        <w:jc w:val="both"/>
        <w:rPr>
          <w:rFonts w:ascii="宋体" w:cs="宋体"/>
          <w:sz w:val="24"/>
          <w:szCs w:val="24"/>
        </w:rPr>
      </w:pPr>
      <w:r>
        <w:rPr>
          <w:rFonts w:hint="eastAsia" w:ascii="宋体" w:cs="宋体"/>
          <w:kern w:val="2"/>
          <w:sz w:val="24"/>
          <w:szCs w:val="24"/>
          <w:lang w:bidi="ar"/>
        </w:rPr>
        <w:t>电话：</w:t>
      </w:r>
    </w:p>
    <w:p>
      <w:pPr>
        <w:widowControl w:val="0"/>
        <w:spacing w:line="360" w:lineRule="auto"/>
        <w:jc w:val="both"/>
        <w:rPr>
          <w:sz w:val="24"/>
          <w:szCs w:val="24"/>
        </w:rPr>
      </w:pPr>
      <w:r>
        <w:rPr>
          <w:rFonts w:hint="eastAsia" w:ascii="宋体" w:cs="宋体"/>
          <w:kern w:val="2"/>
          <w:sz w:val="24"/>
          <w:szCs w:val="24"/>
          <w:lang w:bidi="ar"/>
        </w:rPr>
        <w:t>详细通讯地址：</w:t>
      </w:r>
    </w:p>
    <w:p>
      <w:pPr>
        <w:widowControl w:val="0"/>
        <w:spacing w:line="360" w:lineRule="auto"/>
        <w:jc w:val="both"/>
        <w:rPr>
          <w:rFonts w:ascii="宋体" w:cs="宋体"/>
          <w:sz w:val="24"/>
          <w:szCs w:val="24"/>
        </w:rPr>
      </w:pPr>
      <w:r>
        <w:rPr>
          <w:rFonts w:hint="eastAsia" w:ascii="宋体" w:cs="宋体"/>
          <w:kern w:val="2"/>
          <w:sz w:val="24"/>
          <w:szCs w:val="24"/>
          <w:lang w:bidi="ar"/>
        </w:rPr>
        <w:t>邮政编码：</w:t>
      </w:r>
    </w:p>
    <w:p>
      <w:pPr>
        <w:widowControl w:val="0"/>
        <w:spacing w:line="360" w:lineRule="auto"/>
        <w:jc w:val="both"/>
        <w:rPr>
          <w:b/>
          <w:sz w:val="24"/>
          <w:szCs w:val="24"/>
        </w:rPr>
      </w:pPr>
    </w:p>
    <w:tbl>
      <w:tblPr>
        <w:tblStyle w:val="17"/>
        <w:tblpPr w:leftFromText="180" w:rightFromText="180" w:vertAnchor="text" w:tblpX="4208"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ascii="宋体" w:cs="宋体"/>
                <w:b/>
                <w:sz w:val="24"/>
                <w:szCs w:val="24"/>
              </w:rPr>
            </w:pPr>
          </w:p>
          <w:p>
            <w:pPr>
              <w:widowControl w:val="0"/>
              <w:spacing w:line="360" w:lineRule="auto"/>
              <w:ind w:firstLine="361" w:firstLineChars="150"/>
              <w:jc w:val="both"/>
              <w:rPr>
                <w:rFonts w:ascii="宋体" w:cs="宋体"/>
                <w:b/>
                <w:sz w:val="24"/>
                <w:szCs w:val="24"/>
              </w:rPr>
            </w:pPr>
            <w:r>
              <w:rPr>
                <w:rFonts w:hint="eastAsia" w:ascii="宋体" w:cs="宋体"/>
                <w:b/>
                <w:kern w:val="2"/>
                <w:sz w:val="24"/>
                <w:szCs w:val="24"/>
                <w:lang w:bidi="ar"/>
              </w:rPr>
              <w:t>全权代表身份证复印件粘帖处</w:t>
            </w:r>
          </w:p>
        </w:tc>
      </w:tr>
    </w:tbl>
    <w:p>
      <w:pPr>
        <w:widowControl w:val="0"/>
        <w:spacing w:line="360" w:lineRule="auto"/>
        <w:jc w:val="both"/>
        <w:rPr>
          <w:rFonts w:ascii="宋体" w:cs="宋体"/>
          <w:sz w:val="24"/>
          <w:szCs w:val="24"/>
        </w:rPr>
      </w:pPr>
      <w:r>
        <w:rPr>
          <w:rFonts w:hint="eastAsia" w:ascii="宋体" w:cs="宋体"/>
          <w:kern w:val="2"/>
          <w:sz w:val="24"/>
          <w:szCs w:val="24"/>
          <w:lang w:bidi="ar"/>
        </w:rPr>
        <w:t xml:space="preserve">全权代表姓名：       </w:t>
      </w:r>
    </w:p>
    <w:p>
      <w:pPr>
        <w:widowControl w:val="0"/>
        <w:spacing w:line="360" w:lineRule="auto"/>
        <w:jc w:val="both"/>
        <w:rPr>
          <w:sz w:val="24"/>
          <w:szCs w:val="24"/>
        </w:rPr>
      </w:pPr>
      <w:r>
        <w:rPr>
          <w:rFonts w:hint="eastAsia" w:ascii="宋体" w:cs="宋体"/>
          <w:kern w:val="2"/>
          <w:sz w:val="24"/>
          <w:szCs w:val="24"/>
          <w:lang w:bidi="ar"/>
        </w:rPr>
        <w:t xml:space="preserve">职务：                           </w:t>
      </w:r>
    </w:p>
    <w:p>
      <w:pPr>
        <w:widowControl w:val="0"/>
        <w:spacing w:line="360" w:lineRule="auto"/>
        <w:jc w:val="both"/>
        <w:rPr>
          <w:sz w:val="24"/>
          <w:szCs w:val="24"/>
        </w:rPr>
      </w:pPr>
      <w:r>
        <w:rPr>
          <w:rFonts w:hint="eastAsia" w:ascii="宋体" w:cs="宋体"/>
          <w:kern w:val="2"/>
          <w:sz w:val="24"/>
          <w:szCs w:val="24"/>
          <w:lang w:bidi="ar"/>
        </w:rPr>
        <w:t>传真：</w:t>
      </w:r>
    </w:p>
    <w:p>
      <w:pPr>
        <w:widowControl w:val="0"/>
        <w:spacing w:line="360" w:lineRule="auto"/>
        <w:jc w:val="both"/>
        <w:rPr>
          <w:rFonts w:ascii="宋体" w:cs="宋体"/>
          <w:sz w:val="24"/>
          <w:szCs w:val="24"/>
        </w:rPr>
      </w:pPr>
      <w:r>
        <w:rPr>
          <w:rFonts w:hint="eastAsia" w:ascii="宋体" w:cs="宋体"/>
          <w:kern w:val="2"/>
          <w:sz w:val="24"/>
          <w:szCs w:val="24"/>
          <w:lang w:bidi="ar"/>
        </w:rPr>
        <w:t>电话：</w:t>
      </w:r>
    </w:p>
    <w:p>
      <w:pPr>
        <w:widowControl w:val="0"/>
        <w:spacing w:line="360" w:lineRule="auto"/>
        <w:jc w:val="both"/>
        <w:rPr>
          <w:sz w:val="24"/>
          <w:szCs w:val="24"/>
        </w:rPr>
      </w:pPr>
      <w:r>
        <w:rPr>
          <w:rFonts w:hint="eastAsia" w:ascii="宋体" w:cs="宋体"/>
          <w:kern w:val="2"/>
          <w:sz w:val="24"/>
          <w:szCs w:val="24"/>
          <w:lang w:bidi="ar"/>
        </w:rPr>
        <w:t>详细通讯地址：</w:t>
      </w:r>
    </w:p>
    <w:p>
      <w:pPr>
        <w:widowControl w:val="0"/>
        <w:spacing w:line="360" w:lineRule="auto"/>
        <w:jc w:val="both"/>
        <w:rPr>
          <w:rFonts w:hAnsi="宋体"/>
          <w:b/>
          <w:kern w:val="2"/>
          <w:sz w:val="36"/>
          <w:szCs w:val="36"/>
          <w:lang w:bidi="ar"/>
        </w:rPr>
        <w:sectPr>
          <w:pgSz w:w="11900" w:h="16840"/>
          <w:pgMar w:top="851" w:right="1800" w:bottom="851" w:left="1800" w:header="851" w:footer="992" w:gutter="0"/>
          <w:cols w:space="425" w:num="1"/>
          <w:docGrid w:type="lines" w:linePitch="312" w:charSpace="0"/>
        </w:sectPr>
      </w:pPr>
      <w:r>
        <w:rPr>
          <w:rFonts w:hint="eastAsia" w:ascii="宋体" w:cs="宋体"/>
          <w:kern w:val="2"/>
          <w:sz w:val="24"/>
          <w:szCs w:val="24"/>
          <w:lang w:bidi="ar"/>
        </w:rPr>
        <w:t>邮政编码：</w:t>
      </w:r>
    </w:p>
    <w:p>
      <w:pPr>
        <w:widowControl w:val="0"/>
        <w:spacing w:line="360" w:lineRule="auto"/>
        <w:ind w:firstLine="211" w:firstLineChars="100"/>
        <w:jc w:val="both"/>
        <w:rPr>
          <w:rFonts w:cs="宋体"/>
          <w:b/>
          <w:kern w:val="2"/>
          <w:sz w:val="32"/>
          <w:szCs w:val="32"/>
          <w:lang w:bidi="ar"/>
        </w:rPr>
      </w:pPr>
      <w:r>
        <w:rPr>
          <w:rFonts w:hint="eastAsia" w:hAnsi="宋体"/>
          <w:b/>
          <w:kern w:val="2"/>
          <w:sz w:val="21"/>
          <w:szCs w:val="21"/>
          <w:lang w:bidi="ar"/>
        </w:rPr>
        <w:t>附件2：</w:t>
      </w:r>
    </w:p>
    <w:p>
      <w:pPr>
        <w:widowControl w:val="0"/>
        <w:spacing w:line="360" w:lineRule="auto"/>
        <w:ind w:firstLine="321" w:firstLineChars="100"/>
        <w:jc w:val="center"/>
        <w:rPr>
          <w:rFonts w:cs="宋体"/>
          <w:b/>
          <w:kern w:val="2"/>
          <w:sz w:val="32"/>
          <w:szCs w:val="32"/>
          <w:lang w:bidi="ar"/>
        </w:rPr>
      </w:pPr>
      <w:r>
        <w:rPr>
          <w:rFonts w:hint="eastAsia" w:cs="宋体"/>
          <w:b/>
          <w:kern w:val="2"/>
          <w:sz w:val="32"/>
          <w:szCs w:val="32"/>
          <w:lang w:bidi="ar"/>
        </w:rPr>
        <w:t>技术需求响应表</w:t>
      </w:r>
    </w:p>
    <w:p>
      <w:pPr>
        <w:widowControl w:val="0"/>
        <w:spacing w:line="360" w:lineRule="auto"/>
        <w:jc w:val="both"/>
        <w:rPr>
          <w:rFonts w:ascii="宋体" w:hAnsi="宋体" w:cs="宋体"/>
          <w:kern w:val="2"/>
          <w:sz w:val="28"/>
          <w:szCs w:val="28"/>
          <w:lang w:bidi="ar"/>
        </w:rPr>
      </w:pPr>
      <w:r>
        <w:rPr>
          <w:rFonts w:hint="eastAsia" w:ascii="宋体" w:hAnsi="宋体" w:cs="宋体"/>
          <w:kern w:val="2"/>
          <w:sz w:val="28"/>
          <w:szCs w:val="28"/>
          <w:lang w:bidi="ar"/>
        </w:rPr>
        <w:t>项目名称：网络欺骗防御系统项目</w:t>
      </w:r>
    </w:p>
    <w:p>
      <w:pPr>
        <w:pStyle w:val="8"/>
        <w:rPr>
          <w:rFonts w:hAnsi="宋体"/>
          <w:kern w:val="2"/>
          <w:sz w:val="28"/>
          <w:szCs w:val="28"/>
          <w:u w:val="single"/>
          <w:lang w:eastAsia="zh-CN" w:bidi="ar"/>
        </w:rPr>
      </w:pPr>
      <w:r>
        <w:rPr>
          <w:rFonts w:hint="eastAsia" w:hAnsi="宋体"/>
          <w:kern w:val="2"/>
          <w:sz w:val="28"/>
          <w:szCs w:val="28"/>
          <w:lang w:eastAsia="zh-CN" w:bidi="ar"/>
        </w:rPr>
        <w:t>品牌：</w:t>
      </w:r>
      <w:r>
        <w:rPr>
          <w:rFonts w:hint="eastAsia" w:hAnsi="宋体"/>
          <w:kern w:val="2"/>
          <w:sz w:val="28"/>
          <w:szCs w:val="28"/>
          <w:u w:val="single"/>
          <w:lang w:eastAsia="zh-CN" w:bidi="ar"/>
        </w:rPr>
        <w:t xml:space="preserve">               </w:t>
      </w:r>
      <w:r>
        <w:rPr>
          <w:rFonts w:hint="eastAsia" w:hAnsi="宋体"/>
          <w:kern w:val="2"/>
          <w:sz w:val="28"/>
          <w:szCs w:val="28"/>
          <w:lang w:eastAsia="zh-CN" w:bidi="ar"/>
        </w:rPr>
        <w:t xml:space="preserve"> 型号：</w:t>
      </w:r>
      <w:r>
        <w:rPr>
          <w:rFonts w:hint="eastAsia" w:hAnsi="宋体"/>
          <w:kern w:val="2"/>
          <w:sz w:val="28"/>
          <w:szCs w:val="28"/>
          <w:u w:val="single"/>
          <w:lang w:eastAsia="zh-CN" w:bidi="ar"/>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63"/>
        <w:gridCol w:w="777"/>
        <w:gridCol w:w="4678"/>
        <w:gridCol w:w="99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Align w:val="center"/>
          </w:tcPr>
          <w:p>
            <w:pPr>
              <w:adjustRightInd w:val="0"/>
              <w:snapToGrid w:val="0"/>
              <w:jc w:val="center"/>
              <w:rPr>
                <w:rFonts w:ascii="宋体" w:hAnsi="宋体"/>
                <w:sz w:val="24"/>
                <w:szCs w:val="24"/>
              </w:rPr>
            </w:pPr>
            <w:r>
              <w:rPr>
                <w:rFonts w:hint="eastAsia" w:ascii="宋体" w:hAnsi="宋体"/>
                <w:sz w:val="24"/>
                <w:szCs w:val="24"/>
              </w:rPr>
              <w:t>序号</w:t>
            </w:r>
          </w:p>
        </w:tc>
        <w:tc>
          <w:tcPr>
            <w:tcW w:w="463" w:type="dxa"/>
            <w:vAlign w:val="center"/>
          </w:tcPr>
          <w:p>
            <w:pPr>
              <w:adjustRightInd w:val="0"/>
              <w:snapToGrid w:val="0"/>
              <w:jc w:val="center"/>
              <w:rPr>
                <w:rFonts w:ascii="宋体" w:hAnsi="宋体" w:cs="宋体"/>
                <w:szCs w:val="21"/>
              </w:rPr>
            </w:pPr>
            <w:r>
              <w:rPr>
                <w:rFonts w:hint="eastAsia" w:ascii="宋体" w:hAnsi="宋体"/>
                <w:sz w:val="24"/>
                <w:szCs w:val="24"/>
              </w:rPr>
              <w:t>名称</w:t>
            </w:r>
          </w:p>
        </w:tc>
        <w:tc>
          <w:tcPr>
            <w:tcW w:w="777" w:type="dxa"/>
            <w:noWrap/>
            <w:vAlign w:val="center"/>
          </w:tcPr>
          <w:p>
            <w:pPr>
              <w:adjustRightInd w:val="0"/>
              <w:snapToGrid w:val="0"/>
              <w:jc w:val="center"/>
              <w:rPr>
                <w:rFonts w:ascii="宋体" w:hAnsi="宋体" w:cs="宋体"/>
                <w:szCs w:val="21"/>
              </w:rPr>
            </w:pPr>
            <w:r>
              <w:rPr>
                <w:rFonts w:hint="eastAsia" w:ascii="宋体" w:hAnsi="宋体"/>
                <w:sz w:val="24"/>
                <w:szCs w:val="24"/>
              </w:rPr>
              <w:t>规格型号</w:t>
            </w:r>
          </w:p>
        </w:tc>
        <w:tc>
          <w:tcPr>
            <w:tcW w:w="4678" w:type="dxa"/>
            <w:vAlign w:val="center"/>
          </w:tcPr>
          <w:p>
            <w:pPr>
              <w:pStyle w:val="16"/>
              <w:spacing w:after="0"/>
              <w:ind w:firstLine="0" w:firstLineChars="0"/>
              <w:jc w:val="center"/>
              <w:rPr>
                <w:rFonts w:ascii="Times New Roman" w:hAnsi="宋体" w:cs="宋体"/>
              </w:rPr>
            </w:pPr>
            <w:r>
              <w:rPr>
                <w:rFonts w:hint="eastAsia" w:ascii="宋体" w:hAnsi="宋体"/>
                <w:sz w:val="24"/>
                <w:szCs w:val="24"/>
              </w:rPr>
              <w:t>技术参数</w:t>
            </w:r>
          </w:p>
        </w:tc>
        <w:tc>
          <w:tcPr>
            <w:tcW w:w="992" w:type="dxa"/>
            <w:vAlign w:val="center"/>
          </w:tcPr>
          <w:p>
            <w:pPr>
              <w:pStyle w:val="16"/>
              <w:spacing w:after="0"/>
              <w:ind w:firstLine="0" w:firstLineChars="0"/>
              <w:jc w:val="center"/>
              <w:rPr>
                <w:rFonts w:ascii="Times New Roman" w:hAnsi="宋体" w:cs="宋体"/>
              </w:rPr>
            </w:pPr>
            <w:r>
              <w:rPr>
                <w:rFonts w:hint="eastAsia" w:ascii="宋体" w:hAnsi="宋体" w:cs="宋体"/>
                <w:sz w:val="20"/>
                <w:szCs w:val="20"/>
                <w:lang w:bidi="ar"/>
              </w:rPr>
              <w:t>投标参数</w:t>
            </w:r>
          </w:p>
        </w:tc>
        <w:tc>
          <w:tcPr>
            <w:tcW w:w="930" w:type="dxa"/>
            <w:vAlign w:val="center"/>
          </w:tcPr>
          <w:p>
            <w:pPr>
              <w:pStyle w:val="16"/>
              <w:spacing w:after="0"/>
              <w:ind w:firstLine="0" w:firstLineChars="0"/>
              <w:jc w:val="center"/>
              <w:rPr>
                <w:rFonts w:ascii="Times New Roman" w:hAnsi="宋体" w:cs="宋体"/>
              </w:rPr>
            </w:pPr>
            <w:r>
              <w:rPr>
                <w:rFonts w:hint="eastAsia" w:ascii="宋体" w:hAnsi="宋体" w:cs="宋体"/>
                <w:sz w:val="20"/>
                <w:szCs w:val="20"/>
                <w:lang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restart"/>
            <w:vAlign w:val="center"/>
          </w:tcPr>
          <w:p>
            <w:pPr>
              <w:adjustRightInd w:val="0"/>
              <w:snapToGrid w:val="0"/>
              <w:jc w:val="center"/>
              <w:rPr>
                <w:rFonts w:ascii="宋体" w:hAnsi="宋体" w:cs="宋体"/>
                <w:szCs w:val="21"/>
              </w:rPr>
            </w:pPr>
            <w:r>
              <w:rPr>
                <w:rFonts w:hint="eastAsia" w:ascii="宋体" w:hAnsi="宋体" w:cs="宋体"/>
                <w:szCs w:val="21"/>
              </w:rPr>
              <w:t>1</w:t>
            </w:r>
          </w:p>
        </w:tc>
        <w:tc>
          <w:tcPr>
            <w:tcW w:w="463" w:type="dxa"/>
            <w:vMerge w:val="restart"/>
            <w:vAlign w:val="center"/>
          </w:tcPr>
          <w:p>
            <w:pPr>
              <w:adjustRightInd w:val="0"/>
              <w:snapToGrid w:val="0"/>
              <w:jc w:val="center"/>
              <w:rPr>
                <w:rFonts w:ascii="宋体" w:hAnsi="宋体" w:cs="宋体"/>
                <w:szCs w:val="21"/>
              </w:rPr>
            </w:pPr>
            <w:r>
              <w:rPr>
                <w:rFonts w:hint="eastAsia" w:ascii="宋体" w:hAnsi="宋体" w:cs="宋体"/>
                <w:szCs w:val="21"/>
              </w:rPr>
              <w:t>网络欺骗防御系统</w:t>
            </w:r>
          </w:p>
        </w:tc>
        <w:tc>
          <w:tcPr>
            <w:tcW w:w="777"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服务器</w:t>
            </w:r>
          </w:p>
        </w:tc>
        <w:tc>
          <w:tcPr>
            <w:tcW w:w="4678" w:type="dxa"/>
            <w:vAlign w:val="center"/>
          </w:tcPr>
          <w:p>
            <w:pPr>
              <w:pStyle w:val="16"/>
              <w:adjustRightInd w:val="0"/>
              <w:snapToGrid w:val="0"/>
              <w:spacing w:after="0"/>
              <w:ind w:firstLine="0" w:firstLineChars="0"/>
            </w:pPr>
            <w:r>
              <w:rPr>
                <w:rFonts w:hint="eastAsia" w:ascii="Times New Roman" w:hAnsi="宋体" w:cs="宋体"/>
              </w:rPr>
              <w:t>2U 服务器机箱，服务器主板X11 SSL-F，E3 1230V5 CPU， 16G ECC内存，1T*2硬盘(支持RAID)，双电冗余电源，2个千兆网口。</w:t>
            </w:r>
          </w:p>
        </w:tc>
        <w:tc>
          <w:tcPr>
            <w:tcW w:w="992" w:type="dxa"/>
          </w:tcPr>
          <w:p>
            <w:pPr>
              <w:pStyle w:val="16"/>
              <w:ind w:firstLine="0" w:firstLineChars="0"/>
              <w:rPr>
                <w:rFonts w:ascii="Times New Roman" w:hAnsi="宋体" w:cs="宋体"/>
              </w:rPr>
            </w:pPr>
          </w:p>
        </w:tc>
        <w:tc>
          <w:tcPr>
            <w:tcW w:w="930" w:type="dxa"/>
          </w:tcPr>
          <w:p>
            <w:pPr>
              <w:pStyle w:val="16"/>
              <w:ind w:firstLine="0" w:firstLineChars="0"/>
              <w:rPr>
                <w:rFonts w:ascii="Times New Roman"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jc w:val="center"/>
              <w:rPr>
                <w:rFonts w:ascii="宋体" w:hAnsi="宋体" w:cs="宋体"/>
                <w:szCs w:val="21"/>
              </w:rPr>
            </w:pPr>
          </w:p>
        </w:tc>
        <w:tc>
          <w:tcPr>
            <w:tcW w:w="463" w:type="dxa"/>
            <w:vMerge w:val="continue"/>
            <w:vAlign w:val="center"/>
          </w:tcPr>
          <w:p>
            <w:pPr>
              <w:adjustRightInd w:val="0"/>
              <w:snapToGrid w:val="0"/>
              <w:jc w:val="center"/>
              <w:rPr>
                <w:rFonts w:ascii="宋体" w:hAnsi="宋体" w:cs="宋体"/>
                <w:szCs w:val="21"/>
              </w:rPr>
            </w:pPr>
          </w:p>
        </w:tc>
        <w:tc>
          <w:tcPr>
            <w:tcW w:w="777"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威胁溯源反制平台</w:t>
            </w:r>
          </w:p>
        </w:tc>
        <w:tc>
          <w:tcPr>
            <w:tcW w:w="4678" w:type="dxa"/>
            <w:vAlign w:val="center"/>
          </w:tcPr>
          <w:p>
            <w:pPr>
              <w:adjustRightInd w:val="0"/>
              <w:snapToGrid w:val="0"/>
              <w:rPr>
                <w:rFonts w:ascii="宋体" w:hAnsi="宋体" w:cs="宋体"/>
                <w:szCs w:val="21"/>
              </w:rPr>
            </w:pPr>
            <w:r>
              <w:rPr>
                <w:rFonts w:hint="eastAsia" w:ascii="宋体" w:hAnsi="宋体" w:cs="宋体"/>
                <w:szCs w:val="21"/>
              </w:rPr>
              <w:t>威胁溯源反制平台以多维度方式进行统计展示。</w:t>
            </w:r>
          </w:p>
          <w:p>
            <w:pPr>
              <w:adjustRightInd w:val="0"/>
              <w:snapToGrid w:val="0"/>
              <w:rPr>
                <w:rFonts w:ascii="宋体" w:hAnsi="宋体" w:cs="宋体"/>
                <w:szCs w:val="21"/>
              </w:rPr>
            </w:pPr>
            <w:r>
              <w:rPr>
                <w:rFonts w:hint="eastAsia" w:ascii="宋体" w:hAnsi="宋体" w:cs="宋体"/>
                <w:szCs w:val="21"/>
              </w:rPr>
              <w:t>★（1）黑客溯源以攻击源的维度进行归类，通过对攻击源进行深度分析整合，将攻击者定性为：真人、扫描工具、未知三大类。针对攻击源可分析其攻击轨迹及身份信息。对真人攻击者支持全方位溯源，包括IP、地理位置、网络ID、操作系统类型等。</w:t>
            </w:r>
          </w:p>
          <w:p>
            <w:pPr>
              <w:adjustRightInd w:val="0"/>
              <w:snapToGrid w:val="0"/>
              <w:rPr>
                <w:rFonts w:ascii="宋体" w:hAnsi="宋体" w:cs="宋体"/>
                <w:szCs w:val="21"/>
              </w:rPr>
            </w:pPr>
            <w:r>
              <w:rPr>
                <w:rFonts w:hint="eastAsia" w:ascii="宋体" w:hAnsi="宋体" w:cs="宋体"/>
                <w:szCs w:val="21"/>
              </w:rPr>
              <w:t>（2）黑客反制以设备的维度进行归类，获取PC设备的设备精确信息、黑客IP、敏感信息等，并且具备反向控制攻击者主机的能力。</w:t>
            </w:r>
          </w:p>
          <w:p>
            <w:pPr>
              <w:adjustRightInd w:val="0"/>
              <w:snapToGrid w:val="0"/>
              <w:rPr>
                <w:rFonts w:ascii="宋体" w:hAnsi="宋体" w:cs="宋体"/>
                <w:szCs w:val="21"/>
              </w:rPr>
            </w:pPr>
            <w:r>
              <w:rPr>
                <w:rFonts w:hint="eastAsia" w:ascii="宋体" w:hAnsi="宋体" w:cs="宋体"/>
                <w:szCs w:val="21"/>
              </w:rPr>
              <w:t>★（3）攻击事件以攻击者对沙箱发起的所有攻击行为为维度进行归并展示。通过事件分析可了解攻击者对沙箱发起的一系列攻击行为，运用的攻击手法，以及攻击事件的起止时间和严重程度。</w:t>
            </w:r>
          </w:p>
          <w:p>
            <w:pPr>
              <w:adjustRightInd w:val="0"/>
              <w:snapToGrid w:val="0"/>
              <w:rPr>
                <w:rFonts w:ascii="宋体" w:hAnsi="宋体" w:cs="宋体"/>
                <w:szCs w:val="21"/>
              </w:rPr>
            </w:pPr>
            <w:r>
              <w:rPr>
                <w:rFonts w:hint="eastAsia" w:ascii="宋体" w:hAnsi="宋体" w:cs="宋体"/>
                <w:szCs w:val="21"/>
              </w:rPr>
              <w:t>（4）行为分析以时间线的方式，展示最近出现的攻击行为，通过查看攻击行为上下文，可深度分析攻击事件之间的关联关系以及攻击者的攻击意图。</w:t>
            </w:r>
          </w:p>
          <w:p>
            <w:pPr>
              <w:adjustRightInd w:val="0"/>
              <w:snapToGrid w:val="0"/>
              <w:rPr>
                <w:rFonts w:ascii="宋体" w:hAnsi="宋体" w:cs="宋体"/>
                <w:szCs w:val="21"/>
              </w:rPr>
            </w:pPr>
            <w:r>
              <w:rPr>
                <w:rFonts w:hint="eastAsia" w:ascii="宋体" w:hAnsi="宋体" w:cs="宋体"/>
                <w:szCs w:val="21"/>
              </w:rPr>
              <w:t>★（5）钓鱼邮件检测有效的保护企业员工邮箱安全及攻击回溯；获取攻击者IP、对恶意文件进行识别，为企业提供多重防护。</w:t>
            </w:r>
          </w:p>
        </w:tc>
        <w:tc>
          <w:tcPr>
            <w:tcW w:w="992" w:type="dxa"/>
          </w:tcPr>
          <w:p>
            <w:pPr>
              <w:wordWrap w:val="0"/>
              <w:adjustRightInd w:val="0"/>
              <w:snapToGrid w:val="0"/>
              <w:spacing w:line="360" w:lineRule="auto"/>
              <w:rPr>
                <w:rFonts w:ascii="宋体" w:hAnsi="宋体" w:cs="宋体"/>
                <w:szCs w:val="21"/>
              </w:rPr>
            </w:pPr>
          </w:p>
        </w:tc>
        <w:tc>
          <w:tcPr>
            <w:tcW w:w="930" w:type="dxa"/>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云蜜网欺骗防御平台</w:t>
            </w:r>
          </w:p>
        </w:tc>
        <w:tc>
          <w:tcPr>
            <w:tcW w:w="4678" w:type="dxa"/>
            <w:vAlign w:val="center"/>
          </w:tcPr>
          <w:p>
            <w:pPr>
              <w:adjustRightInd w:val="0"/>
              <w:snapToGrid w:val="0"/>
              <w:rPr>
                <w:rFonts w:ascii="宋体" w:hAnsi="宋体" w:cs="宋体"/>
                <w:szCs w:val="21"/>
              </w:rPr>
            </w:pPr>
            <w:r>
              <w:rPr>
                <w:rFonts w:hint="eastAsia" w:ascii="宋体" w:hAnsi="宋体" w:cs="宋体"/>
                <w:szCs w:val="21"/>
              </w:rPr>
              <w:t>（1）蜜网管理是核心，包括沙箱管理、中继节点、伪装代理、VPN欺骗、攻击诱捕、诱饵欺骗及智能蜜网。以沙箱为基础，中继节点和伪装代理向外辐射扩大覆盖面，欺骗诱饵散布在各个区域与沙箱信息相关联，形成蜜网拓扑。</w:t>
            </w:r>
          </w:p>
          <w:p>
            <w:pPr>
              <w:adjustRightInd w:val="0"/>
              <w:snapToGrid w:val="0"/>
              <w:rPr>
                <w:rFonts w:ascii="宋体" w:hAnsi="宋体" w:cs="宋体"/>
                <w:szCs w:val="21"/>
              </w:rPr>
            </w:pPr>
            <w:r>
              <w:rPr>
                <w:rFonts w:hint="eastAsia" w:ascii="宋体" w:hAnsi="宋体" w:cs="宋体"/>
                <w:szCs w:val="21"/>
              </w:rPr>
              <w:t>（2）沙箱模拟服务和业务，包含20余种应用服务、14种系统服务、3种windows服务、10余种工控服务以及自定义模板。沙箱可以关联多个IP，中继节点和伪装代理通过流量转发的方式，将沙箱服务发布到需要覆盖的各个区域。</w:t>
            </w:r>
          </w:p>
          <w:p>
            <w:pPr>
              <w:adjustRightInd w:val="0"/>
              <w:snapToGrid w:val="0"/>
              <w:rPr>
                <w:rFonts w:ascii="宋体" w:hAnsi="宋体" w:cs="宋体"/>
                <w:szCs w:val="21"/>
              </w:rPr>
            </w:pPr>
            <w:r>
              <w:rPr>
                <w:rFonts w:hint="eastAsia" w:ascii="宋体" w:hAnsi="宋体" w:cs="宋体"/>
                <w:szCs w:val="21"/>
              </w:rPr>
              <w:t>★（3）工控安全形势日益严峻，沙箱技术被越来越多的应用在工控领域，也针对modbus、s7、IEC-104、IPMI等工控协议进行模拟；可以模拟真实的工控现场环境，通过部署协议仿真蜜罐伪装工业现场PLC设备，部署组态软件仿真蜜罐伪装上位机系统，二者产生交互模拟真实业务场景，攻击者掉入蜜罐陷阱后，可以迷惑攻击者，达到起到保护真实环境甚至是溯源反制的能力。</w:t>
            </w:r>
          </w:p>
        </w:tc>
        <w:tc>
          <w:tcPr>
            <w:tcW w:w="992" w:type="dxa"/>
          </w:tcPr>
          <w:p>
            <w:pPr>
              <w:wordWrap w:val="0"/>
              <w:adjustRightInd w:val="0"/>
              <w:snapToGrid w:val="0"/>
              <w:spacing w:line="360" w:lineRule="auto"/>
              <w:rPr>
                <w:rFonts w:ascii="宋体" w:hAnsi="宋体" w:cs="宋体"/>
                <w:szCs w:val="21"/>
              </w:rPr>
            </w:pPr>
          </w:p>
        </w:tc>
        <w:tc>
          <w:tcPr>
            <w:tcW w:w="930" w:type="dxa"/>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vMerge w:val="restart"/>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实验内容</w:t>
            </w:r>
          </w:p>
        </w:tc>
        <w:tc>
          <w:tcPr>
            <w:tcW w:w="4678" w:type="dxa"/>
            <w:vAlign w:val="center"/>
          </w:tcPr>
          <w:p>
            <w:pPr>
              <w:adjustRightInd w:val="0"/>
              <w:snapToGrid w:val="0"/>
              <w:rPr>
                <w:rFonts w:ascii="宋体" w:hAnsi="宋体" w:cs="宋体"/>
                <w:szCs w:val="21"/>
              </w:rPr>
            </w:pPr>
            <w:r>
              <w:rPr>
                <w:rFonts w:hint="eastAsia" w:ascii="宋体" w:hAnsi="宋体" w:cs="宋体"/>
                <w:szCs w:val="21"/>
              </w:rPr>
              <w:t>★以Kill Chain为参考模型，以ATT&amp;CK为技术补充，对应攻击者采取攻击的每一个步骤，通过沙箱业务仿真、漏洞伪装、虚拟系统、脱敏虚假数据、行为记录，学习如何构建入侵攻击链。</w:t>
            </w:r>
          </w:p>
        </w:tc>
        <w:tc>
          <w:tcPr>
            <w:tcW w:w="992" w:type="dxa"/>
          </w:tcPr>
          <w:p>
            <w:pPr>
              <w:adjustRightInd w:val="0"/>
              <w:snapToGrid w:val="0"/>
              <w:spacing w:line="360" w:lineRule="auto"/>
              <w:rPr>
                <w:rFonts w:ascii="宋体" w:hAnsi="宋体" w:cs="宋体"/>
                <w:szCs w:val="21"/>
              </w:rPr>
            </w:pPr>
          </w:p>
        </w:tc>
        <w:tc>
          <w:tcPr>
            <w:tcW w:w="930" w:type="dxa"/>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vMerge w:val="continue"/>
            <w:noWrap/>
            <w:vAlign w:val="center"/>
          </w:tcPr>
          <w:p>
            <w:pPr>
              <w:adjustRightInd w:val="0"/>
              <w:snapToGrid w:val="0"/>
              <w:spacing w:line="360" w:lineRule="auto"/>
              <w:jc w:val="center"/>
              <w:rPr>
                <w:rFonts w:ascii="宋体" w:hAnsi="宋体" w:cs="宋体"/>
                <w:szCs w:val="21"/>
              </w:rPr>
            </w:pPr>
          </w:p>
        </w:tc>
        <w:tc>
          <w:tcPr>
            <w:tcW w:w="4678" w:type="dxa"/>
            <w:vAlign w:val="center"/>
          </w:tcPr>
          <w:p>
            <w:pPr>
              <w:adjustRightInd w:val="0"/>
              <w:snapToGrid w:val="0"/>
              <w:rPr>
                <w:rFonts w:ascii="宋体" w:hAnsi="宋体" w:cs="宋体"/>
                <w:szCs w:val="21"/>
              </w:rPr>
            </w:pPr>
            <w:r>
              <w:rPr>
                <w:rFonts w:hint="eastAsia" w:ascii="宋体" w:hAnsi="宋体" w:cs="宋体"/>
                <w:szCs w:val="21"/>
              </w:rPr>
              <w:t>★具备多种捕获入侵者虚拟身份的技术，精准定位，多维度聚合，通过还原攻击过程，溯源追踪攻击者身份，形成黑客画像，学习如何从根源上找到威胁。</w:t>
            </w:r>
          </w:p>
        </w:tc>
        <w:tc>
          <w:tcPr>
            <w:tcW w:w="992" w:type="dxa"/>
          </w:tcPr>
          <w:p>
            <w:pPr>
              <w:adjustRightInd w:val="0"/>
              <w:snapToGrid w:val="0"/>
              <w:spacing w:line="360" w:lineRule="auto"/>
              <w:rPr>
                <w:rFonts w:ascii="宋体" w:hAnsi="宋体" w:cs="宋体"/>
                <w:szCs w:val="21"/>
              </w:rPr>
            </w:pPr>
          </w:p>
        </w:tc>
        <w:tc>
          <w:tcPr>
            <w:tcW w:w="930" w:type="dxa"/>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vMerge w:val="continue"/>
            <w:noWrap/>
            <w:vAlign w:val="center"/>
          </w:tcPr>
          <w:p>
            <w:pPr>
              <w:adjustRightInd w:val="0"/>
              <w:snapToGrid w:val="0"/>
              <w:spacing w:line="360" w:lineRule="auto"/>
              <w:jc w:val="center"/>
              <w:rPr>
                <w:rFonts w:ascii="宋体" w:hAnsi="宋体" w:cs="宋体"/>
                <w:szCs w:val="21"/>
              </w:rPr>
            </w:pPr>
          </w:p>
        </w:tc>
        <w:tc>
          <w:tcPr>
            <w:tcW w:w="4678" w:type="dxa"/>
            <w:vAlign w:val="center"/>
          </w:tcPr>
          <w:p>
            <w:pPr>
              <w:adjustRightInd w:val="0"/>
              <w:snapToGrid w:val="0"/>
              <w:rPr>
                <w:rFonts w:ascii="宋体" w:hAnsi="宋体" w:cs="宋体"/>
                <w:szCs w:val="21"/>
              </w:rPr>
            </w:pPr>
            <w:r>
              <w:rPr>
                <w:rFonts w:hint="eastAsia" w:ascii="宋体" w:hAnsi="宋体" w:cs="宋体"/>
                <w:szCs w:val="21"/>
              </w:rPr>
              <w:t>★学习构建沙箱时可以针对现有的模板、自定义等web类、系统服务类沙箱进行随意组合，通过多样化、不同场景下的欺骗思路理论上可以有无限种可能。通过不同的服务、不同的页面、不同场景下的多种服务排列组合可以有效应对攻击者将某沙箱定义为某厂家或是蜜罐的情况</w:t>
            </w:r>
          </w:p>
        </w:tc>
        <w:tc>
          <w:tcPr>
            <w:tcW w:w="992" w:type="dxa"/>
          </w:tcPr>
          <w:p>
            <w:pPr>
              <w:adjustRightInd w:val="0"/>
              <w:snapToGrid w:val="0"/>
              <w:spacing w:line="360" w:lineRule="auto"/>
              <w:rPr>
                <w:rFonts w:ascii="宋体" w:hAnsi="宋体" w:cs="宋体"/>
                <w:szCs w:val="21"/>
              </w:rPr>
            </w:pPr>
          </w:p>
        </w:tc>
        <w:tc>
          <w:tcPr>
            <w:tcW w:w="930" w:type="dxa"/>
          </w:tcPr>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vMerge w:val="continue"/>
            <w:noWrap/>
            <w:vAlign w:val="center"/>
          </w:tcPr>
          <w:p>
            <w:pPr>
              <w:adjustRightInd w:val="0"/>
              <w:snapToGrid w:val="0"/>
              <w:spacing w:line="360" w:lineRule="auto"/>
              <w:jc w:val="center"/>
              <w:rPr>
                <w:rFonts w:ascii="宋体" w:hAnsi="宋体" w:cs="宋体"/>
                <w:szCs w:val="21"/>
              </w:rPr>
            </w:pPr>
          </w:p>
        </w:tc>
        <w:tc>
          <w:tcPr>
            <w:tcW w:w="4678" w:type="dxa"/>
            <w:vAlign w:val="center"/>
          </w:tcPr>
          <w:p>
            <w:pPr>
              <w:adjustRightInd w:val="0"/>
              <w:snapToGrid w:val="0"/>
              <w:rPr>
                <w:rFonts w:ascii="宋体" w:hAnsi="宋体" w:cs="宋体"/>
                <w:szCs w:val="21"/>
              </w:rPr>
            </w:pPr>
            <w:r>
              <w:rPr>
                <w:rFonts w:hint="eastAsia" w:ascii="宋体" w:hAnsi="宋体" w:cs="宋体"/>
                <w:szCs w:val="21"/>
              </w:rPr>
              <w:t>学习II型虚拟化技术架构，II型虚拟化的Hypervisor(KVM)架构保证资源隔离，虚拟机运行在传统操作系统上，创建的是硬件全仿真实例，被称为“托管（宿主）”型。托管型/主机型Hypervisor运行在基础操作系统上，构建出一整套虚拟硬件平台（CPU/Memory/Storage/Adapter），使用者根据需要安装新的操作系统和应用软件，底层和上层的操作系统可以完全无关化。</w:t>
            </w:r>
          </w:p>
        </w:tc>
        <w:tc>
          <w:tcPr>
            <w:tcW w:w="992" w:type="dxa"/>
          </w:tcPr>
          <w:p>
            <w:pPr>
              <w:wordWrap w:val="0"/>
              <w:adjustRightInd w:val="0"/>
              <w:snapToGrid w:val="0"/>
              <w:spacing w:line="360" w:lineRule="auto"/>
              <w:rPr>
                <w:rFonts w:ascii="宋体" w:hAnsi="宋体" w:cs="宋体"/>
                <w:szCs w:val="21"/>
              </w:rPr>
            </w:pPr>
          </w:p>
        </w:tc>
        <w:tc>
          <w:tcPr>
            <w:tcW w:w="930" w:type="dxa"/>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vMerge w:val="continue"/>
            <w:noWrap/>
            <w:vAlign w:val="center"/>
          </w:tcPr>
          <w:p>
            <w:pPr>
              <w:adjustRightInd w:val="0"/>
              <w:snapToGrid w:val="0"/>
              <w:spacing w:line="360" w:lineRule="auto"/>
              <w:jc w:val="center"/>
              <w:rPr>
                <w:rFonts w:ascii="宋体" w:hAnsi="宋体" w:cs="宋体"/>
                <w:szCs w:val="21"/>
              </w:rPr>
            </w:pPr>
          </w:p>
        </w:tc>
        <w:tc>
          <w:tcPr>
            <w:tcW w:w="4678" w:type="dxa"/>
            <w:vAlign w:val="center"/>
          </w:tcPr>
          <w:p>
            <w:pPr>
              <w:adjustRightInd w:val="0"/>
              <w:snapToGrid w:val="0"/>
              <w:rPr>
                <w:rFonts w:ascii="宋体" w:hAnsi="宋体" w:cs="宋体"/>
                <w:szCs w:val="21"/>
              </w:rPr>
            </w:pPr>
            <w:r>
              <w:rPr>
                <w:rFonts w:hint="eastAsia" w:ascii="宋体" w:hAnsi="宋体" w:cs="宋体"/>
                <w:szCs w:val="21"/>
              </w:rPr>
              <w:t>★学习攻击反制，涵盖十余种反向控制手段，如连接MysqlCheat沙箱的攻击者，可反向获取其敏感信息；从mailbox沙箱拖走备份文件的攻击者，可秘密植入反制程序；攻击者从web沙箱下载的伪装控件，捆绑了的反制程序。一旦运行，便可获取攻击者的设备上敏感信息，例如操作系统版本、IP信息、历史登陆的社交账号等，高级反制可反向控制对攻击者的设备</w:t>
            </w:r>
          </w:p>
        </w:tc>
        <w:tc>
          <w:tcPr>
            <w:tcW w:w="992" w:type="dxa"/>
          </w:tcPr>
          <w:p>
            <w:pPr>
              <w:wordWrap w:val="0"/>
              <w:adjustRightInd w:val="0"/>
              <w:snapToGrid w:val="0"/>
              <w:spacing w:line="360" w:lineRule="auto"/>
              <w:rPr>
                <w:rFonts w:ascii="宋体" w:hAnsi="宋体" w:cs="宋体"/>
                <w:szCs w:val="21"/>
              </w:rPr>
            </w:pPr>
          </w:p>
        </w:tc>
        <w:tc>
          <w:tcPr>
            <w:tcW w:w="930" w:type="dxa"/>
          </w:tcPr>
          <w:p>
            <w:pPr>
              <w:wordWrap w:val="0"/>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56" w:type="dxa"/>
            <w:vMerge w:val="continue"/>
          </w:tcPr>
          <w:p>
            <w:pPr>
              <w:adjustRightInd w:val="0"/>
              <w:snapToGrid w:val="0"/>
              <w:spacing w:line="360" w:lineRule="auto"/>
              <w:jc w:val="center"/>
              <w:rPr>
                <w:rFonts w:ascii="宋体" w:hAnsi="宋体" w:cs="宋体"/>
                <w:szCs w:val="21"/>
              </w:rPr>
            </w:pPr>
          </w:p>
        </w:tc>
        <w:tc>
          <w:tcPr>
            <w:tcW w:w="463" w:type="dxa"/>
            <w:vMerge w:val="continue"/>
          </w:tcPr>
          <w:p>
            <w:pPr>
              <w:adjustRightInd w:val="0"/>
              <w:snapToGrid w:val="0"/>
              <w:spacing w:line="360" w:lineRule="auto"/>
              <w:jc w:val="center"/>
              <w:rPr>
                <w:rFonts w:ascii="宋体" w:hAnsi="宋体" w:cs="宋体"/>
                <w:szCs w:val="21"/>
              </w:rPr>
            </w:pPr>
          </w:p>
        </w:tc>
        <w:tc>
          <w:tcPr>
            <w:tcW w:w="777" w:type="dxa"/>
            <w:noWrap/>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场景部署</w:t>
            </w:r>
          </w:p>
        </w:tc>
        <w:tc>
          <w:tcPr>
            <w:tcW w:w="4678" w:type="dxa"/>
            <w:vAlign w:val="center"/>
          </w:tcPr>
          <w:p>
            <w:pPr>
              <w:adjustRightInd w:val="0"/>
              <w:snapToGrid w:val="0"/>
              <w:rPr>
                <w:rFonts w:ascii="宋体" w:hAnsi="宋体" w:cs="宋体"/>
                <w:szCs w:val="21"/>
              </w:rPr>
            </w:pPr>
            <w:r>
              <w:rPr>
                <w:rFonts w:hint="eastAsia" w:ascii="宋体" w:hAnsi="宋体" w:cs="宋体"/>
                <w:szCs w:val="21"/>
              </w:rPr>
              <w:t>（1）互联网侧，可部署于DMZ区或互联网出口位置，开启web应用类沙箱或者制作自定义高仿真的沙箱，通过网络设备将沙箱的仿真服务发布至互联网，也可通过负载均衡设备将一些敏感的目录重定向至沙箱，还可以通过与流量设备联动，进行虚拟网站欺骗和公网IP欺骗。</w:t>
            </w:r>
          </w:p>
          <w:p>
            <w:pPr>
              <w:adjustRightInd w:val="0"/>
              <w:snapToGrid w:val="0"/>
              <w:rPr>
                <w:rFonts w:ascii="宋体" w:hAnsi="宋体" w:cs="宋体"/>
                <w:szCs w:val="21"/>
              </w:rPr>
            </w:pPr>
            <w:r>
              <w:rPr>
                <w:rFonts w:hint="eastAsia" w:ascii="宋体" w:hAnsi="宋体" w:cs="宋体"/>
                <w:szCs w:val="21"/>
              </w:rPr>
              <w:t>（2）内网侧，可部署于安全管理域或测试生产区。开启系统服务类沙箱、windows沙箱以及内网仿真业务沙箱，通过伪装代理覆盖当前网络下已存在的主机，通过中继节点覆盖各个Vlan下空闲的IP，最后辅以主机诱饵覆盖Linux端主机信息混淆，办公网诱饵做windows端的攻击欺骗。</w:t>
            </w:r>
          </w:p>
          <w:p>
            <w:pPr>
              <w:adjustRightInd w:val="0"/>
              <w:snapToGrid w:val="0"/>
              <w:rPr>
                <w:rFonts w:ascii="宋体" w:hAnsi="宋体" w:cs="宋体"/>
                <w:szCs w:val="21"/>
              </w:rPr>
            </w:pPr>
            <w:r>
              <w:rPr>
                <w:rFonts w:hint="eastAsia" w:ascii="宋体" w:hAnsi="宋体" w:cs="宋体"/>
                <w:szCs w:val="21"/>
              </w:rPr>
              <w:t>（3）在工控场景中，可部署于网络关键节点或者工业企业网络的出口处，合理启用工控沙箱和服务协议，通过中继节点将生产控制大区的空闲IP，利用网络中的空闲IP绑定工控沙箱服务，将攻击流量诱导至部署的工控沙箱中。</w:t>
            </w:r>
          </w:p>
        </w:tc>
        <w:tc>
          <w:tcPr>
            <w:tcW w:w="992" w:type="dxa"/>
          </w:tcPr>
          <w:p>
            <w:pPr>
              <w:wordWrap w:val="0"/>
              <w:adjustRightInd w:val="0"/>
              <w:snapToGrid w:val="0"/>
              <w:spacing w:line="360" w:lineRule="auto"/>
              <w:rPr>
                <w:rFonts w:ascii="宋体" w:hAnsi="宋体" w:cs="宋体"/>
                <w:szCs w:val="21"/>
              </w:rPr>
            </w:pPr>
          </w:p>
        </w:tc>
        <w:tc>
          <w:tcPr>
            <w:tcW w:w="930" w:type="dxa"/>
          </w:tcPr>
          <w:p>
            <w:pPr>
              <w:wordWrap w:val="0"/>
              <w:adjustRightInd w:val="0"/>
              <w:snapToGrid w:val="0"/>
              <w:spacing w:line="360" w:lineRule="auto"/>
              <w:rPr>
                <w:rFonts w:ascii="宋体" w:hAnsi="宋体" w:cs="宋体"/>
                <w:szCs w:val="21"/>
              </w:rPr>
            </w:pPr>
          </w:p>
        </w:tc>
      </w:tr>
    </w:tbl>
    <w:p>
      <w:pPr>
        <w:rPr>
          <w:lang w:bidi="ar"/>
        </w:rPr>
      </w:pPr>
    </w:p>
    <w:p>
      <w:pPr>
        <w:pStyle w:val="2"/>
        <w:ind w:firstLine="440"/>
      </w:pPr>
    </w:p>
    <w:p>
      <w:pPr>
        <w:pStyle w:val="2"/>
        <w:ind w:firstLine="440"/>
      </w:pPr>
    </w:p>
    <w:p>
      <w:pPr>
        <w:pStyle w:val="25"/>
        <w:tabs>
          <w:tab w:val="left" w:pos="360"/>
        </w:tabs>
        <w:spacing w:line="280" w:lineRule="exact"/>
        <w:ind w:right="88" w:rightChars="40"/>
        <w:rPr>
          <w:rStyle w:val="24"/>
          <w:rFonts w:ascii="宋体" w:hAnsi="宋体"/>
          <w:b/>
          <w:szCs w:val="21"/>
        </w:rPr>
      </w:pPr>
      <w:r>
        <w:rPr>
          <w:rStyle w:val="24"/>
          <w:rFonts w:ascii="宋体" w:hAnsi="宋体"/>
          <w:b/>
          <w:szCs w:val="21"/>
        </w:rPr>
        <w:t>要求：</w:t>
      </w:r>
    </w:p>
    <w:p>
      <w:pPr>
        <w:pStyle w:val="25"/>
        <w:spacing w:line="280" w:lineRule="exact"/>
        <w:ind w:right="88" w:rightChars="40" w:firstLine="420" w:firstLineChars="200"/>
        <w:rPr>
          <w:rStyle w:val="24"/>
          <w:rFonts w:ascii="宋体" w:hAnsi="宋体"/>
          <w:szCs w:val="21"/>
        </w:rPr>
      </w:pPr>
      <w:r>
        <w:rPr>
          <w:rStyle w:val="24"/>
          <w:rFonts w:hint="eastAsia" w:ascii="宋体" w:hAnsi="宋体"/>
          <w:szCs w:val="21"/>
        </w:rPr>
        <w:t>1</w:t>
      </w:r>
      <w:r>
        <w:rPr>
          <w:rStyle w:val="24"/>
          <w:rFonts w:ascii="宋体" w:hAnsi="宋体"/>
          <w:szCs w:val="21"/>
        </w:rPr>
        <w:t>.本表参照本招标文件“技术</w:t>
      </w:r>
      <w:r>
        <w:rPr>
          <w:rStyle w:val="24"/>
          <w:rFonts w:hint="eastAsia" w:ascii="宋体" w:hAnsi="宋体"/>
          <w:szCs w:val="21"/>
        </w:rPr>
        <w:t>要</w:t>
      </w:r>
      <w:r>
        <w:rPr>
          <w:rStyle w:val="24"/>
          <w:rFonts w:ascii="宋体" w:hAnsi="宋体"/>
          <w:szCs w:val="21"/>
        </w:rPr>
        <w:t>求”填制，投标人应根据投标设备的性能指标、服务指标，对照招标文件要求在“偏离情况”栏注明“正偏离”、“负偏离”或“无偏离”。</w:t>
      </w:r>
    </w:p>
    <w:p>
      <w:pPr>
        <w:widowControl w:val="0"/>
        <w:spacing w:line="280" w:lineRule="exact"/>
        <w:ind w:firstLine="420" w:firstLineChars="200"/>
        <w:jc w:val="both"/>
        <w:rPr>
          <w:rFonts w:ascii="宋体" w:hAnsi="宋体" w:cs="宋体"/>
          <w:kern w:val="2"/>
          <w:sz w:val="21"/>
          <w:szCs w:val="21"/>
          <w:lang w:bidi="ar"/>
        </w:rPr>
      </w:pPr>
      <w:r>
        <w:rPr>
          <w:rStyle w:val="24"/>
          <w:rFonts w:hint="eastAsia" w:ascii="宋体" w:hAnsi="宋体"/>
          <w:sz w:val="21"/>
          <w:szCs w:val="21"/>
        </w:rPr>
        <w:t>2.</w:t>
      </w:r>
      <w:r>
        <w:rPr>
          <w:rStyle w:val="24"/>
          <w:rFonts w:ascii="宋体" w:hAnsi="宋体"/>
          <w:sz w:val="21"/>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认定为虚假应标。</w:t>
      </w:r>
    </w:p>
    <w:p>
      <w:pPr>
        <w:widowControl w:val="0"/>
        <w:spacing w:line="320" w:lineRule="exact"/>
        <w:jc w:val="both"/>
        <w:rPr>
          <w:rFonts w:ascii="宋体" w:hAnsi="宋体" w:cs="宋体"/>
          <w:sz w:val="21"/>
          <w:szCs w:val="21"/>
        </w:rPr>
      </w:pPr>
    </w:p>
    <w:p>
      <w:pPr>
        <w:widowControl w:val="0"/>
        <w:spacing w:line="320" w:lineRule="exact"/>
        <w:ind w:left="420"/>
        <w:jc w:val="both"/>
        <w:rPr>
          <w:rFonts w:ascii="宋体" w:hAnsi="宋体" w:cs="宋体"/>
          <w:szCs w:val="21"/>
          <w:u w:val="single"/>
        </w:rPr>
      </w:pPr>
      <w:r>
        <w:rPr>
          <w:rFonts w:hint="eastAsia" w:ascii="宋体" w:hAnsi="宋体" w:cs="宋体"/>
          <w:kern w:val="2"/>
          <w:sz w:val="21"/>
          <w:szCs w:val="21"/>
          <w:lang w:bidi="ar"/>
        </w:rPr>
        <w:t>投标人名称（盖章）：</w:t>
      </w:r>
    </w:p>
    <w:p>
      <w:pPr>
        <w:widowControl w:val="0"/>
        <w:spacing w:line="320" w:lineRule="exact"/>
        <w:ind w:left="420"/>
        <w:jc w:val="both"/>
        <w:rPr>
          <w:rFonts w:ascii="宋体" w:hAnsi="宋体" w:cs="宋体"/>
          <w:szCs w:val="21"/>
        </w:rPr>
      </w:pPr>
    </w:p>
    <w:p>
      <w:pPr>
        <w:widowControl w:val="0"/>
        <w:spacing w:line="320" w:lineRule="exact"/>
        <w:ind w:firstLine="435"/>
        <w:jc w:val="both"/>
        <w:rPr>
          <w:rFonts w:ascii="宋体" w:hAnsi="宋体" w:cs="宋体"/>
          <w:szCs w:val="21"/>
        </w:rPr>
      </w:pPr>
      <w:r>
        <w:rPr>
          <w:rFonts w:hint="eastAsia" w:ascii="宋体" w:hAnsi="宋体" w:cs="宋体"/>
          <w:kern w:val="2"/>
          <w:sz w:val="21"/>
          <w:szCs w:val="21"/>
          <w:lang w:bidi="ar"/>
        </w:rPr>
        <w:t>投标人代表签字或盖章：</w:t>
      </w:r>
    </w:p>
    <w:p>
      <w:pPr>
        <w:widowControl w:val="0"/>
        <w:spacing w:line="320" w:lineRule="exact"/>
        <w:ind w:firstLine="435"/>
        <w:jc w:val="both"/>
        <w:rPr>
          <w:rFonts w:ascii="宋体" w:hAnsi="宋体" w:cs="宋体"/>
          <w:szCs w:val="21"/>
        </w:rPr>
      </w:pPr>
    </w:p>
    <w:p>
      <w:pPr>
        <w:widowControl w:val="0"/>
        <w:spacing w:line="320" w:lineRule="exact"/>
        <w:ind w:firstLine="437"/>
        <w:jc w:val="both"/>
        <w:rPr>
          <w:rFonts w:ascii="宋体" w:hAnsi="宋体" w:cs="宋体"/>
          <w:kern w:val="2"/>
          <w:sz w:val="21"/>
          <w:szCs w:val="21"/>
          <w:lang w:bidi="ar"/>
        </w:rPr>
      </w:pPr>
      <w:r>
        <w:rPr>
          <w:rFonts w:hint="eastAsia" w:ascii="宋体" w:hAnsi="宋体" w:cs="宋体"/>
          <w:kern w:val="2"/>
          <w:sz w:val="21"/>
          <w:szCs w:val="21"/>
          <w:lang w:bidi="ar"/>
        </w:rPr>
        <w:t>联 系 电 话：                              职 务：</w:t>
      </w:r>
    </w:p>
    <w:p>
      <w:pPr>
        <w:widowControl w:val="0"/>
        <w:spacing w:line="320" w:lineRule="exact"/>
        <w:ind w:firstLine="420" w:firstLineChars="200"/>
        <w:jc w:val="both"/>
        <w:rPr>
          <w:rFonts w:ascii="宋体" w:hAnsi="宋体" w:cs="宋体"/>
          <w:b/>
          <w:szCs w:val="21"/>
        </w:rPr>
      </w:pPr>
      <w:r>
        <w:rPr>
          <w:rFonts w:hint="eastAsia" w:ascii="宋体" w:hAnsi="宋体" w:cs="宋体"/>
          <w:kern w:val="2"/>
          <w:sz w:val="21"/>
          <w:szCs w:val="21"/>
          <w:lang w:bidi="ar"/>
        </w:rPr>
        <w:t>日       期：</w:t>
      </w:r>
    </w:p>
    <w:p>
      <w:pPr>
        <w:rPr>
          <w:rFonts w:hAnsi="宋体"/>
          <w:b/>
          <w:kern w:val="2"/>
          <w:sz w:val="21"/>
          <w:szCs w:val="21"/>
          <w:lang w:bidi="ar"/>
        </w:rPr>
      </w:pPr>
      <w:r>
        <w:rPr>
          <w:rFonts w:hint="eastAsia" w:ascii="宋体" w:hAnsi="宋体" w:cs="宋体"/>
          <w:b/>
          <w:kern w:val="2"/>
          <w:sz w:val="28"/>
          <w:szCs w:val="28"/>
          <w:lang w:bidi="ar"/>
        </w:rPr>
        <w:br w:type="page"/>
      </w:r>
      <w:r>
        <w:rPr>
          <w:rFonts w:hint="eastAsia" w:hAnsi="宋体"/>
          <w:b/>
          <w:kern w:val="2"/>
          <w:sz w:val="21"/>
          <w:szCs w:val="21"/>
          <w:lang w:bidi="ar"/>
        </w:rPr>
        <w:t>附件3：</w:t>
      </w:r>
    </w:p>
    <w:p>
      <w:pPr>
        <w:widowControl w:val="0"/>
        <w:spacing w:line="360" w:lineRule="auto"/>
        <w:ind w:left="480"/>
        <w:jc w:val="center"/>
        <w:rPr>
          <w:rFonts w:ascii="宋体" w:hAnsi="宋体" w:cs="宋体"/>
          <w:b/>
          <w:kern w:val="2"/>
          <w:sz w:val="28"/>
          <w:szCs w:val="28"/>
          <w:lang w:bidi="ar"/>
        </w:rPr>
      </w:pPr>
      <w:r>
        <w:rPr>
          <w:rFonts w:hint="eastAsia" w:ascii="宋体" w:hAnsi="宋体" w:cs="宋体"/>
          <w:b/>
          <w:kern w:val="2"/>
          <w:sz w:val="28"/>
          <w:szCs w:val="28"/>
          <w:lang w:bidi="ar"/>
        </w:rPr>
        <w:t>报 价 明 细 表</w:t>
      </w:r>
    </w:p>
    <w:p>
      <w:pPr>
        <w:widowControl w:val="0"/>
        <w:spacing w:line="360" w:lineRule="auto"/>
        <w:ind w:left="480"/>
        <w:jc w:val="center"/>
        <w:rPr>
          <w:rFonts w:ascii="宋体" w:hAnsi="宋体" w:cs="宋体"/>
          <w:szCs w:val="21"/>
        </w:rPr>
      </w:pPr>
      <w:r>
        <w:rPr>
          <w:rFonts w:hint="eastAsia" w:ascii="宋体" w:hAnsi="宋体" w:cs="宋体"/>
          <w:b/>
          <w:kern w:val="2"/>
          <w:sz w:val="21"/>
          <w:szCs w:val="21"/>
          <w:lang w:bidi="ar"/>
        </w:rPr>
        <w:t xml:space="preserve"> </w:t>
      </w:r>
    </w:p>
    <w:p>
      <w:pPr>
        <w:widowControl w:val="0"/>
        <w:spacing w:line="360" w:lineRule="auto"/>
        <w:jc w:val="both"/>
        <w:rPr>
          <w:rFonts w:ascii="宋体" w:hAnsi="宋体" w:cs="宋体"/>
          <w:szCs w:val="21"/>
        </w:rPr>
      </w:pPr>
      <w:r>
        <w:rPr>
          <w:rFonts w:hint="eastAsia" w:ascii="宋体" w:hAnsi="宋体" w:cs="宋体"/>
          <w:kern w:val="2"/>
          <w:sz w:val="21"/>
          <w:szCs w:val="21"/>
          <w:lang w:bidi="ar"/>
        </w:rPr>
        <w:t xml:space="preserve">  项目名称：网络欺骗防御系统项目                      [货币单位：人民币元]</w:t>
      </w: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432"/>
        <w:gridCol w:w="817"/>
        <w:gridCol w:w="952"/>
        <w:gridCol w:w="11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b/>
                <w:szCs w:val="21"/>
              </w:rPr>
            </w:pPr>
            <w:r>
              <w:rPr>
                <w:rFonts w:hint="eastAsia" w:ascii="宋体" w:hAnsi="宋体" w:cs="宋体"/>
                <w:b/>
                <w:kern w:val="2"/>
                <w:sz w:val="21"/>
                <w:szCs w:val="21"/>
                <w:lang w:bidi="ar"/>
              </w:rPr>
              <w:t>序号</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8280"/>
              </w:tabs>
              <w:autoSpaceDE w:val="0"/>
              <w:autoSpaceDN w:val="0"/>
              <w:adjustRightInd w:val="0"/>
              <w:spacing w:line="360" w:lineRule="auto"/>
              <w:ind w:right="25" w:firstLine="211" w:firstLineChars="100"/>
              <w:jc w:val="both"/>
              <w:rPr>
                <w:rFonts w:ascii="宋体" w:hAnsi="宋体" w:cs="宋体"/>
                <w:b/>
                <w:szCs w:val="21"/>
              </w:rPr>
            </w:pPr>
            <w:r>
              <w:rPr>
                <w:rFonts w:hint="eastAsia" w:ascii="宋体" w:hAnsi="宋体" w:cs="宋体"/>
                <w:b/>
                <w:kern w:val="2"/>
                <w:sz w:val="21"/>
                <w:szCs w:val="21"/>
                <w:lang w:bidi="ar"/>
              </w:rPr>
              <w:t>报价项目</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kern w:val="2"/>
                <w:sz w:val="21"/>
                <w:szCs w:val="21"/>
                <w:lang w:bidi="ar"/>
              </w:rPr>
              <w:t>品牌、产地</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left="52"/>
              <w:jc w:val="center"/>
              <w:rPr>
                <w:rFonts w:ascii="宋体" w:hAnsi="宋体" w:cs="宋体"/>
                <w:b/>
                <w:szCs w:val="21"/>
              </w:rPr>
            </w:pPr>
            <w:r>
              <w:rPr>
                <w:rFonts w:hint="eastAsia" w:ascii="宋体" w:hAnsi="宋体" w:cs="宋体"/>
                <w:b/>
                <w:kern w:val="2"/>
                <w:sz w:val="21"/>
                <w:szCs w:val="21"/>
                <w:lang w:bidi="ar"/>
              </w:rPr>
              <w:t>型号规格</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ind w:left="152"/>
              <w:jc w:val="center"/>
              <w:rPr>
                <w:rFonts w:ascii="宋体" w:hAnsi="宋体" w:cs="宋体"/>
                <w:b/>
                <w:szCs w:val="21"/>
              </w:rPr>
            </w:pPr>
            <w:r>
              <w:rPr>
                <w:rFonts w:hint="eastAsia" w:ascii="宋体" w:hAnsi="宋体" w:cs="宋体"/>
                <w:b/>
                <w:kern w:val="2"/>
                <w:sz w:val="21"/>
                <w:szCs w:val="21"/>
                <w:lang w:bidi="ar"/>
              </w:rPr>
              <w:t>数量</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cs="宋体"/>
                <w:b/>
                <w:szCs w:val="21"/>
              </w:rPr>
            </w:pPr>
            <w:r>
              <w:rPr>
                <w:rFonts w:hint="eastAsia" w:ascii="宋体" w:hAnsi="宋体" w:cs="宋体"/>
                <w:b/>
                <w:kern w:val="2"/>
                <w:sz w:val="21"/>
                <w:szCs w:val="21"/>
                <w:lang w:bidi="ar"/>
              </w:rPr>
              <w:t>单价</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cs="宋体"/>
                <w:b/>
                <w:szCs w:val="21"/>
              </w:rPr>
            </w:pPr>
            <w:r>
              <w:rPr>
                <w:rFonts w:hint="eastAsia" w:ascii="宋体" w:hAnsi="宋体" w:cs="宋体"/>
                <w:b/>
                <w:kern w:val="2"/>
                <w:sz w:val="21"/>
                <w:szCs w:val="21"/>
                <w:lang w:bidi="ar"/>
              </w:rPr>
              <w:t>小计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cs="宋体"/>
                <w:b/>
                <w:szCs w:val="21"/>
              </w:rPr>
            </w:pPr>
            <w:r>
              <w:rPr>
                <w:rFonts w:hint="eastAsia" w:ascii="宋体" w:hAnsi="宋体" w:cs="宋体"/>
                <w:b/>
                <w:kern w:val="2"/>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cs="宋体"/>
                <w:szCs w:val="21"/>
              </w:rPr>
            </w:pPr>
            <w:r>
              <w:rPr>
                <w:rFonts w:hint="eastAsia" w:ascii="宋体" w:hAnsi="宋体" w:cs="宋体"/>
                <w:kern w:val="2"/>
                <w:sz w:val="21"/>
                <w:szCs w:val="21"/>
                <w:lang w:bidi="ar"/>
              </w:rPr>
              <w:t>1</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szCs w:val="21"/>
              </w:rPr>
            </w:pPr>
            <w:r>
              <w:rPr>
                <w:rFonts w:hint="eastAsia" w:ascii="宋体" w:hAnsi="宋体"/>
                <w:sz w:val="21"/>
                <w:szCs w:val="24"/>
              </w:rPr>
              <w:t>网络欺骗防御系统</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szCs w:val="21"/>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ascii="宋体" w:hAnsi="宋体" w:cs="宋体"/>
                <w:szCs w:val="21"/>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宋体" w:hAnsi="宋体" w:cs="宋体"/>
                <w:szCs w:val="21"/>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ascii="宋体" w:hAnsi="宋体" w:cs="宋体"/>
                <w:b/>
                <w:szCs w:val="21"/>
              </w:rPr>
            </w:pPr>
            <w:r>
              <w:rPr>
                <w:rFonts w:hint="eastAsia" w:ascii="宋体" w:hAnsi="宋体" w:cs="宋体"/>
                <w:b/>
                <w:kern w:val="2"/>
                <w:sz w:val="21"/>
                <w:szCs w:val="21"/>
                <w:lang w:bidi="ar"/>
              </w:rPr>
              <w:t>合计人民币：大写                               小写</w:t>
            </w:r>
          </w:p>
        </w:tc>
      </w:tr>
    </w:tbl>
    <w:p>
      <w:pPr>
        <w:widowControl w:val="0"/>
        <w:spacing w:line="360" w:lineRule="auto"/>
        <w:jc w:val="both"/>
        <w:rPr>
          <w:rFonts w:ascii="宋体" w:hAnsi="宋体" w:cs="宋体"/>
          <w:b/>
          <w:szCs w:val="21"/>
        </w:rPr>
      </w:pPr>
      <w:r>
        <w:rPr>
          <w:rFonts w:hint="eastAsia" w:ascii="宋体" w:hAnsi="宋体" w:cs="宋体"/>
          <w:b/>
          <w:kern w:val="2"/>
          <w:sz w:val="21"/>
          <w:szCs w:val="21"/>
          <w:lang w:bidi="ar"/>
        </w:rPr>
        <w:t>要求：</w:t>
      </w:r>
    </w:p>
    <w:p>
      <w:pPr>
        <w:widowControl w:val="0"/>
        <w:spacing w:line="360" w:lineRule="auto"/>
        <w:ind w:left="435"/>
        <w:jc w:val="both"/>
        <w:rPr>
          <w:rFonts w:ascii="宋体" w:hAnsi="宋体" w:cs="宋体"/>
          <w:szCs w:val="21"/>
        </w:rPr>
      </w:pPr>
      <w:r>
        <w:rPr>
          <w:rFonts w:hint="eastAsia" w:ascii="宋体" w:hAnsi="宋体" w:cs="宋体"/>
          <w:kern w:val="2"/>
          <w:sz w:val="21"/>
          <w:szCs w:val="21"/>
          <w:lang w:bidi="ar"/>
        </w:rPr>
        <w:t>1. 本表为报价明细表，如有缺项、漏项，视为投标报价中已包含相关费用，采购人无需另外支付任何费用。</w:t>
      </w:r>
    </w:p>
    <w:p>
      <w:pPr>
        <w:widowControl w:val="0"/>
        <w:spacing w:line="360" w:lineRule="auto"/>
        <w:ind w:left="435"/>
        <w:jc w:val="both"/>
        <w:rPr>
          <w:rFonts w:ascii="宋体" w:hAnsi="宋体" w:cs="宋体"/>
          <w:szCs w:val="21"/>
          <w:lang w:val="zh-CN"/>
        </w:rPr>
      </w:pPr>
      <w:r>
        <w:rPr>
          <w:rFonts w:hint="eastAsia" w:ascii="宋体" w:hAnsi="宋体" w:cs="宋体"/>
          <w:kern w:val="2"/>
          <w:sz w:val="21"/>
          <w:szCs w:val="21"/>
          <w:lang w:bidi="ar"/>
        </w:rPr>
        <w:t>2.</w:t>
      </w:r>
      <w:r>
        <w:rPr>
          <w:rFonts w:hint="eastAsia" w:ascii="宋体" w:hAnsi="宋体" w:cs="宋体"/>
          <w:kern w:val="2"/>
          <w:sz w:val="21"/>
          <w:szCs w:val="21"/>
          <w:lang w:val="zh-CN" w:bidi="ar"/>
        </w:rPr>
        <w:t>投标报价明细表所填内容按询价文件采购设备清单要求为准。如有漏报的，视同已包含在投标总价内或已作优惠处理。有重大缺项的将作无效标处理。</w:t>
      </w:r>
    </w:p>
    <w:p>
      <w:pPr>
        <w:widowControl w:val="0"/>
        <w:spacing w:line="360" w:lineRule="auto"/>
        <w:ind w:left="435"/>
        <w:jc w:val="both"/>
        <w:rPr>
          <w:rFonts w:ascii="宋体" w:hAnsi="宋体" w:cs="宋体"/>
          <w:szCs w:val="21"/>
          <w:lang w:val="zh-CN"/>
        </w:rPr>
      </w:pPr>
      <w:r>
        <w:rPr>
          <w:rFonts w:hint="eastAsia" w:ascii="宋体" w:hAnsi="宋体" w:cs="宋体"/>
          <w:kern w:val="2"/>
          <w:sz w:val="21"/>
          <w:szCs w:val="21"/>
          <w:lang w:val="zh-CN" w:bidi="ar"/>
        </w:rPr>
        <w:t>▲4. 本表中的型号规格必须明确，招标文件中明确要求定制的除外。</w:t>
      </w:r>
    </w:p>
    <w:p>
      <w:pPr>
        <w:widowControl w:val="0"/>
        <w:spacing w:line="360" w:lineRule="auto"/>
        <w:ind w:firstLine="525" w:firstLineChars="250"/>
        <w:jc w:val="both"/>
        <w:rPr>
          <w:rFonts w:ascii="宋体" w:hAnsi="宋体" w:cs="宋体"/>
          <w:szCs w:val="21"/>
          <w:lang w:val="zh-CN"/>
        </w:rPr>
      </w:pPr>
      <w:r>
        <w:rPr>
          <w:rFonts w:hint="eastAsia" w:ascii="宋体" w:hAnsi="宋体" w:cs="宋体"/>
          <w:kern w:val="2"/>
          <w:sz w:val="21"/>
          <w:szCs w:val="21"/>
          <w:lang w:val="zh-CN" w:bidi="ar"/>
        </w:rPr>
        <w:t>5. 所有设备（含进口和非进口）均采用人民币报价。</w:t>
      </w:r>
    </w:p>
    <w:p>
      <w:pPr>
        <w:widowControl w:val="0"/>
        <w:spacing w:line="360" w:lineRule="auto"/>
        <w:ind w:left="420"/>
        <w:jc w:val="both"/>
        <w:rPr>
          <w:rFonts w:ascii="宋体" w:hAnsi="宋体" w:cs="宋体"/>
          <w:szCs w:val="21"/>
        </w:rPr>
      </w:pPr>
    </w:p>
    <w:p>
      <w:pPr>
        <w:widowControl w:val="0"/>
        <w:spacing w:line="360" w:lineRule="auto"/>
        <w:ind w:left="420"/>
        <w:jc w:val="both"/>
        <w:rPr>
          <w:rFonts w:ascii="宋体" w:hAnsi="宋体" w:cs="宋体"/>
          <w:szCs w:val="21"/>
          <w:u w:val="single"/>
        </w:rPr>
      </w:pPr>
      <w:bookmarkStart w:id="0" w:name="OLE_LINK2"/>
      <w:r>
        <w:rPr>
          <w:rFonts w:hint="eastAsia" w:ascii="宋体" w:hAnsi="宋体" w:cs="宋体"/>
          <w:kern w:val="2"/>
          <w:sz w:val="21"/>
          <w:szCs w:val="21"/>
          <w:lang w:bidi="ar"/>
        </w:rPr>
        <w:t>投标人名称（盖章）：</w:t>
      </w:r>
    </w:p>
    <w:p>
      <w:pPr>
        <w:widowControl w:val="0"/>
        <w:spacing w:line="360" w:lineRule="auto"/>
        <w:ind w:left="420"/>
        <w:jc w:val="both"/>
        <w:rPr>
          <w:rFonts w:ascii="宋体" w:hAnsi="宋体" w:cs="宋体"/>
          <w:szCs w:val="21"/>
        </w:rPr>
      </w:pPr>
    </w:p>
    <w:p>
      <w:pPr>
        <w:widowControl w:val="0"/>
        <w:spacing w:line="360" w:lineRule="auto"/>
        <w:ind w:firstLine="435"/>
        <w:jc w:val="both"/>
        <w:rPr>
          <w:rFonts w:ascii="宋体" w:hAnsi="宋体" w:cs="宋体"/>
          <w:szCs w:val="21"/>
        </w:rPr>
      </w:pPr>
      <w:r>
        <w:rPr>
          <w:rFonts w:hint="eastAsia" w:ascii="宋体" w:hAnsi="宋体" w:cs="宋体"/>
          <w:kern w:val="2"/>
          <w:sz w:val="21"/>
          <w:szCs w:val="21"/>
          <w:lang w:bidi="ar"/>
        </w:rPr>
        <w:t>投标人代表签字或盖章：</w:t>
      </w:r>
    </w:p>
    <w:p>
      <w:pPr>
        <w:widowControl w:val="0"/>
        <w:spacing w:line="360" w:lineRule="auto"/>
        <w:ind w:firstLine="435"/>
        <w:jc w:val="both"/>
        <w:rPr>
          <w:rFonts w:ascii="宋体" w:hAnsi="宋体" w:cs="宋体"/>
          <w:szCs w:val="21"/>
        </w:rPr>
      </w:pPr>
    </w:p>
    <w:p>
      <w:pPr>
        <w:widowControl w:val="0"/>
        <w:spacing w:line="360" w:lineRule="auto"/>
        <w:ind w:firstLine="435"/>
        <w:jc w:val="both"/>
        <w:rPr>
          <w:rFonts w:ascii="宋体" w:hAnsi="宋体" w:cs="宋体"/>
          <w:szCs w:val="21"/>
        </w:rPr>
      </w:pPr>
      <w:r>
        <w:rPr>
          <w:rFonts w:hint="eastAsia" w:ascii="宋体" w:hAnsi="宋体" w:cs="宋体"/>
          <w:kern w:val="2"/>
          <w:sz w:val="21"/>
          <w:szCs w:val="21"/>
          <w:lang w:bidi="ar"/>
        </w:rPr>
        <w:t>职        务：</w:t>
      </w:r>
    </w:p>
    <w:p>
      <w:pPr>
        <w:widowControl w:val="0"/>
        <w:spacing w:line="360" w:lineRule="auto"/>
        <w:ind w:firstLine="435"/>
        <w:jc w:val="both"/>
        <w:rPr>
          <w:rFonts w:ascii="宋体" w:hAnsi="宋体" w:cs="宋体"/>
          <w:szCs w:val="21"/>
        </w:rPr>
      </w:pPr>
      <w:r>
        <w:rPr>
          <w:rFonts w:hint="eastAsia" w:ascii="宋体" w:hAnsi="宋体" w:cs="宋体"/>
          <w:kern w:val="2"/>
          <w:sz w:val="21"/>
          <w:szCs w:val="21"/>
          <w:lang w:bidi="ar"/>
        </w:rPr>
        <w:t>日        期：</w:t>
      </w:r>
      <w:bookmarkEnd w:id="0"/>
    </w:p>
    <w:p>
      <w:pPr>
        <w:pStyle w:val="8"/>
        <w:spacing w:line="360" w:lineRule="auto"/>
        <w:rPr>
          <w:lang w:eastAsia="zh-CN"/>
        </w:rPr>
      </w:pPr>
    </w:p>
    <w:p/>
    <w:p>
      <w:pPr>
        <w:pStyle w:val="8"/>
        <w:rPr>
          <w:lang w:eastAsia="zh-CN"/>
        </w:rPr>
      </w:pPr>
    </w:p>
    <w:p/>
    <w:p>
      <w:pPr>
        <w:pStyle w:val="2"/>
        <w:ind w:firstLine="440"/>
        <w:rPr>
          <w:lang w:val="en-US"/>
        </w:rPr>
      </w:pPr>
    </w:p>
    <w:p>
      <w:pPr>
        <w:pStyle w:val="2"/>
        <w:ind w:firstLine="440"/>
        <w:rPr>
          <w:lang w:val="en-US"/>
        </w:rPr>
      </w:pPr>
    </w:p>
    <w:p>
      <w:pPr>
        <w:pStyle w:val="2"/>
        <w:ind w:firstLine="440"/>
        <w:rPr>
          <w:lang w:val="en-US"/>
        </w:rPr>
      </w:pPr>
    </w:p>
    <w:p>
      <w:pPr>
        <w:pStyle w:val="8"/>
        <w:rPr>
          <w:lang w:eastAsia="zh-CN"/>
        </w:rPr>
      </w:pPr>
    </w:p>
    <w:p>
      <w:r>
        <w:rPr>
          <w:rFonts w:hint="eastAsia" w:hAnsi="宋体"/>
          <w:b/>
          <w:kern w:val="2"/>
          <w:sz w:val="21"/>
          <w:szCs w:val="21"/>
          <w:lang w:bidi="ar"/>
        </w:rPr>
        <w:t>附件4：</w:t>
      </w:r>
    </w:p>
    <w:p>
      <w:pPr>
        <w:pStyle w:val="8"/>
        <w:ind w:firstLine="2249" w:firstLineChars="800"/>
        <w:rPr>
          <w:rFonts w:hAnsi="宋体"/>
          <w:b/>
          <w:bCs/>
          <w:sz w:val="28"/>
          <w:szCs w:val="28"/>
          <w:lang w:eastAsia="zh-CN" w:bidi="ar"/>
        </w:rPr>
      </w:pPr>
      <w:r>
        <w:rPr>
          <w:rFonts w:hint="eastAsia" w:hAnsi="宋体"/>
          <w:b/>
          <w:bCs/>
          <w:sz w:val="28"/>
          <w:szCs w:val="28"/>
          <w:lang w:eastAsia="zh-CN" w:bidi="ar"/>
        </w:rPr>
        <w:t>CNAS认可的检测报告、证书复印件等</w:t>
      </w: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rPr>
          <w:rFonts w:ascii="宋体" w:hAnsi="宋体" w:cs="宋体"/>
          <w:b/>
          <w:bCs/>
          <w:sz w:val="20"/>
          <w:szCs w:val="20"/>
          <w:lang w:bidi="ar"/>
        </w:rPr>
      </w:pPr>
    </w:p>
    <w:p>
      <w:pPr>
        <w:pStyle w:val="8"/>
        <w:rPr>
          <w:rFonts w:hAnsi="宋体"/>
          <w:b/>
          <w:bCs/>
          <w:sz w:val="20"/>
          <w:szCs w:val="20"/>
          <w:lang w:eastAsia="zh-CN" w:bidi="ar"/>
        </w:rPr>
      </w:pPr>
    </w:p>
    <w:p>
      <w:pPr>
        <w:widowControl w:val="0"/>
        <w:tabs>
          <w:tab w:val="left" w:pos="2460"/>
        </w:tabs>
        <w:spacing w:line="360" w:lineRule="auto"/>
        <w:jc w:val="both"/>
        <w:rPr>
          <w:rFonts w:ascii="宋体" w:hAnsi="宋体" w:cs="宋体"/>
          <w:b/>
          <w:sz w:val="28"/>
          <w:szCs w:val="24"/>
        </w:rPr>
      </w:pPr>
      <w:r>
        <w:rPr>
          <w:rFonts w:hint="eastAsia" w:ascii="宋体" w:hAnsi="宋体" w:cs="宋体"/>
          <w:b/>
          <w:kern w:val="2"/>
          <w:sz w:val="21"/>
          <w:szCs w:val="21"/>
          <w:lang w:bidi="ar"/>
        </w:rPr>
        <w:t xml:space="preserve">附件5: </w:t>
      </w:r>
      <w:r>
        <w:rPr>
          <w:rFonts w:hint="eastAsia" w:ascii="宋体" w:hAnsi="宋体" w:cs="宋体"/>
          <w:b/>
          <w:kern w:val="2"/>
          <w:sz w:val="28"/>
          <w:szCs w:val="24"/>
          <w:lang w:bidi="ar"/>
        </w:rPr>
        <w:t xml:space="preserve"> </w:t>
      </w:r>
      <w:r>
        <w:rPr>
          <w:rFonts w:hint="eastAsia" w:ascii="宋体" w:hAnsi="宋体" w:cs="宋体"/>
          <w:b/>
          <w:kern w:val="2"/>
          <w:sz w:val="28"/>
          <w:szCs w:val="24"/>
          <w:lang w:bidi="ar"/>
        </w:rPr>
        <w:tab/>
      </w:r>
    </w:p>
    <w:p>
      <w:pPr>
        <w:widowControl w:val="0"/>
        <w:spacing w:line="360" w:lineRule="auto"/>
        <w:ind w:firstLine="435"/>
        <w:jc w:val="center"/>
        <w:rPr>
          <w:rFonts w:ascii="宋体" w:hAnsi="宋体" w:cs="宋体"/>
          <w:b/>
          <w:sz w:val="36"/>
          <w:szCs w:val="36"/>
        </w:rPr>
      </w:pPr>
      <w:r>
        <w:rPr>
          <w:rFonts w:hint="eastAsia" w:ascii="宋体" w:hAnsi="宋体" w:cs="宋体"/>
          <w:b/>
          <w:kern w:val="2"/>
          <w:sz w:val="32"/>
          <w:szCs w:val="32"/>
          <w:lang w:bidi="ar"/>
        </w:rPr>
        <w:t>售后服务情况表</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3930"/>
        <w:gridCol w:w="250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24" w:type="dxa"/>
            <w:tcBorders>
              <w:top w:val="single" w:color="auto" w:sz="4" w:space="0"/>
              <w:left w:val="single" w:color="auto" w:sz="4"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
                <w:sz w:val="24"/>
              </w:rPr>
            </w:pPr>
            <w:r>
              <w:rPr>
                <w:rFonts w:hint="eastAsia" w:ascii="宋体" w:hAnsi="宋体" w:cs="Arial"/>
                <w:b/>
                <w:sz w:val="24"/>
              </w:rPr>
              <w:t>序号</w:t>
            </w:r>
          </w:p>
        </w:tc>
        <w:tc>
          <w:tcPr>
            <w:tcW w:w="3930"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
                <w:sz w:val="24"/>
              </w:rPr>
            </w:pPr>
            <w:r>
              <w:rPr>
                <w:rFonts w:hint="eastAsia" w:ascii="宋体" w:hAnsi="宋体" w:cs="Arial"/>
                <w:b/>
                <w:sz w:val="24"/>
              </w:rPr>
              <w:t>服务项目</w:t>
            </w:r>
          </w:p>
        </w:tc>
        <w:tc>
          <w:tcPr>
            <w:tcW w:w="2501"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
                <w:sz w:val="24"/>
              </w:rPr>
            </w:pPr>
            <w:r>
              <w:rPr>
                <w:rFonts w:hint="eastAsia" w:ascii="宋体" w:hAnsi="宋体" w:cs="Arial"/>
                <w:b/>
                <w:sz w:val="24"/>
              </w:rPr>
              <w:t>投标人情况</w:t>
            </w:r>
          </w:p>
        </w:tc>
        <w:tc>
          <w:tcPr>
            <w:tcW w:w="1373" w:type="dxa"/>
            <w:tcBorders>
              <w:top w:val="single" w:color="auto" w:sz="4" w:space="0"/>
              <w:left w:val="single" w:color="auto" w:sz="6" w:space="0"/>
              <w:bottom w:val="single" w:color="auto" w:sz="6" w:space="0"/>
              <w:right w:val="single" w:color="auto" w:sz="4" w:space="0"/>
            </w:tcBorders>
            <w:shd w:val="clear" w:color="auto" w:fill="auto"/>
            <w:vAlign w:val="center"/>
          </w:tcPr>
          <w:p>
            <w:pPr>
              <w:pStyle w:val="26"/>
              <w:widowControl/>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72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Cs/>
                <w:szCs w:val="21"/>
              </w:rPr>
            </w:pPr>
            <w:r>
              <w:rPr>
                <w:rFonts w:hint="eastAsia" w:ascii="宋体" w:hAnsi="宋体" w:cs="Arial"/>
                <w:bCs/>
                <w:szCs w:val="21"/>
              </w:rPr>
              <w:t>1</w:t>
            </w:r>
          </w:p>
        </w:tc>
        <w:tc>
          <w:tcPr>
            <w:tcW w:w="393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6"/>
              <w:widowControl/>
              <w:spacing w:line="360" w:lineRule="auto"/>
              <w:rPr>
                <w:rFonts w:ascii="宋体" w:hAnsi="宋体"/>
                <w:kern w:val="0"/>
                <w:sz w:val="22"/>
                <w:lang w:val="zh-CN"/>
              </w:rPr>
            </w:pPr>
            <w:r>
              <w:rPr>
                <w:rFonts w:hint="eastAsia" w:ascii="宋体" w:hAnsi="宋体"/>
                <w:kern w:val="0"/>
                <w:sz w:val="22"/>
                <w:lang w:val="zh-CN"/>
              </w:rPr>
              <w:t>提供3年免费升级维护</w:t>
            </w:r>
          </w:p>
        </w:tc>
        <w:tc>
          <w:tcPr>
            <w:tcW w:w="2501" w:type="dxa"/>
            <w:tcBorders>
              <w:top w:val="single" w:color="auto" w:sz="6" w:space="0"/>
              <w:left w:val="single" w:color="auto" w:sz="6" w:space="0"/>
              <w:bottom w:val="single" w:color="auto" w:sz="6" w:space="0"/>
              <w:right w:val="single" w:color="auto" w:sz="6" w:space="0"/>
            </w:tcBorders>
            <w:shd w:val="clear" w:color="auto" w:fill="auto"/>
          </w:tcPr>
          <w:p>
            <w:pPr>
              <w:pStyle w:val="26"/>
              <w:widowControl/>
              <w:spacing w:line="360" w:lineRule="auto"/>
              <w:rPr>
                <w:rFonts w:ascii="宋体" w:hAnsi="宋体" w:cs="Arial"/>
                <w:bCs/>
                <w:szCs w:val="21"/>
              </w:rPr>
            </w:pPr>
            <w:r>
              <w:rPr>
                <w:rFonts w:hint="eastAsia" w:ascii="宋体" w:hAnsi="宋体" w:cs="Arial"/>
                <w:bCs/>
                <w:szCs w:val="21"/>
              </w:rPr>
              <w:t>投标人服务情况：</w:t>
            </w:r>
          </w:p>
        </w:tc>
        <w:tc>
          <w:tcPr>
            <w:tcW w:w="1373" w:type="dxa"/>
            <w:tcBorders>
              <w:top w:val="single" w:color="auto" w:sz="6" w:space="0"/>
              <w:left w:val="single" w:color="auto" w:sz="6" w:space="0"/>
              <w:bottom w:val="single" w:color="auto" w:sz="6" w:space="0"/>
              <w:right w:val="single" w:color="auto" w:sz="4" w:space="0"/>
            </w:tcBorders>
            <w:shd w:val="clear" w:color="auto" w:fill="auto"/>
          </w:tcPr>
          <w:p>
            <w:pPr>
              <w:pStyle w:val="26"/>
              <w:widowControl/>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exact"/>
          <w:jc w:val="center"/>
        </w:trPr>
        <w:tc>
          <w:tcPr>
            <w:tcW w:w="72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Cs/>
                <w:szCs w:val="21"/>
              </w:rPr>
            </w:pPr>
            <w:r>
              <w:rPr>
                <w:rFonts w:hint="eastAsia" w:ascii="宋体" w:hAnsi="宋体" w:cs="Arial"/>
                <w:bCs/>
                <w:szCs w:val="21"/>
              </w:rPr>
              <w:t>2</w:t>
            </w:r>
          </w:p>
        </w:tc>
        <w:tc>
          <w:tcPr>
            <w:tcW w:w="393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6"/>
              <w:widowControl/>
              <w:spacing w:line="360" w:lineRule="auto"/>
              <w:rPr>
                <w:rFonts w:ascii="宋体" w:hAnsi="宋体"/>
                <w:kern w:val="0"/>
                <w:sz w:val="22"/>
                <w:lang w:val="zh-CN"/>
              </w:rPr>
            </w:pPr>
            <w:r>
              <w:rPr>
                <w:rFonts w:hint="eastAsia" w:ascii="宋体" w:hAnsi="宋体"/>
                <w:kern w:val="0"/>
                <w:sz w:val="22"/>
                <w:lang w:val="zh-CN"/>
              </w:rPr>
              <w:t>提供</w:t>
            </w:r>
            <w:r>
              <w:rPr>
                <w:rFonts w:ascii="宋体" w:hAnsi="宋体"/>
                <w:kern w:val="0"/>
                <w:sz w:val="22"/>
                <w:lang w:val="zh-CN"/>
              </w:rPr>
              <w:t>7*</w:t>
            </w:r>
            <w:r>
              <w:rPr>
                <w:rFonts w:hint="eastAsia" w:ascii="宋体" w:hAnsi="宋体"/>
                <w:kern w:val="0"/>
                <w:sz w:val="22"/>
                <w:lang w:val="zh-CN"/>
              </w:rPr>
              <w:t>24小时技术支持热线</w:t>
            </w:r>
          </w:p>
        </w:tc>
        <w:tc>
          <w:tcPr>
            <w:tcW w:w="2501" w:type="dxa"/>
            <w:tcBorders>
              <w:top w:val="single" w:color="auto" w:sz="6" w:space="0"/>
              <w:left w:val="single" w:color="auto" w:sz="6" w:space="0"/>
              <w:bottom w:val="single" w:color="auto" w:sz="6" w:space="0"/>
              <w:right w:val="single" w:color="auto" w:sz="6" w:space="0"/>
            </w:tcBorders>
            <w:shd w:val="clear" w:color="auto" w:fill="auto"/>
          </w:tcPr>
          <w:p>
            <w:pPr>
              <w:pStyle w:val="26"/>
              <w:widowControl/>
              <w:spacing w:line="360" w:lineRule="auto"/>
              <w:jc w:val="left"/>
              <w:rPr>
                <w:rFonts w:ascii="宋体" w:hAnsi="宋体" w:cs="Arial"/>
                <w:bCs/>
                <w:szCs w:val="21"/>
              </w:rPr>
            </w:pPr>
          </w:p>
          <w:p>
            <w:pPr>
              <w:pStyle w:val="26"/>
              <w:widowControl/>
              <w:spacing w:line="360" w:lineRule="auto"/>
              <w:jc w:val="left"/>
              <w:rPr>
                <w:rFonts w:ascii="宋体" w:hAnsi="宋体" w:cs="Arial"/>
                <w:bCs/>
                <w:szCs w:val="21"/>
              </w:rPr>
            </w:pPr>
          </w:p>
          <w:p>
            <w:pPr>
              <w:pStyle w:val="26"/>
              <w:widowControl/>
              <w:spacing w:line="360" w:lineRule="auto"/>
              <w:rPr>
                <w:rFonts w:ascii="宋体" w:hAnsi="宋体" w:cs="Arial"/>
                <w:bCs/>
                <w:szCs w:val="21"/>
              </w:rPr>
            </w:pPr>
          </w:p>
        </w:tc>
        <w:tc>
          <w:tcPr>
            <w:tcW w:w="1373" w:type="dxa"/>
            <w:tcBorders>
              <w:top w:val="single" w:color="auto" w:sz="6" w:space="0"/>
              <w:left w:val="single" w:color="auto" w:sz="6" w:space="0"/>
              <w:bottom w:val="single" w:color="auto" w:sz="6" w:space="0"/>
              <w:right w:val="single" w:color="auto" w:sz="4" w:space="0"/>
            </w:tcBorders>
            <w:shd w:val="clear" w:color="auto" w:fill="auto"/>
          </w:tcPr>
          <w:p>
            <w:pPr>
              <w:pStyle w:val="26"/>
              <w:widowControl/>
              <w:spacing w:line="360" w:lineRule="auto"/>
              <w:jc w:val="left"/>
              <w:rPr>
                <w:rFonts w:ascii="宋体" w:hAnsi="宋体" w:cs="Arial"/>
                <w:bCs/>
                <w:szCs w:val="21"/>
              </w:rPr>
            </w:pPr>
          </w:p>
          <w:p>
            <w:pPr>
              <w:pStyle w:val="26"/>
              <w:widowControl/>
              <w:spacing w:line="360" w:lineRule="auto"/>
              <w:jc w:val="left"/>
              <w:rPr>
                <w:rFonts w:ascii="宋体" w:hAnsi="宋体" w:cs="Arial"/>
                <w:bCs/>
                <w:szCs w:val="21"/>
              </w:rPr>
            </w:pPr>
          </w:p>
          <w:p>
            <w:pPr>
              <w:pStyle w:val="26"/>
              <w:widowControl/>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8" w:hRule="exact"/>
          <w:jc w:val="center"/>
        </w:trPr>
        <w:tc>
          <w:tcPr>
            <w:tcW w:w="72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Cs/>
                <w:szCs w:val="21"/>
              </w:rPr>
            </w:pPr>
            <w:r>
              <w:rPr>
                <w:rFonts w:hint="eastAsia" w:ascii="宋体" w:hAnsi="宋体" w:cs="Arial"/>
                <w:bCs/>
                <w:szCs w:val="21"/>
              </w:rPr>
              <w:t>3</w:t>
            </w:r>
          </w:p>
        </w:tc>
        <w:tc>
          <w:tcPr>
            <w:tcW w:w="393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adjustRightInd w:val="0"/>
              <w:snapToGrid w:val="0"/>
              <w:ind w:firstLine="0" w:firstLineChars="0"/>
              <w:jc w:val="both"/>
              <w:rPr>
                <w:rFonts w:ascii="宋体" w:hAnsi="宋体"/>
                <w:szCs w:val="24"/>
              </w:rPr>
            </w:pPr>
            <w:r>
              <w:rPr>
                <w:rFonts w:hint="eastAsia" w:ascii="宋体" w:hAnsi="宋体"/>
                <w:szCs w:val="24"/>
              </w:rPr>
              <w:t>提供安装调试后1天本地操作培训</w:t>
            </w:r>
          </w:p>
        </w:tc>
        <w:tc>
          <w:tcPr>
            <w:tcW w:w="2501" w:type="dxa"/>
            <w:tcBorders>
              <w:top w:val="single" w:color="auto" w:sz="6" w:space="0"/>
              <w:left w:val="single" w:color="auto" w:sz="6" w:space="0"/>
              <w:bottom w:val="single" w:color="auto" w:sz="6" w:space="0"/>
              <w:right w:val="single" w:color="auto" w:sz="6" w:space="0"/>
            </w:tcBorders>
            <w:shd w:val="clear" w:color="auto" w:fill="auto"/>
          </w:tcPr>
          <w:p>
            <w:pPr>
              <w:pStyle w:val="26"/>
              <w:widowControl/>
              <w:spacing w:line="360" w:lineRule="auto"/>
              <w:jc w:val="left"/>
              <w:rPr>
                <w:rFonts w:ascii="宋体" w:hAnsi="宋体" w:cs="Arial"/>
                <w:bCs/>
                <w:i/>
                <w:szCs w:val="21"/>
              </w:rPr>
            </w:pPr>
          </w:p>
          <w:p>
            <w:pPr>
              <w:pStyle w:val="26"/>
              <w:widowControl/>
              <w:spacing w:line="360" w:lineRule="auto"/>
              <w:jc w:val="left"/>
              <w:rPr>
                <w:rFonts w:ascii="宋体" w:hAnsi="宋体" w:cs="Arial"/>
                <w:bCs/>
                <w:i/>
                <w:szCs w:val="21"/>
              </w:rPr>
            </w:pPr>
          </w:p>
        </w:tc>
        <w:tc>
          <w:tcPr>
            <w:tcW w:w="1373" w:type="dxa"/>
            <w:tcBorders>
              <w:top w:val="single" w:color="auto" w:sz="6" w:space="0"/>
              <w:left w:val="single" w:color="auto" w:sz="6" w:space="0"/>
              <w:bottom w:val="single" w:color="auto" w:sz="6" w:space="0"/>
              <w:right w:val="single" w:color="auto" w:sz="4" w:space="0"/>
            </w:tcBorders>
            <w:shd w:val="clear" w:color="auto" w:fill="auto"/>
          </w:tcPr>
          <w:p>
            <w:pPr>
              <w:pStyle w:val="26"/>
              <w:widowControl/>
              <w:spacing w:line="360" w:lineRule="auto"/>
              <w:jc w:val="left"/>
              <w:rPr>
                <w:rFonts w:ascii="宋体" w:hAnsi="宋体" w:cs="Arial"/>
                <w:bCs/>
                <w:i/>
                <w:szCs w:val="21"/>
              </w:rPr>
            </w:pPr>
          </w:p>
          <w:p>
            <w:pPr>
              <w:pStyle w:val="26"/>
              <w:widowControl/>
              <w:spacing w:line="360" w:lineRule="auto"/>
              <w:jc w:val="left"/>
              <w:rPr>
                <w:rFonts w:ascii="宋体" w:hAnsi="宋体" w:cs="Arial"/>
                <w:bCs/>
                <w:i/>
                <w:szCs w:val="21"/>
              </w:rPr>
            </w:pPr>
          </w:p>
          <w:p>
            <w:pPr>
              <w:pStyle w:val="26"/>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72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6"/>
              <w:widowControl/>
              <w:jc w:val="center"/>
              <w:rPr>
                <w:rFonts w:ascii="宋体" w:hAnsi="宋体" w:cs="Arial"/>
                <w:bCs/>
                <w:szCs w:val="21"/>
              </w:rPr>
            </w:pPr>
            <w:r>
              <w:rPr>
                <w:rFonts w:hint="eastAsia" w:ascii="宋体" w:hAnsi="宋体" w:cs="Arial"/>
                <w:bCs/>
                <w:szCs w:val="21"/>
              </w:rPr>
              <w:t>4</w:t>
            </w:r>
          </w:p>
        </w:tc>
        <w:tc>
          <w:tcPr>
            <w:tcW w:w="393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6"/>
              <w:widowControl/>
              <w:rPr>
                <w:rFonts w:ascii="宋体" w:hAnsi="宋体"/>
                <w:kern w:val="0"/>
                <w:sz w:val="22"/>
                <w:lang w:val="zh-CN"/>
              </w:rPr>
            </w:pPr>
            <w:r>
              <w:rPr>
                <w:rFonts w:hint="eastAsia" w:ascii="宋体" w:hAnsi="宋体"/>
                <w:kern w:val="0"/>
                <w:sz w:val="22"/>
                <w:lang w:val="zh-CN"/>
              </w:rPr>
              <w:t>本地应急响应时间≤2小时</w:t>
            </w:r>
          </w:p>
        </w:tc>
        <w:tc>
          <w:tcPr>
            <w:tcW w:w="2501" w:type="dxa"/>
            <w:tcBorders>
              <w:top w:val="single" w:color="auto" w:sz="6" w:space="0"/>
              <w:left w:val="single" w:color="auto" w:sz="6" w:space="0"/>
              <w:bottom w:val="single" w:color="auto" w:sz="6" w:space="0"/>
              <w:right w:val="single" w:color="auto" w:sz="6" w:space="0"/>
            </w:tcBorders>
            <w:shd w:val="clear" w:color="auto" w:fill="auto"/>
          </w:tcPr>
          <w:p>
            <w:pPr>
              <w:pStyle w:val="26"/>
              <w:widowControl/>
              <w:spacing w:line="360" w:lineRule="auto"/>
              <w:jc w:val="left"/>
              <w:rPr>
                <w:rFonts w:ascii="宋体" w:hAnsi="宋体" w:cs="Arial"/>
                <w:bCs/>
                <w:szCs w:val="21"/>
              </w:rPr>
            </w:pPr>
          </w:p>
        </w:tc>
        <w:tc>
          <w:tcPr>
            <w:tcW w:w="1373" w:type="dxa"/>
            <w:tcBorders>
              <w:top w:val="single" w:color="auto" w:sz="6" w:space="0"/>
              <w:left w:val="single" w:color="auto" w:sz="6" w:space="0"/>
              <w:bottom w:val="single" w:color="auto" w:sz="6" w:space="0"/>
              <w:right w:val="single" w:color="auto" w:sz="4" w:space="0"/>
            </w:tcBorders>
            <w:shd w:val="clear" w:color="auto" w:fill="auto"/>
          </w:tcPr>
          <w:p>
            <w:pPr>
              <w:pStyle w:val="26"/>
              <w:widowControl/>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64" w:hRule="exact"/>
          <w:jc w:val="center"/>
        </w:trPr>
        <w:tc>
          <w:tcPr>
            <w:tcW w:w="724"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6"/>
              <w:widowControl/>
              <w:spacing w:line="360" w:lineRule="auto"/>
              <w:jc w:val="center"/>
              <w:rPr>
                <w:rFonts w:ascii="宋体" w:hAnsi="宋体" w:cs="Arial"/>
                <w:bCs/>
                <w:szCs w:val="21"/>
              </w:rPr>
            </w:pPr>
            <w:r>
              <w:rPr>
                <w:rFonts w:hint="eastAsia" w:ascii="宋体" w:hAnsi="宋体" w:cs="Arial"/>
                <w:bCs/>
                <w:szCs w:val="21"/>
              </w:rPr>
              <w:t>5</w:t>
            </w:r>
          </w:p>
        </w:tc>
        <w:tc>
          <w:tcPr>
            <w:tcW w:w="393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adjustRightInd w:val="0"/>
              <w:snapToGrid w:val="0"/>
              <w:ind w:firstLine="0" w:firstLineChars="0"/>
              <w:jc w:val="both"/>
              <w:rPr>
                <w:rFonts w:ascii="宋体" w:hAnsi="宋体"/>
                <w:szCs w:val="24"/>
              </w:rPr>
            </w:pPr>
            <w:r>
              <w:rPr>
                <w:rFonts w:hint="eastAsia" w:ascii="宋体" w:hAnsi="宋体"/>
                <w:sz w:val="24"/>
                <w:szCs w:val="24"/>
                <w:lang w:val="en-US"/>
              </w:rPr>
              <w:t>产品原厂商项目经理须同时具备以下5个认证中至少2项：①项目管理专业人士资格认证（PMP）、②注册信息安全专业人员认证（CISP）、③信息安全保障人员认证（CISAW(安全集成专业级））、④信息安全保障人员认证（CISAW(安全运维专业级））、⑤</w:t>
            </w:r>
            <w:r>
              <w:rPr>
                <w:rFonts w:ascii="宋体" w:hAnsi="宋体"/>
                <w:sz w:val="24"/>
                <w:szCs w:val="24"/>
              </w:rPr>
              <w:t>信息安全管理体系认证</w:t>
            </w:r>
            <w:r>
              <w:rPr>
                <w:rFonts w:hint="eastAsia" w:ascii="宋体" w:hAnsi="宋体"/>
                <w:sz w:val="24"/>
                <w:szCs w:val="24"/>
              </w:rPr>
              <w:t>（</w:t>
            </w:r>
            <w:r>
              <w:rPr>
                <w:rFonts w:hint="eastAsia" w:ascii="宋体" w:hAnsi="宋体"/>
                <w:sz w:val="24"/>
                <w:szCs w:val="24"/>
                <w:lang w:val="en-US"/>
              </w:rPr>
              <w:t>ISO27001 Foundation</w:t>
            </w:r>
            <w:r>
              <w:rPr>
                <w:rFonts w:hint="eastAsia" w:ascii="宋体" w:hAnsi="宋体"/>
                <w:sz w:val="24"/>
                <w:szCs w:val="24"/>
              </w:rPr>
              <w:t>）。</w:t>
            </w:r>
            <w:r>
              <w:rPr>
                <w:rFonts w:hint="eastAsia" w:hAnsi="宋体"/>
              </w:rPr>
              <w:t>（提供相关证书复印件及近三个月内浙江省社保证明）</w:t>
            </w:r>
          </w:p>
        </w:tc>
        <w:tc>
          <w:tcPr>
            <w:tcW w:w="2501" w:type="dxa"/>
            <w:tcBorders>
              <w:top w:val="single" w:color="auto" w:sz="6" w:space="0"/>
              <w:left w:val="single" w:color="auto" w:sz="6" w:space="0"/>
              <w:bottom w:val="single" w:color="auto" w:sz="6" w:space="0"/>
              <w:right w:val="single" w:color="auto" w:sz="6" w:space="0"/>
            </w:tcBorders>
            <w:shd w:val="clear" w:color="auto" w:fill="auto"/>
          </w:tcPr>
          <w:p>
            <w:pPr>
              <w:pStyle w:val="26"/>
              <w:widowControl/>
              <w:spacing w:line="360" w:lineRule="auto"/>
              <w:jc w:val="left"/>
              <w:rPr>
                <w:rFonts w:ascii="宋体" w:hAnsi="宋体" w:cs="Arial"/>
                <w:bCs/>
                <w:szCs w:val="21"/>
              </w:rPr>
            </w:pPr>
          </w:p>
        </w:tc>
        <w:tc>
          <w:tcPr>
            <w:tcW w:w="1373" w:type="dxa"/>
            <w:tcBorders>
              <w:top w:val="single" w:color="auto" w:sz="6" w:space="0"/>
              <w:left w:val="single" w:color="auto" w:sz="6" w:space="0"/>
              <w:bottom w:val="single" w:color="auto" w:sz="6" w:space="0"/>
              <w:right w:val="single" w:color="auto" w:sz="4" w:space="0"/>
            </w:tcBorders>
            <w:shd w:val="clear" w:color="auto" w:fill="auto"/>
          </w:tcPr>
          <w:p>
            <w:pPr>
              <w:pStyle w:val="26"/>
              <w:widowControl/>
              <w:spacing w:line="360" w:lineRule="auto"/>
              <w:jc w:val="left"/>
              <w:rPr>
                <w:rFonts w:ascii="宋体" w:hAnsi="宋体" w:cs="Arial"/>
                <w:bCs/>
                <w:szCs w:val="21"/>
              </w:rPr>
            </w:pPr>
          </w:p>
        </w:tc>
      </w:tr>
    </w:tbl>
    <w:p>
      <w:pPr>
        <w:widowControl w:val="0"/>
        <w:spacing w:line="360" w:lineRule="auto"/>
        <w:ind w:left="420"/>
        <w:jc w:val="both"/>
        <w:rPr>
          <w:rFonts w:ascii="宋体" w:hAnsi="宋体" w:cs="宋体"/>
          <w:sz w:val="24"/>
          <w:szCs w:val="24"/>
        </w:rPr>
      </w:pPr>
    </w:p>
    <w:p>
      <w:pPr>
        <w:widowControl w:val="0"/>
        <w:spacing w:line="360" w:lineRule="auto"/>
        <w:ind w:firstLine="480" w:firstLineChars="200"/>
        <w:jc w:val="both"/>
        <w:rPr>
          <w:rFonts w:ascii="宋体" w:hAnsi="宋体" w:cs="宋体"/>
          <w:sz w:val="24"/>
          <w:szCs w:val="24"/>
          <w:u w:val="single"/>
        </w:rPr>
      </w:pPr>
      <w:r>
        <w:rPr>
          <w:rFonts w:hint="eastAsia" w:ascii="宋体" w:hAnsi="宋体" w:cs="宋体"/>
          <w:kern w:val="2"/>
          <w:sz w:val="24"/>
          <w:szCs w:val="24"/>
          <w:lang w:bidi="ar"/>
        </w:rPr>
        <w:t>供应商名称（盖章）：</w:t>
      </w:r>
      <w:r>
        <w:rPr>
          <w:rFonts w:hint="eastAsia" w:ascii="宋体" w:hAnsi="宋体" w:cs="宋体"/>
          <w:kern w:val="2"/>
          <w:sz w:val="24"/>
          <w:szCs w:val="24"/>
          <w:u w:val="single"/>
          <w:lang w:bidi="ar"/>
        </w:rPr>
        <w:t xml:space="preserve">                      </w:t>
      </w:r>
    </w:p>
    <w:p>
      <w:pPr>
        <w:widowControl w:val="0"/>
        <w:spacing w:line="360" w:lineRule="auto"/>
        <w:ind w:left="420"/>
        <w:jc w:val="both"/>
        <w:rPr>
          <w:rFonts w:ascii="宋体" w:hAnsi="宋体" w:cs="宋体"/>
          <w:sz w:val="24"/>
          <w:szCs w:val="24"/>
        </w:rPr>
      </w:pPr>
      <w:r>
        <w:rPr>
          <w:rFonts w:hint="eastAsia" w:ascii="宋体" w:hAnsi="宋体" w:cs="宋体"/>
          <w:kern w:val="2"/>
          <w:sz w:val="24"/>
          <w:szCs w:val="24"/>
          <w:lang w:bidi="ar"/>
        </w:rPr>
        <w:t xml:space="preserve"> </w:t>
      </w:r>
    </w:p>
    <w:p>
      <w:pPr>
        <w:widowControl w:val="0"/>
        <w:spacing w:line="360" w:lineRule="auto"/>
        <w:ind w:firstLine="435"/>
        <w:jc w:val="both"/>
        <w:rPr>
          <w:rFonts w:ascii="宋体" w:hAnsi="宋体" w:cs="宋体"/>
          <w:sz w:val="24"/>
          <w:szCs w:val="24"/>
        </w:rPr>
      </w:pPr>
      <w:r>
        <w:rPr>
          <w:rFonts w:hint="eastAsia" w:ascii="宋体" w:hAnsi="宋体" w:cs="宋体"/>
          <w:kern w:val="2"/>
          <w:sz w:val="24"/>
          <w:szCs w:val="24"/>
          <w:lang w:bidi="ar"/>
        </w:rPr>
        <w:t>供应商代表签字：</w:t>
      </w:r>
      <w:r>
        <w:rPr>
          <w:rFonts w:hint="eastAsia" w:ascii="宋体" w:hAnsi="宋体" w:cs="宋体"/>
          <w:kern w:val="2"/>
          <w:sz w:val="24"/>
          <w:szCs w:val="24"/>
          <w:u w:val="single"/>
          <w:lang w:bidi="ar"/>
        </w:rPr>
        <w:t xml:space="preserve">                          </w:t>
      </w:r>
    </w:p>
    <w:p>
      <w:pPr>
        <w:widowControl w:val="0"/>
        <w:spacing w:line="360" w:lineRule="auto"/>
        <w:ind w:firstLine="435"/>
        <w:jc w:val="both"/>
        <w:rPr>
          <w:rFonts w:ascii="宋体" w:hAnsi="宋体" w:cs="宋体"/>
          <w:sz w:val="24"/>
          <w:szCs w:val="24"/>
        </w:rPr>
      </w:pPr>
    </w:p>
    <w:p>
      <w:pPr>
        <w:widowControl w:val="0"/>
        <w:spacing w:line="360" w:lineRule="auto"/>
        <w:ind w:firstLine="435"/>
        <w:jc w:val="both"/>
        <w:rPr>
          <w:rFonts w:ascii="宋体" w:hAnsi="宋体" w:cs="宋体"/>
          <w:sz w:val="24"/>
          <w:szCs w:val="24"/>
        </w:rPr>
      </w:pPr>
      <w:r>
        <w:rPr>
          <w:rFonts w:hint="eastAsia" w:ascii="宋体" w:hAnsi="宋体" w:cs="宋体"/>
          <w:kern w:val="2"/>
          <w:sz w:val="24"/>
          <w:szCs w:val="24"/>
          <w:lang w:bidi="ar"/>
        </w:rPr>
        <w:t>职        务：</w:t>
      </w:r>
      <w:r>
        <w:rPr>
          <w:rFonts w:hint="eastAsia" w:ascii="宋体" w:hAnsi="宋体" w:cs="宋体"/>
          <w:kern w:val="2"/>
          <w:sz w:val="24"/>
          <w:szCs w:val="24"/>
          <w:u w:val="single"/>
          <w:lang w:bidi="ar"/>
        </w:rPr>
        <w:t xml:space="preserve">                            </w:t>
      </w:r>
    </w:p>
    <w:p>
      <w:pPr>
        <w:widowControl w:val="0"/>
        <w:spacing w:line="360" w:lineRule="auto"/>
        <w:ind w:firstLine="435"/>
        <w:jc w:val="both"/>
        <w:rPr>
          <w:rFonts w:ascii="宋体" w:hAnsi="宋体" w:cs="宋体"/>
          <w:sz w:val="24"/>
          <w:szCs w:val="24"/>
        </w:rPr>
      </w:pPr>
    </w:p>
    <w:p>
      <w:pPr>
        <w:widowControl w:val="0"/>
        <w:spacing w:line="360" w:lineRule="auto"/>
        <w:ind w:firstLine="435"/>
        <w:jc w:val="both"/>
      </w:pPr>
      <w:r>
        <w:rPr>
          <w:rFonts w:hint="eastAsia" w:ascii="宋体" w:hAnsi="宋体" w:cs="宋体"/>
          <w:kern w:val="2"/>
          <w:sz w:val="24"/>
          <w:szCs w:val="24"/>
          <w:lang w:bidi="ar"/>
        </w:rPr>
        <w:t>日        期：</w:t>
      </w:r>
      <w:r>
        <w:rPr>
          <w:rFonts w:hint="eastAsia" w:ascii="宋体" w:hAnsi="宋体" w:cs="宋体"/>
          <w:kern w:val="2"/>
          <w:sz w:val="24"/>
          <w:szCs w:val="24"/>
          <w:u w:val="single"/>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29"/>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1">
    <w:nsid w:val="509BA2C8"/>
    <w:multiLevelType w:val="singleLevel"/>
    <w:tmpl w:val="509BA2C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4C0080"/>
    <w:rsid w:val="00000BE5"/>
    <w:rsid w:val="00007E11"/>
    <w:rsid w:val="00010859"/>
    <w:rsid w:val="00014667"/>
    <w:rsid w:val="000155F7"/>
    <w:rsid w:val="00015792"/>
    <w:rsid w:val="00015A02"/>
    <w:rsid w:val="000168EF"/>
    <w:rsid w:val="00017FE5"/>
    <w:rsid w:val="00020F60"/>
    <w:rsid w:val="000250F9"/>
    <w:rsid w:val="000252B9"/>
    <w:rsid w:val="00060036"/>
    <w:rsid w:val="000633C8"/>
    <w:rsid w:val="00065C44"/>
    <w:rsid w:val="000670FE"/>
    <w:rsid w:val="00075B3E"/>
    <w:rsid w:val="00096A86"/>
    <w:rsid w:val="000A040D"/>
    <w:rsid w:val="000A0F74"/>
    <w:rsid w:val="000A786C"/>
    <w:rsid w:val="000B3126"/>
    <w:rsid w:val="000B5B64"/>
    <w:rsid w:val="000B667C"/>
    <w:rsid w:val="000E1797"/>
    <w:rsid w:val="000F3C4E"/>
    <w:rsid w:val="000F6F5F"/>
    <w:rsid w:val="00101EA2"/>
    <w:rsid w:val="00117415"/>
    <w:rsid w:val="00152225"/>
    <w:rsid w:val="00167F69"/>
    <w:rsid w:val="0017256F"/>
    <w:rsid w:val="00180785"/>
    <w:rsid w:val="0019397A"/>
    <w:rsid w:val="00197857"/>
    <w:rsid w:val="001A3479"/>
    <w:rsid w:val="001A6838"/>
    <w:rsid w:val="001A69DB"/>
    <w:rsid w:val="001B53E1"/>
    <w:rsid w:val="001B7BD8"/>
    <w:rsid w:val="001C04BB"/>
    <w:rsid w:val="001D0044"/>
    <w:rsid w:val="001F2D60"/>
    <w:rsid w:val="0020563C"/>
    <w:rsid w:val="00222B4A"/>
    <w:rsid w:val="002260DD"/>
    <w:rsid w:val="00242046"/>
    <w:rsid w:val="002445F0"/>
    <w:rsid w:val="00247F96"/>
    <w:rsid w:val="00250F3D"/>
    <w:rsid w:val="002522E5"/>
    <w:rsid w:val="00256A79"/>
    <w:rsid w:val="002630A6"/>
    <w:rsid w:val="002630CA"/>
    <w:rsid w:val="00263C6F"/>
    <w:rsid w:val="00275566"/>
    <w:rsid w:val="002A1A77"/>
    <w:rsid w:val="002A28B1"/>
    <w:rsid w:val="002B13B4"/>
    <w:rsid w:val="002B33D1"/>
    <w:rsid w:val="002D6370"/>
    <w:rsid w:val="002E1DD2"/>
    <w:rsid w:val="002E6002"/>
    <w:rsid w:val="002F4094"/>
    <w:rsid w:val="00306FF7"/>
    <w:rsid w:val="00313418"/>
    <w:rsid w:val="003154A8"/>
    <w:rsid w:val="00316183"/>
    <w:rsid w:val="00320AC6"/>
    <w:rsid w:val="003217EA"/>
    <w:rsid w:val="003242A0"/>
    <w:rsid w:val="00324620"/>
    <w:rsid w:val="00330489"/>
    <w:rsid w:val="00331768"/>
    <w:rsid w:val="00340C16"/>
    <w:rsid w:val="00345216"/>
    <w:rsid w:val="0036181E"/>
    <w:rsid w:val="003700C1"/>
    <w:rsid w:val="003900F5"/>
    <w:rsid w:val="00390218"/>
    <w:rsid w:val="003964FE"/>
    <w:rsid w:val="003A378D"/>
    <w:rsid w:val="003A3B45"/>
    <w:rsid w:val="003A3D5D"/>
    <w:rsid w:val="003B44CC"/>
    <w:rsid w:val="003E3BDC"/>
    <w:rsid w:val="003F4055"/>
    <w:rsid w:val="003F79FC"/>
    <w:rsid w:val="004063D6"/>
    <w:rsid w:val="00410CCE"/>
    <w:rsid w:val="004317D0"/>
    <w:rsid w:val="0043553A"/>
    <w:rsid w:val="00440143"/>
    <w:rsid w:val="00445B99"/>
    <w:rsid w:val="00446BC8"/>
    <w:rsid w:val="004517E1"/>
    <w:rsid w:val="0045224F"/>
    <w:rsid w:val="00453653"/>
    <w:rsid w:val="00461FA3"/>
    <w:rsid w:val="00467400"/>
    <w:rsid w:val="0047708D"/>
    <w:rsid w:val="004802F4"/>
    <w:rsid w:val="0048212E"/>
    <w:rsid w:val="00484A21"/>
    <w:rsid w:val="0048539C"/>
    <w:rsid w:val="004A2576"/>
    <w:rsid w:val="004C0080"/>
    <w:rsid w:val="004D1C5B"/>
    <w:rsid w:val="004F2BC8"/>
    <w:rsid w:val="004F4E7C"/>
    <w:rsid w:val="004F7D76"/>
    <w:rsid w:val="00507A19"/>
    <w:rsid w:val="00510C0B"/>
    <w:rsid w:val="0051154D"/>
    <w:rsid w:val="005154C3"/>
    <w:rsid w:val="00523E89"/>
    <w:rsid w:val="005259BC"/>
    <w:rsid w:val="00525B74"/>
    <w:rsid w:val="0053615F"/>
    <w:rsid w:val="005377D0"/>
    <w:rsid w:val="00572666"/>
    <w:rsid w:val="00587F4D"/>
    <w:rsid w:val="00595200"/>
    <w:rsid w:val="005A41FB"/>
    <w:rsid w:val="005B4029"/>
    <w:rsid w:val="005B7103"/>
    <w:rsid w:val="005B7BF9"/>
    <w:rsid w:val="005B7C78"/>
    <w:rsid w:val="005C618B"/>
    <w:rsid w:val="005D5561"/>
    <w:rsid w:val="005E09AA"/>
    <w:rsid w:val="005E4CFC"/>
    <w:rsid w:val="005F1190"/>
    <w:rsid w:val="005F555F"/>
    <w:rsid w:val="005F7138"/>
    <w:rsid w:val="006000A3"/>
    <w:rsid w:val="00601E6B"/>
    <w:rsid w:val="006051CB"/>
    <w:rsid w:val="00607D04"/>
    <w:rsid w:val="00612089"/>
    <w:rsid w:val="00616050"/>
    <w:rsid w:val="00616051"/>
    <w:rsid w:val="00630AFF"/>
    <w:rsid w:val="00640FF0"/>
    <w:rsid w:val="00644037"/>
    <w:rsid w:val="0065503A"/>
    <w:rsid w:val="006612CF"/>
    <w:rsid w:val="00666678"/>
    <w:rsid w:val="006910BA"/>
    <w:rsid w:val="00693478"/>
    <w:rsid w:val="00696B85"/>
    <w:rsid w:val="006A5D2A"/>
    <w:rsid w:val="006B085A"/>
    <w:rsid w:val="006B4BAA"/>
    <w:rsid w:val="006C78B7"/>
    <w:rsid w:val="006C7C24"/>
    <w:rsid w:val="006D427D"/>
    <w:rsid w:val="007368A1"/>
    <w:rsid w:val="00741D06"/>
    <w:rsid w:val="00751D66"/>
    <w:rsid w:val="00752094"/>
    <w:rsid w:val="00763B38"/>
    <w:rsid w:val="00764C3B"/>
    <w:rsid w:val="00782D4F"/>
    <w:rsid w:val="007834C7"/>
    <w:rsid w:val="00793C13"/>
    <w:rsid w:val="00793EA8"/>
    <w:rsid w:val="0079409F"/>
    <w:rsid w:val="007B1C25"/>
    <w:rsid w:val="007B3AF1"/>
    <w:rsid w:val="007C6981"/>
    <w:rsid w:val="007C7D5B"/>
    <w:rsid w:val="007D43AE"/>
    <w:rsid w:val="007D78B2"/>
    <w:rsid w:val="007E58E3"/>
    <w:rsid w:val="007F01BB"/>
    <w:rsid w:val="007F300A"/>
    <w:rsid w:val="007F7550"/>
    <w:rsid w:val="00806251"/>
    <w:rsid w:val="008120B9"/>
    <w:rsid w:val="00820DC4"/>
    <w:rsid w:val="00822AA7"/>
    <w:rsid w:val="008266A9"/>
    <w:rsid w:val="00830C05"/>
    <w:rsid w:val="008312F5"/>
    <w:rsid w:val="0083255A"/>
    <w:rsid w:val="00843CF0"/>
    <w:rsid w:val="008502F6"/>
    <w:rsid w:val="00850D22"/>
    <w:rsid w:val="00851399"/>
    <w:rsid w:val="0085530F"/>
    <w:rsid w:val="0086691B"/>
    <w:rsid w:val="00867907"/>
    <w:rsid w:val="008711D6"/>
    <w:rsid w:val="00874231"/>
    <w:rsid w:val="0088421B"/>
    <w:rsid w:val="00890F0A"/>
    <w:rsid w:val="008A1451"/>
    <w:rsid w:val="008A3B7A"/>
    <w:rsid w:val="008A3D05"/>
    <w:rsid w:val="008A4A9A"/>
    <w:rsid w:val="008A5F79"/>
    <w:rsid w:val="008B33BB"/>
    <w:rsid w:val="008B4DE2"/>
    <w:rsid w:val="008B6F47"/>
    <w:rsid w:val="008C07D2"/>
    <w:rsid w:val="008C7592"/>
    <w:rsid w:val="008D1C91"/>
    <w:rsid w:val="008D275F"/>
    <w:rsid w:val="008E2491"/>
    <w:rsid w:val="008E55F8"/>
    <w:rsid w:val="00901AAE"/>
    <w:rsid w:val="00902DFA"/>
    <w:rsid w:val="00903570"/>
    <w:rsid w:val="00905FFF"/>
    <w:rsid w:val="00913493"/>
    <w:rsid w:val="00915D1F"/>
    <w:rsid w:val="009252E9"/>
    <w:rsid w:val="009334CC"/>
    <w:rsid w:val="00942B57"/>
    <w:rsid w:val="0094656C"/>
    <w:rsid w:val="00947311"/>
    <w:rsid w:val="00954D93"/>
    <w:rsid w:val="00964C0E"/>
    <w:rsid w:val="0098268F"/>
    <w:rsid w:val="00986EC8"/>
    <w:rsid w:val="00990FCC"/>
    <w:rsid w:val="009A5ADD"/>
    <w:rsid w:val="009B217F"/>
    <w:rsid w:val="009B5634"/>
    <w:rsid w:val="009C6E57"/>
    <w:rsid w:val="009D03ED"/>
    <w:rsid w:val="009D18C1"/>
    <w:rsid w:val="00A060FB"/>
    <w:rsid w:val="00A1162B"/>
    <w:rsid w:val="00A21B91"/>
    <w:rsid w:val="00A231E2"/>
    <w:rsid w:val="00A27ED4"/>
    <w:rsid w:val="00A40017"/>
    <w:rsid w:val="00A633D1"/>
    <w:rsid w:val="00A65A1D"/>
    <w:rsid w:val="00A71C2E"/>
    <w:rsid w:val="00A81A14"/>
    <w:rsid w:val="00A9542D"/>
    <w:rsid w:val="00A96096"/>
    <w:rsid w:val="00A962F9"/>
    <w:rsid w:val="00AA71DF"/>
    <w:rsid w:val="00AB0D26"/>
    <w:rsid w:val="00AB5230"/>
    <w:rsid w:val="00AB55E5"/>
    <w:rsid w:val="00AC5CA2"/>
    <w:rsid w:val="00AE1244"/>
    <w:rsid w:val="00AE2176"/>
    <w:rsid w:val="00AF7AD9"/>
    <w:rsid w:val="00B016F8"/>
    <w:rsid w:val="00B02A76"/>
    <w:rsid w:val="00B06CC4"/>
    <w:rsid w:val="00B14FD1"/>
    <w:rsid w:val="00B30312"/>
    <w:rsid w:val="00B414A9"/>
    <w:rsid w:val="00B437A5"/>
    <w:rsid w:val="00B44702"/>
    <w:rsid w:val="00B44728"/>
    <w:rsid w:val="00B512CE"/>
    <w:rsid w:val="00B528E9"/>
    <w:rsid w:val="00B53856"/>
    <w:rsid w:val="00B56092"/>
    <w:rsid w:val="00B617D8"/>
    <w:rsid w:val="00B6183D"/>
    <w:rsid w:val="00B61C89"/>
    <w:rsid w:val="00B648A4"/>
    <w:rsid w:val="00B71B7B"/>
    <w:rsid w:val="00B84406"/>
    <w:rsid w:val="00B93E7C"/>
    <w:rsid w:val="00BA2815"/>
    <w:rsid w:val="00BA6D21"/>
    <w:rsid w:val="00BC0F5C"/>
    <w:rsid w:val="00BC2113"/>
    <w:rsid w:val="00BC3D9C"/>
    <w:rsid w:val="00BE2804"/>
    <w:rsid w:val="00BE44F1"/>
    <w:rsid w:val="00BF50B1"/>
    <w:rsid w:val="00C12334"/>
    <w:rsid w:val="00C13B30"/>
    <w:rsid w:val="00C22DED"/>
    <w:rsid w:val="00C35030"/>
    <w:rsid w:val="00C3582E"/>
    <w:rsid w:val="00C35FE9"/>
    <w:rsid w:val="00C37C70"/>
    <w:rsid w:val="00C41810"/>
    <w:rsid w:val="00C57AD5"/>
    <w:rsid w:val="00C610F5"/>
    <w:rsid w:val="00C7158D"/>
    <w:rsid w:val="00C7653E"/>
    <w:rsid w:val="00CB583C"/>
    <w:rsid w:val="00CC1D13"/>
    <w:rsid w:val="00CD0014"/>
    <w:rsid w:val="00CD0AC9"/>
    <w:rsid w:val="00CD4E52"/>
    <w:rsid w:val="00CF77DC"/>
    <w:rsid w:val="00D01749"/>
    <w:rsid w:val="00D12531"/>
    <w:rsid w:val="00D14257"/>
    <w:rsid w:val="00D315A7"/>
    <w:rsid w:val="00D35D03"/>
    <w:rsid w:val="00D36BF3"/>
    <w:rsid w:val="00D4054F"/>
    <w:rsid w:val="00D42FC7"/>
    <w:rsid w:val="00D43C1E"/>
    <w:rsid w:val="00D44E74"/>
    <w:rsid w:val="00D54BA1"/>
    <w:rsid w:val="00D56E5F"/>
    <w:rsid w:val="00D63D1B"/>
    <w:rsid w:val="00D660E7"/>
    <w:rsid w:val="00D66A57"/>
    <w:rsid w:val="00D70964"/>
    <w:rsid w:val="00D71DAD"/>
    <w:rsid w:val="00D75843"/>
    <w:rsid w:val="00D929D5"/>
    <w:rsid w:val="00DB2EEA"/>
    <w:rsid w:val="00DB3ED0"/>
    <w:rsid w:val="00DB55B7"/>
    <w:rsid w:val="00DB5ED9"/>
    <w:rsid w:val="00DC03F1"/>
    <w:rsid w:val="00DD4206"/>
    <w:rsid w:val="00DE3C51"/>
    <w:rsid w:val="00DF110A"/>
    <w:rsid w:val="00DF16C6"/>
    <w:rsid w:val="00E20517"/>
    <w:rsid w:val="00E24E0E"/>
    <w:rsid w:val="00E33A7D"/>
    <w:rsid w:val="00E409EE"/>
    <w:rsid w:val="00E50282"/>
    <w:rsid w:val="00E5053D"/>
    <w:rsid w:val="00E5213C"/>
    <w:rsid w:val="00E56C6B"/>
    <w:rsid w:val="00E56F5B"/>
    <w:rsid w:val="00E574EC"/>
    <w:rsid w:val="00E73B17"/>
    <w:rsid w:val="00E7749B"/>
    <w:rsid w:val="00E858F6"/>
    <w:rsid w:val="00E91291"/>
    <w:rsid w:val="00EB0B9B"/>
    <w:rsid w:val="00EC1E3D"/>
    <w:rsid w:val="00EC632E"/>
    <w:rsid w:val="00ED3C23"/>
    <w:rsid w:val="00EE18BC"/>
    <w:rsid w:val="00EE37C2"/>
    <w:rsid w:val="00EF3A89"/>
    <w:rsid w:val="00EF5315"/>
    <w:rsid w:val="00F43014"/>
    <w:rsid w:val="00F47483"/>
    <w:rsid w:val="00F60D64"/>
    <w:rsid w:val="00F75A1A"/>
    <w:rsid w:val="00F77A31"/>
    <w:rsid w:val="00F84FF2"/>
    <w:rsid w:val="00FA2E0C"/>
    <w:rsid w:val="00FA7C73"/>
    <w:rsid w:val="00FB4900"/>
    <w:rsid w:val="00FC236A"/>
    <w:rsid w:val="00FC4F61"/>
    <w:rsid w:val="00FD4329"/>
    <w:rsid w:val="00FE19AC"/>
    <w:rsid w:val="00FF0777"/>
    <w:rsid w:val="00FF5F5F"/>
    <w:rsid w:val="00FF680D"/>
    <w:rsid w:val="00FF7430"/>
    <w:rsid w:val="01470B56"/>
    <w:rsid w:val="04CB10A9"/>
    <w:rsid w:val="051606CF"/>
    <w:rsid w:val="079202DC"/>
    <w:rsid w:val="0A904AB0"/>
    <w:rsid w:val="0BCF7047"/>
    <w:rsid w:val="0BE15229"/>
    <w:rsid w:val="0CB473C4"/>
    <w:rsid w:val="0D540D8E"/>
    <w:rsid w:val="0E170A16"/>
    <w:rsid w:val="0F5C48EB"/>
    <w:rsid w:val="0F7D272D"/>
    <w:rsid w:val="106F3884"/>
    <w:rsid w:val="132220F7"/>
    <w:rsid w:val="13B11985"/>
    <w:rsid w:val="14EA20CB"/>
    <w:rsid w:val="15A91789"/>
    <w:rsid w:val="17B97737"/>
    <w:rsid w:val="17DC3365"/>
    <w:rsid w:val="1BA866A6"/>
    <w:rsid w:val="1D063A38"/>
    <w:rsid w:val="1D0D4883"/>
    <w:rsid w:val="1D3B7CAA"/>
    <w:rsid w:val="20772A69"/>
    <w:rsid w:val="20FF0192"/>
    <w:rsid w:val="22EB258A"/>
    <w:rsid w:val="252575B7"/>
    <w:rsid w:val="26E14266"/>
    <w:rsid w:val="28CE0F6C"/>
    <w:rsid w:val="28F50C52"/>
    <w:rsid w:val="29C436C0"/>
    <w:rsid w:val="29F716F5"/>
    <w:rsid w:val="2ABC6B90"/>
    <w:rsid w:val="2C820421"/>
    <w:rsid w:val="2D053972"/>
    <w:rsid w:val="2DF4661F"/>
    <w:rsid w:val="2F0327F4"/>
    <w:rsid w:val="2F5A6B05"/>
    <w:rsid w:val="303B489C"/>
    <w:rsid w:val="30920A2C"/>
    <w:rsid w:val="30E80382"/>
    <w:rsid w:val="34547F01"/>
    <w:rsid w:val="34D90C85"/>
    <w:rsid w:val="36EB7A32"/>
    <w:rsid w:val="383F2C8C"/>
    <w:rsid w:val="397D41A7"/>
    <w:rsid w:val="39A5274C"/>
    <w:rsid w:val="39F109FD"/>
    <w:rsid w:val="3AD76FE7"/>
    <w:rsid w:val="3F7C2A67"/>
    <w:rsid w:val="42F33BDC"/>
    <w:rsid w:val="46A25A05"/>
    <w:rsid w:val="49C224E1"/>
    <w:rsid w:val="4B6D5B3B"/>
    <w:rsid w:val="4C5C26DA"/>
    <w:rsid w:val="50447FBE"/>
    <w:rsid w:val="50FC1B83"/>
    <w:rsid w:val="521432C1"/>
    <w:rsid w:val="57C80505"/>
    <w:rsid w:val="5DAF3A74"/>
    <w:rsid w:val="60BC2373"/>
    <w:rsid w:val="612B36FA"/>
    <w:rsid w:val="627D69B1"/>
    <w:rsid w:val="63337A93"/>
    <w:rsid w:val="63375D7F"/>
    <w:rsid w:val="64765BAF"/>
    <w:rsid w:val="67903A60"/>
    <w:rsid w:val="6C0A09FF"/>
    <w:rsid w:val="6F904270"/>
    <w:rsid w:val="6FA42F72"/>
    <w:rsid w:val="74F704F1"/>
    <w:rsid w:val="753951C6"/>
    <w:rsid w:val="78221631"/>
    <w:rsid w:val="7FEE367E"/>
    <w:rsid w:val="AEDA9825"/>
    <w:rsid w:val="BDFD6870"/>
    <w:rsid w:val="C3FE1B75"/>
    <w:rsid w:val="D1BA9240"/>
    <w:rsid w:val="D50601FD"/>
    <w:rsid w:val="FEBFB0B2"/>
    <w:rsid w:val="FEFA2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autoRedefine/>
    <w:qFormat/>
    <w:uiPriority w:val="0"/>
    <w:pPr>
      <w:keepNext/>
      <w:keepLines/>
      <w:spacing w:line="360" w:lineRule="auto"/>
      <w:jc w:val="center"/>
      <w:outlineLvl w:val="0"/>
    </w:pPr>
    <w:rPr>
      <w:b/>
      <w:kern w:val="44"/>
      <w:sz w:val="32"/>
    </w:rPr>
  </w:style>
  <w:style w:type="paragraph" w:styleId="4">
    <w:name w:val="heading 2"/>
    <w:basedOn w:val="1"/>
    <w:next w:val="1"/>
    <w:autoRedefine/>
    <w:semiHidden/>
    <w:unhideWhenUsed/>
    <w:qFormat/>
    <w:uiPriority w:val="0"/>
    <w:pPr>
      <w:keepNext/>
      <w:keepLines/>
      <w:spacing w:before="260" w:after="260" w:line="360" w:lineRule="auto"/>
      <w:jc w:val="center"/>
      <w:outlineLvl w:val="1"/>
    </w:pPr>
    <w:rPr>
      <w:b/>
      <w:sz w:val="30"/>
    </w:rPr>
  </w:style>
  <w:style w:type="paragraph" w:styleId="5">
    <w:name w:val="heading 3"/>
    <w:basedOn w:val="1"/>
    <w:next w:val="1"/>
    <w:autoRedefine/>
    <w:semiHidden/>
    <w:unhideWhenUsed/>
    <w:qFormat/>
    <w:uiPriority w:val="0"/>
    <w:pPr>
      <w:keepNext/>
      <w:keepLines/>
      <w:spacing w:line="360" w:lineRule="auto"/>
      <w:outlineLvl w:val="2"/>
    </w:pPr>
    <w:rPr>
      <w:b/>
      <w:sz w:val="24"/>
    </w:rPr>
  </w:style>
  <w:style w:type="character" w:default="1" w:styleId="18">
    <w:name w:val="Default Paragraph Font"/>
    <w:autoRedefine/>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autoRedefine/>
    <w:qFormat/>
    <w:uiPriority w:val="0"/>
    <w:pPr>
      <w:widowControl w:val="0"/>
      <w:ind w:firstLine="420"/>
      <w:jc w:val="both"/>
    </w:pPr>
    <w:rPr>
      <w:kern w:val="2"/>
      <w:sz w:val="21"/>
      <w:szCs w:val="20"/>
    </w:rPr>
  </w:style>
  <w:style w:type="paragraph" w:styleId="7">
    <w:name w:val="annotation text"/>
    <w:basedOn w:val="1"/>
    <w:autoRedefine/>
    <w:unhideWhenUsed/>
    <w:qFormat/>
    <w:uiPriority w:val="99"/>
  </w:style>
  <w:style w:type="paragraph" w:styleId="8">
    <w:name w:val="Body Text"/>
    <w:basedOn w:val="1"/>
    <w:next w:val="1"/>
    <w:autoRedefine/>
    <w:qFormat/>
    <w:uiPriority w:val="0"/>
    <w:pPr>
      <w:widowControl w:val="0"/>
    </w:pPr>
    <w:rPr>
      <w:rFonts w:ascii="宋体" w:cs="宋体"/>
      <w:sz w:val="24"/>
      <w:szCs w:val="24"/>
      <w:lang w:eastAsia="en-US"/>
    </w:rPr>
  </w:style>
  <w:style w:type="paragraph" w:styleId="9">
    <w:name w:val="Body Text Indent"/>
    <w:basedOn w:val="1"/>
    <w:link w:val="31"/>
    <w:autoRedefine/>
    <w:qFormat/>
    <w:uiPriority w:val="0"/>
    <w:pPr>
      <w:spacing w:after="120"/>
      <w:ind w:left="420" w:leftChars="200"/>
    </w:pPr>
  </w:style>
  <w:style w:type="paragraph" w:styleId="10">
    <w:name w:val="Plain Text"/>
    <w:basedOn w:val="1"/>
    <w:link w:val="21"/>
    <w:autoRedefine/>
    <w:qFormat/>
    <w:uiPriority w:val="0"/>
    <w:pPr>
      <w:widowControl w:val="0"/>
      <w:spacing w:before="156" w:beforeLines="50" w:after="156" w:afterLines="50" w:line="400" w:lineRule="exact"/>
      <w:jc w:val="both"/>
    </w:pPr>
    <w:rPr>
      <w:rFonts w:hint="eastAsia" w:ascii="宋体" w:hAnsi="Courier New"/>
      <w:kern w:val="2"/>
      <w:sz w:val="24"/>
      <w:szCs w:val="24"/>
    </w:rPr>
  </w:style>
  <w:style w:type="paragraph" w:styleId="11">
    <w:name w:val="footer"/>
    <w:basedOn w:val="1"/>
    <w:link w:val="23"/>
    <w:qFormat/>
    <w:uiPriority w:val="0"/>
    <w:pPr>
      <w:tabs>
        <w:tab w:val="center" w:pos="4153"/>
        <w:tab w:val="right" w:pos="8306"/>
      </w:tabs>
      <w:snapToGrid w:val="0"/>
    </w:pPr>
    <w:rPr>
      <w:sz w:val="18"/>
    </w:rPr>
  </w:style>
  <w:style w:type="paragraph" w:styleId="12">
    <w:name w:val="header"/>
    <w:basedOn w:val="1"/>
    <w:link w:val="2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Body Text 2"/>
    <w:basedOn w:val="1"/>
    <w:qFormat/>
    <w:uiPriority w:val="0"/>
    <w:rPr>
      <w:rFonts w:ascii="宋体" w:hAnsi="宋体"/>
      <w:color w:val="FF0000"/>
      <w:sz w:val="28"/>
      <w:szCs w:val="20"/>
    </w:rPr>
  </w:style>
  <w:style w:type="paragraph" w:styleId="14">
    <w:name w:val="Normal (Web)"/>
    <w:basedOn w:val="1"/>
    <w:autoRedefine/>
    <w:qFormat/>
    <w:uiPriority w:val="0"/>
    <w:pPr>
      <w:spacing w:before="100" w:beforeAutospacing="1" w:after="100" w:afterAutospacing="1"/>
    </w:pPr>
    <w:rPr>
      <w:rFonts w:ascii="宋体" w:hAnsi="宋体"/>
      <w:sz w:val="24"/>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Body Text First Indent"/>
    <w:basedOn w:val="8"/>
    <w:autoRedefine/>
    <w:qFormat/>
    <w:uiPriority w:val="0"/>
    <w:pPr>
      <w:spacing w:after="120"/>
      <w:ind w:firstLine="420" w:firstLineChars="100"/>
      <w:jc w:val="both"/>
    </w:pPr>
    <w:rPr>
      <w:rFonts w:ascii="Calibri" w:hAnsi="Calibri" w:cs="Times New Roman"/>
      <w:kern w:val="2"/>
      <w:sz w:val="21"/>
      <w:szCs w:val="22"/>
      <w:lang w:eastAsia="zh-CN"/>
    </w:rPr>
  </w:style>
  <w:style w:type="paragraph" w:customStyle="1" w:styleId="19">
    <w:name w:val="表格"/>
    <w:basedOn w:val="1"/>
    <w:qFormat/>
    <w:uiPriority w:val="0"/>
    <w:pPr>
      <w:jc w:val="center"/>
    </w:pPr>
    <w:rPr>
      <w:rFonts w:hint="eastAsia"/>
    </w:rPr>
  </w:style>
  <w:style w:type="paragraph" w:customStyle="1" w:styleId="20">
    <w:name w:val="正文段"/>
    <w:basedOn w:val="1"/>
    <w:qFormat/>
    <w:uiPriority w:val="0"/>
    <w:pPr>
      <w:snapToGrid w:val="0"/>
      <w:spacing w:after="50" w:afterLines="50"/>
      <w:ind w:firstLine="200" w:firstLineChars="200"/>
    </w:pPr>
    <w:rPr>
      <w:sz w:val="24"/>
      <w:szCs w:val="20"/>
    </w:rPr>
  </w:style>
  <w:style w:type="character" w:customStyle="1" w:styleId="21">
    <w:name w:val="纯文本 字符"/>
    <w:basedOn w:val="18"/>
    <w:link w:val="10"/>
    <w:qFormat/>
    <w:uiPriority w:val="0"/>
    <w:rPr>
      <w:rFonts w:hint="eastAsia" w:ascii="宋体" w:hAnsi="Courier New" w:eastAsia="宋体" w:cs="宋体"/>
      <w:kern w:val="2"/>
      <w:sz w:val="24"/>
      <w:szCs w:val="24"/>
      <w:lang w:val="en-US" w:eastAsia="zh-CN" w:bidi="ar"/>
    </w:rPr>
  </w:style>
  <w:style w:type="character" w:customStyle="1" w:styleId="22">
    <w:name w:val="页眉 字符"/>
    <w:basedOn w:val="18"/>
    <w:link w:val="12"/>
    <w:autoRedefine/>
    <w:qFormat/>
    <w:uiPriority w:val="0"/>
    <w:rPr>
      <w:kern w:val="2"/>
      <w:sz w:val="18"/>
      <w:szCs w:val="18"/>
      <w:lang w:bidi="ar"/>
    </w:rPr>
  </w:style>
  <w:style w:type="character" w:customStyle="1" w:styleId="23">
    <w:name w:val="页脚 字符"/>
    <w:basedOn w:val="18"/>
    <w:link w:val="11"/>
    <w:qFormat/>
    <w:uiPriority w:val="0"/>
    <w:rPr>
      <w:kern w:val="2"/>
      <w:sz w:val="18"/>
      <w:szCs w:val="18"/>
      <w:lang w:bidi="ar"/>
    </w:rPr>
  </w:style>
  <w:style w:type="character" w:customStyle="1" w:styleId="24">
    <w:name w:val="NormalCharacter"/>
    <w:autoRedefine/>
    <w:semiHidden/>
    <w:qFormat/>
    <w:uiPriority w:val="0"/>
  </w:style>
  <w:style w:type="paragraph" w:customStyle="1" w:styleId="25">
    <w:name w:val="UserStyle_12"/>
    <w:autoRedefine/>
    <w:qFormat/>
    <w:uiPriority w:val="0"/>
    <w:pPr>
      <w:textAlignment w:val="baseline"/>
    </w:pPr>
    <w:rPr>
      <w:rFonts w:ascii="Times New Roman" w:hAnsi="Times New Roman" w:eastAsia="宋体" w:cstheme="minorBidi"/>
      <w:sz w:val="21"/>
      <w:szCs w:val="22"/>
      <w:lang w:val="en-US" w:eastAsia="zh-CN" w:bidi="ar-SA"/>
    </w:rPr>
  </w:style>
  <w:style w:type="paragraph" w:customStyle="1" w:styleId="26">
    <w:name w:val="正文_10"/>
    <w:basedOn w:val="1"/>
    <w:autoRedefine/>
    <w:qFormat/>
    <w:uiPriority w:val="0"/>
    <w:pPr>
      <w:widowControl w:val="0"/>
      <w:jc w:val="both"/>
    </w:pPr>
    <w:rPr>
      <w:kern w:val="2"/>
      <w:sz w:val="21"/>
      <w:szCs w:val="24"/>
    </w:rPr>
  </w:style>
  <w:style w:type="paragraph" w:customStyle="1" w:styleId="27">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8">
    <w:name w:val="表格并列项"/>
    <w:basedOn w:val="29"/>
    <w:autoRedefine/>
    <w:qFormat/>
    <w:uiPriority w:val="0"/>
    <w:pPr>
      <w:tabs>
        <w:tab w:val="left" w:pos="360"/>
      </w:tabs>
      <w:spacing w:before="40" w:after="40"/>
      <w:ind w:left="840"/>
    </w:pPr>
  </w:style>
  <w:style w:type="paragraph" w:customStyle="1" w:styleId="29">
    <w:name w:val="并列项"/>
    <w:basedOn w:val="30"/>
    <w:autoRedefine/>
    <w:qFormat/>
    <w:uiPriority w:val="0"/>
    <w:pPr>
      <w:numPr>
        <w:ilvl w:val="0"/>
        <w:numId w:val="1"/>
      </w:numPr>
      <w:tabs>
        <w:tab w:val="left" w:pos="360"/>
        <w:tab w:val="clear" w:pos="839"/>
      </w:tabs>
      <w:snapToGrid w:val="0"/>
      <w:ind w:left="420" w:firstLine="420" w:firstLineChars="0"/>
      <w:contextualSpacing/>
    </w:pPr>
    <w:rPr>
      <w:rFonts w:cs="Cambria"/>
      <w:szCs w:val="20"/>
    </w:rPr>
  </w:style>
  <w:style w:type="paragraph" w:styleId="30">
    <w:name w:val="List Paragraph"/>
    <w:basedOn w:val="1"/>
    <w:unhideWhenUsed/>
    <w:qFormat/>
    <w:uiPriority w:val="34"/>
    <w:pPr>
      <w:ind w:firstLine="420" w:firstLineChars="200"/>
    </w:pPr>
  </w:style>
  <w:style w:type="character" w:customStyle="1" w:styleId="31">
    <w:name w:val="正文文本缩进 字符"/>
    <w:basedOn w:val="18"/>
    <w:link w:val="9"/>
    <w:autoRedefine/>
    <w:qFormat/>
    <w:uiPriority w:val="0"/>
    <w:rPr>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1097</Words>
  <Characters>6255</Characters>
  <Lines>52</Lines>
  <Paragraphs>14</Paragraphs>
  <TotalTime>481</TotalTime>
  <ScaleCrop>false</ScaleCrop>
  <LinksUpToDate>false</LinksUpToDate>
  <CharactersWithSpaces>7338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2023-11-02T09:44:00Z</dcterms:created>
  <dc:creator>wk529</dc:creator>
  <cp:lastModifiedBy>这是一个好名字</cp:lastModifiedBy>
  <dcterms:modified xsi:type="dcterms:W3CDTF">2024-04-16T05:36:16Z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F804DF5700FD7AFCB437436520858087_43</vt:lpwstr>
  </property>
  <property fmtid="{D5CDD505-2E9C-101B-9397-08002B2CF9AE}" pid="4" name="woTemplateTypoMode" linkTarget="0">
    <vt:lpwstr>web</vt:lpwstr>
  </property>
  <property fmtid="{D5CDD505-2E9C-101B-9397-08002B2CF9AE}" pid="5" name="woTemplate" linkTarget="0">
    <vt:i4>1</vt:i4>
  </property>
</Properties>
</file>