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numPr>
          <w:ilvl w:val="0"/>
          <w:numId w:val="2"/>
        </w:num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项目名称</w:t>
      </w:r>
    </w:p>
    <w:p>
      <w:pPr>
        <w:pStyle w:val="11"/>
        <w:ind w:firstLine="42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</w:rPr>
        <w:t>项目名称：新院区开业信息化设备及服务器扩容</w:t>
      </w:r>
    </w:p>
    <w:p>
      <w:pPr>
        <w:ind w:firstLine="1500" w:firstLineChars="500"/>
        <w:rPr>
          <w:rFonts w:hint="eastAsia"/>
          <w:color w:val="auto"/>
          <w:sz w:val="30"/>
          <w:szCs w:val="30"/>
        </w:rPr>
      </w:pPr>
    </w:p>
    <w:p>
      <w:pPr>
        <w:pStyle w:val="2"/>
        <w:numPr>
          <w:ilvl w:val="0"/>
          <w:numId w:val="2"/>
        </w:num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质保及服务方式</w:t>
      </w:r>
    </w:p>
    <w:p>
      <w:pPr>
        <w:pStyle w:val="11"/>
        <w:ind w:firstLine="420"/>
        <w:rPr>
          <w:color w:val="auto"/>
        </w:rPr>
      </w:pPr>
      <w:r>
        <w:rPr>
          <w:rFonts w:hint="eastAsia"/>
          <w:color w:val="auto"/>
        </w:rPr>
        <w:t>自项目通过验收之日起，所有提供的软硬件设备原厂质保</w:t>
      </w:r>
      <w:r>
        <w:rPr>
          <w:rFonts w:hint="eastAsia"/>
          <w:color w:val="auto"/>
          <w:lang w:val="en-US" w:eastAsia="zh-CN"/>
        </w:rPr>
        <w:t>至少1</w:t>
      </w:r>
      <w:r>
        <w:rPr>
          <w:rFonts w:hint="eastAsia"/>
          <w:color w:val="auto"/>
        </w:rPr>
        <w:t>年。</w:t>
      </w:r>
    </w:p>
    <w:p>
      <w:pPr>
        <w:pStyle w:val="11"/>
        <w:ind w:firstLine="420"/>
        <w:rPr>
          <w:color w:val="auto"/>
        </w:rPr>
      </w:pPr>
      <w:r>
        <w:rPr>
          <w:rFonts w:hint="eastAsia"/>
          <w:color w:val="auto"/>
        </w:rPr>
        <w:t>(1)在服务期内，中标人应负责对其提供的软硬件进行现场维修、损坏件更换，不收取额外费用。</w:t>
      </w:r>
    </w:p>
    <w:p>
      <w:pPr>
        <w:pStyle w:val="11"/>
        <w:ind w:firstLine="420"/>
        <w:rPr>
          <w:color w:val="auto"/>
        </w:rPr>
      </w:pPr>
      <w:r>
        <w:rPr>
          <w:rFonts w:hint="eastAsia"/>
          <w:color w:val="auto"/>
        </w:rPr>
        <w:t>(2)服务期内，要求中标人7</w:t>
      </w:r>
      <w:r>
        <w:rPr>
          <w:color w:val="auto"/>
        </w:rPr>
        <w:t>*</w:t>
      </w:r>
      <w:r>
        <w:rPr>
          <w:rFonts w:hint="eastAsia"/>
          <w:color w:val="auto"/>
        </w:rPr>
        <w:t>24小时电话响应技术咨询;中标人须在接到招标人维修要求电话后，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0分钟内响应，如故障未能在30分钟内通过远程支持得到解决，服务商应启动现场应急服务，并在4小时内赶到现场解决问题。</w:t>
      </w:r>
    </w:p>
    <w:p>
      <w:pPr>
        <w:pStyle w:val="2"/>
        <w:numPr>
          <w:ilvl w:val="0"/>
          <w:numId w:val="2"/>
        </w:num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采购清单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54"/>
        <w:gridCol w:w="1061"/>
        <w:gridCol w:w="3154"/>
        <w:gridCol w:w="822"/>
        <w:gridCol w:w="897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15" w:type="pct"/>
            <w:shd w:val="clear" w:color="auto" w:fill="C3BD96" w:themeFill="background2" w:themeFillShade="B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</w:rPr>
            </w:pPr>
            <w:bookmarkStart w:id="0" w:name="_Hlk171842834"/>
            <w:r>
              <w:rPr>
                <w:rFonts w:ascii="宋体" w:hAnsi="宋体" w:eastAsia="宋体"/>
                <w:b/>
                <w:color w:val="auto"/>
              </w:rPr>
              <w:t>序号</w:t>
            </w:r>
          </w:p>
        </w:tc>
        <w:tc>
          <w:tcPr>
            <w:tcW w:w="1240" w:type="pct"/>
            <w:gridSpan w:val="2"/>
            <w:shd w:val="clear" w:color="auto" w:fill="C3BD96" w:themeFill="background2" w:themeFillShade="B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名称</w:t>
            </w:r>
          </w:p>
        </w:tc>
        <w:tc>
          <w:tcPr>
            <w:tcW w:w="1850" w:type="pct"/>
            <w:shd w:val="clear" w:color="auto" w:fill="C3BD96" w:themeFill="background2" w:themeFillShade="B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技术参数</w:t>
            </w:r>
          </w:p>
        </w:tc>
        <w:tc>
          <w:tcPr>
            <w:tcW w:w="482" w:type="pct"/>
            <w:shd w:val="clear" w:color="auto" w:fill="C3BD96" w:themeFill="background2" w:themeFillShade="B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单位</w:t>
            </w:r>
          </w:p>
        </w:tc>
        <w:tc>
          <w:tcPr>
            <w:tcW w:w="526" w:type="pct"/>
            <w:shd w:val="clear" w:color="auto" w:fill="C3BD96" w:themeFill="background2" w:themeFillShade="B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ascii="宋体" w:hAnsi="宋体" w:eastAsia="宋体"/>
                <w:b/>
                <w:color w:val="auto"/>
              </w:rPr>
              <w:t>单位</w:t>
            </w:r>
          </w:p>
        </w:tc>
        <w:tc>
          <w:tcPr>
            <w:tcW w:w="385" w:type="pct"/>
            <w:shd w:val="clear" w:color="auto" w:fill="C3BD96" w:themeFill="background2" w:themeFillShade="B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1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</w:rPr>
              <w:t>超融合备份存储扩容</w:t>
            </w: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固态硬盘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Dell）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1.92TB 固态硬盘 SATA 读取密集型 6Gbps512 2.5英寸热插拔AG硬盘（含DELLR750使用的3.5英寸 HYB 托架）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块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618" w:type="pct"/>
            <w:vMerge w:val="continue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NLSAS硬盘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Dell）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12TB 7.2K RPM NLSAS 12Gbps 512e3.5英寸硬盘（含DELLR750使用的3.5英寸 HYB 托架）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块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9</w:t>
            </w:r>
          </w:p>
        </w:tc>
        <w:tc>
          <w:tcPr>
            <w:tcW w:w="385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得实520打印机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打印分辨率:203dpi;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打印宽度:108mm;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打印速度:127mm/s; 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接口:标配：USB接口 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台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5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3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票据打印机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连接方式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USB/USB+网口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打印速度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mm/s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台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5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4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扫描平台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传感器像素:1280p(H)x1080p(V)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视场角度:55°(H)x47°(V)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偏转/倾斜/旋转:360，土65°，土60°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台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5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5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医保读卡器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处 理 器:32 位 CPU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存 储 器:16/32/64M FLASH:8M/16M/32M PSRAM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显示器:128x64 或 192x64 点阵式LCD，支持中英文显示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台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5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6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得实218打印机</w:t>
            </w:r>
          </w:p>
        </w:tc>
        <w:tc>
          <w:tcPr>
            <w:tcW w:w="18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打印速度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150mm/秒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进纸纸宽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120mm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最大打印宽度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108mm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接口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标配：USB接口   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台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bookmarkEnd w:id="0"/>
    </w:tbl>
    <w:p>
      <w:pPr>
        <w:rPr>
          <w:rFonts w:hint="eastAsia"/>
          <w:color w:val="auto"/>
        </w:rPr>
      </w:pPr>
    </w:p>
    <w:p>
      <w:pPr>
        <w:pStyle w:val="2"/>
        <w:numPr>
          <w:ilvl w:val="0"/>
          <w:numId w:val="2"/>
        </w:numPr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采购要求</w:t>
      </w:r>
    </w:p>
    <w:p>
      <w:pPr>
        <w:rPr>
          <w:color w:val="auto"/>
        </w:rPr>
      </w:pPr>
    </w:p>
    <w:tbl>
      <w:tblPr>
        <w:tblStyle w:val="12"/>
        <w:tblW w:w="63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9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2" w:type="pct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指标项</w:t>
            </w:r>
            <w:r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3341" w:type="pct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超融合备份存储扩容指标要求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项目现状</w:t>
            </w:r>
          </w:p>
        </w:tc>
        <w:tc>
          <w:tcPr>
            <w:tcW w:w="3341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本单位原来采用三台DELL R750服务器，安装了Vmware VSAN,组建成超融合集群，在集群上部署了veeam备份软件及EMC RP4VM容灾系统，对院区内重要服务器进行备份和实时容灾。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ascii="宋体" w:hAnsi="宋体" w:eastAsia="宋体"/>
                <w:color w:val="auto"/>
              </w:rPr>
              <w:t>扩容要求</w:t>
            </w:r>
          </w:p>
        </w:tc>
        <w:tc>
          <w:tcPr>
            <w:tcW w:w="3341" w:type="pct"/>
            <w:vAlign w:val="center"/>
          </w:tcPr>
          <w:p>
            <w:pPr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1.本次采购的硬盘分别添加到上述三台服务器上，每台服务器增加一块固态硬盘，三块机械硬盘，组成磁盘组。</w:t>
            </w:r>
          </w:p>
          <w:p>
            <w:pPr>
              <w:rPr>
                <w:rFonts w:hint="eastAsia" w:ascii="宋体" w:hAnsi="宋体" w:eastAsia="宋体"/>
                <w:strike/>
                <w:dstrike w:val="0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2.由于集群硬盘容量不足，所以有此次扩容，要求中标供应商实施时，将硬盘容量添加到原有的存储池中，对原有的备份策略做优化调整，对容灾系统进行重新安装配置，并进行容灾恢复演练，确保容灾系统正常工作。</w:t>
            </w:r>
          </w:p>
          <w:p>
            <w:pPr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4.项目实施时，必须保障业务数据零丢失，如果造成数据丢失情况，用户有权取消供应商的中标资格。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总体要求</w:t>
            </w:r>
          </w:p>
        </w:tc>
        <w:tc>
          <w:tcPr>
            <w:tcW w:w="3341" w:type="pct"/>
            <w:vAlign w:val="center"/>
          </w:tcPr>
          <w:p>
            <w:pPr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1.本项目属于 “交钥匙”工程，即所提供的软、硬件产品按招标方的要求采购、安装、调试。本次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color w:val="auto"/>
              </w:rPr>
              <w:t>要求中标人针对用户提供完整服务，协助用户完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成关</w:t>
            </w:r>
            <w:r>
              <w:rPr>
                <w:rFonts w:hint="eastAsia" w:ascii="宋体" w:hAnsi="宋体" w:eastAsia="宋体"/>
                <w:color w:val="auto"/>
              </w:rPr>
              <w:t>于本次项目相关的系统调整和优化等工作，中标方须提供安装调试、系统集成和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1年</w:t>
            </w:r>
            <w:r>
              <w:rPr>
                <w:rFonts w:hint="eastAsia" w:ascii="宋体" w:hAnsi="宋体" w:eastAsia="宋体"/>
                <w:color w:val="auto"/>
              </w:rPr>
              <w:t>的免费现场技术支持，中标方须对系统集成的完整性负责，如相关配件在招标清单中未列出但安装所采购设备时须用到，中标人须提供，产生的一切费用，均由中标方负责。</w:t>
            </w:r>
          </w:p>
          <w:p>
            <w:pPr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2.项目实施期间发生的所有劳务支出、安全保险、住宿、运输、税金等一切费用都已包含在竞投报价中，由中标方自行负责。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pct"/>
            <w:vAlign w:val="center"/>
          </w:tcPr>
          <w:p>
            <w:pPr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验收标准</w:t>
            </w:r>
          </w:p>
        </w:tc>
        <w:tc>
          <w:tcPr>
            <w:tcW w:w="3341" w:type="pct"/>
            <w:vAlign w:val="center"/>
          </w:tcPr>
          <w:p>
            <w:pPr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安装调试完成，正常运行2个月后，确定产品与服务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全部没有问题，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由信息中心按照验收规定，结合采购文件、投标文件、合同等项目文件约定内容对项目进行验收。如验收达不到规定要求，采购人有权要求更换货物或拒绝付款，成交供应商若违约，采购人将纳入黑名单并依法追究相应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服务要求</w:t>
            </w:r>
          </w:p>
        </w:tc>
        <w:tc>
          <w:tcPr>
            <w:tcW w:w="3341" w:type="pct"/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1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</w:rPr>
              <w:t>提供7×24小时的电话和现场技术支持服务，保证在7×24小时内，系统有任何问题，随时可以找到服务商工程师回答和解决。</w:t>
            </w:r>
          </w:p>
          <w:p>
            <w:pPr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2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</w:rPr>
              <w:t>供应商在接到用户故障申告电话后应在10分钟内给予响应，如故障未能在30分钟内通过远程支持得到解决，服务商应启动现场应急服务，在自用户电话申告起1小时内赶到用户现场；故障应在服务商工程师到达现场后不超过4小时内给予恢复运行；如不能恢复的应提供备用设备，保障采购人的正常工作，在最迟不超过5个工作日内，将损坏的硬件部件进行维修。如果确认设备或者部件损坏无法修复致使该设备无法继续使用，服务商应将损坏设备进行整体更换，更换的设备配置不得低于当前配置。</w:t>
            </w:r>
          </w:p>
          <w:p>
            <w:pPr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3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Cs w:val="24"/>
                <w:lang w:val="zh-CN"/>
              </w:rPr>
              <w:t>▲</w:t>
            </w:r>
            <w:r>
              <w:rPr>
                <w:rFonts w:hint="eastAsia" w:ascii="宋体" w:hAnsi="宋体" w:eastAsia="宋体"/>
                <w:color w:val="auto"/>
              </w:rPr>
              <w:t>产品免费服务周期（含换件和维修）≥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1年</w:t>
            </w:r>
            <w:r>
              <w:rPr>
                <w:rFonts w:hint="eastAsia" w:ascii="宋体" w:hAnsi="宋体" w:eastAsia="宋体"/>
                <w:color w:val="auto"/>
              </w:rPr>
              <w:t>。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提供原厂服务承诺函原件。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不符合要求或者未能提供的，作废标处理。若恶意报价不能按要求提供产品的，报监管部门处理。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auto"/>
        </w:rPr>
      </w:pPr>
    </w:p>
    <w:p>
      <w:pPr>
        <w:jc w:val="center"/>
        <w:rPr>
          <w:rFonts w:hint="eastAsia" w:ascii="宋体" w:hAnsi="宋体" w:eastAsia="宋体"/>
          <w:b/>
          <w:color w:val="auto"/>
        </w:rPr>
      </w:pPr>
    </w:p>
    <w:tbl>
      <w:tblPr>
        <w:tblStyle w:val="13"/>
        <w:tblW w:w="63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9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指标项</w:t>
            </w:r>
            <w:r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  <w:t>2</w:t>
            </w:r>
          </w:p>
        </w:tc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  <w:t>得实520打印机</w:t>
            </w:r>
            <w:r>
              <w:rPr>
                <w:rFonts w:hint="eastAsia" w:ascii="宋体" w:hAnsi="宋体" w:eastAsia="宋体"/>
                <w:b/>
                <w:color w:val="auto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品牌型号</w:t>
            </w:r>
          </w:p>
        </w:tc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得实DL-520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参数</w:t>
            </w:r>
          </w:p>
        </w:tc>
        <w:tc>
          <w:tcPr>
            <w:tcW w:w="9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打印分辨率:203dpi;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打印宽度:108mm;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打印速度:127mm/s;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接口:标配：USB接口 选配：并口、串口、以太网口、无线wifi、蓝牙;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内存:SDRAM：8M;尺寸/重量201（宽）×239（深）×173（高）mm 约1.5kg;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开发要求：能够完全兼容医院所有条码系统，能够打印得实腕带，并根据客户需要提供二次开发包，协助客户进行二次开发，赠送医院专用智能助手调节软件；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服务要求:提供一年保修（打印头6个月或30km）原厂免费上门服务，提供7*24小时电话支持，2小时到达现场，6小时解决问题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/>
                <w:color w:val="auto"/>
              </w:rPr>
              <w:t>服务要求</w:t>
            </w:r>
          </w:p>
        </w:tc>
        <w:tc>
          <w:tcPr>
            <w:tcW w:w="334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：拒绝快递送货，须原厂原装全新未拆包设备及配件产品。不得私自拆封升级，不得更换配件供货；2：必须本地化服务，提供7*24小时免费上门安装软件、硬件售后服务，专业调试安装至正常使用。▲提供原厂服务承诺函原件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13"/>
        <w:tblW w:w="63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指标项</w:t>
            </w:r>
            <w:r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93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  <w:t>票据打印机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品牌型号</w:t>
            </w:r>
          </w:p>
        </w:tc>
        <w:tc>
          <w:tcPr>
            <w:tcW w:w="93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lang w:eastAsia="zh-CN"/>
              </w:rPr>
              <w:t>芯烨XP-</w:t>
            </w:r>
            <w:r>
              <w:rPr>
                <w:rFonts w:hint="eastAsia" w:ascii="宋体" w:hAnsi="宋体" w:cs="宋体"/>
                <w:b/>
                <w:color w:val="auto"/>
                <w:lang w:val="en-US" w:eastAsia="zh-CN"/>
              </w:rPr>
              <w:t>T</w:t>
            </w:r>
            <w:r>
              <w:rPr>
                <w:rFonts w:hint="eastAsia" w:ascii="宋体" w:hAnsi="宋体" w:cs="宋体"/>
                <w:b/>
                <w:color w:val="auto"/>
                <w:lang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参数</w:t>
            </w:r>
          </w:p>
        </w:tc>
        <w:tc>
          <w:tcPr>
            <w:tcW w:w="9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连接方式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USB/USB+网口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打印速度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mm/s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打印机尺寸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长180x宽145x高130mm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打印宽度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72mm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介质幅宽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79.5±0.5mm纸宽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提供一年保修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/>
                <w:color w:val="auto"/>
              </w:rPr>
              <w:t>服务要求</w:t>
            </w:r>
          </w:p>
        </w:tc>
        <w:tc>
          <w:tcPr>
            <w:tcW w:w="9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1：拒绝快递送货，须原厂原装全新未拆包设备及配件产品。不得私自拆封升级，不得更换配件供货；2：必须本地化服务，提供7*24小时免费上门安装软件、硬件售后服务，专业调试安装至正常使用。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13"/>
        <w:tblW w:w="6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8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指标项</w:t>
            </w:r>
            <w:r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  <w:t>4</w:t>
            </w:r>
          </w:p>
        </w:tc>
        <w:tc>
          <w:tcPr>
            <w:tcW w:w="868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扫描平台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868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SUPERLEAD斯普锐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参数</w:t>
            </w:r>
          </w:p>
        </w:tc>
        <w:tc>
          <w:tcPr>
            <w:tcW w:w="8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尺寸:150mmx95mmx98mm重量:295g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传感器像素:1280p(H)x1080p(V)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视场角度:55°(H)x47°(V)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偏转/倾斜/旋转:360，土65°，土60°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打印对比度:15% minimum reflective difference接口支持:USB、RS232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-维条码1-D:UPC,EAN,Code 128.Code 39.Code 93.code 11.Matrix2of5,Interleaved 2 of5, Codabar, etc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二维条码2-D:OR Code,PDF417,Data Matrix,Maxicode,Aztec,etc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提供一年保修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/>
                <w:color w:val="auto"/>
              </w:rPr>
              <w:t>服务要求</w:t>
            </w:r>
          </w:p>
        </w:tc>
        <w:tc>
          <w:tcPr>
            <w:tcW w:w="8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1：拒绝快递送货，须原厂原装全新未拆包设备及配件产品。不得私自拆封升级，不得更换配件供货；2：必须本地化服务，提供7*24小时免费上门安装软件、硬件售后服务，专业调试安装至正常使用。</w:t>
            </w:r>
          </w:p>
        </w:tc>
      </w:tr>
    </w:tbl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tbl>
      <w:tblPr>
        <w:tblStyle w:val="13"/>
        <w:tblW w:w="6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指标项</w:t>
            </w:r>
            <w:r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  <w:t>5</w:t>
            </w:r>
          </w:p>
        </w:tc>
        <w:tc>
          <w:tcPr>
            <w:tcW w:w="890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  <w:t>医保读卡器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890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lang w:val="en-US" w:eastAsia="zh-CN"/>
              </w:rPr>
              <w:t xml:space="preserve">德卡Z90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参数</w:t>
            </w:r>
          </w:p>
        </w:tc>
        <w:tc>
          <w:tcPr>
            <w:tcW w:w="8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处 理 器:32 位 CPU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存 储 器:16/32/64M FLASH:8M/16M/32M PSRAM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显示器:128x64 或 192x64 点阵式LCD，支持中英文显示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指 示 灯:4 个LED 指示灯，从左到右:蓝黄绿红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按键:内置 17 个按键，支持键盘输入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蜂 呜 器:支持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通讯接口:USB、RS232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读磁条卡:1、2、3 轨磁道阅读，双向刷卡，单面刷卡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接触式卡:支持2个符合 ISO/IEC 7816 标准卡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非接触卡:支持 IS014443 TypeA/B 标准的感应 IC 卡、Mifare 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卡座:可选配 1~4个 SAM卡座，符合 ISO/IEC 7816 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电源：串口或 USB 口供电，DC 5V士5%，具有过压保护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操作系统：Windows、Unix、Linux、Android及i0S5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加密方式:软件加密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尺寸：181mmx80mmx54mm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其他特性：提供通用接口函数库，可支持多种操作系统和语言开发平台支持在线升级功能，支持定制开发。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/>
                <w:color w:val="auto"/>
              </w:rPr>
              <w:t>服务要求</w:t>
            </w:r>
          </w:p>
        </w:tc>
        <w:tc>
          <w:tcPr>
            <w:tcW w:w="8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1：拒绝快递送货，须原厂原装全新未拆包设备及配件产品。不得私自拆封升级，不得更换配件供货；2：必须本地化服务，提供7*24小时免费上门安装软件、硬件售后服务，专业调试安装至正常使用。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产品免费服务周期（含换件和维修）≥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提供原厂服务承诺函原件。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不符合要求或者未能提供的，作废标处理。若恶意报价不能按要求提供产品的，报监管部门处理。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p>
      <w:pPr>
        <w:pStyle w:val="15"/>
        <w:rPr>
          <w:color w:val="auto"/>
        </w:rPr>
      </w:pPr>
    </w:p>
    <w:tbl>
      <w:tblPr>
        <w:tblStyle w:val="13"/>
        <w:tblW w:w="61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指标项</w:t>
            </w:r>
            <w:r>
              <w:rPr>
                <w:rFonts w:hint="eastAsia" w:ascii="宋体" w:hAnsi="宋体" w:eastAsia="宋体"/>
                <w:b/>
                <w:color w:val="auto"/>
                <w:lang w:val="en-US" w:eastAsia="zh-CN"/>
              </w:rPr>
              <w:t>6</w:t>
            </w:r>
          </w:p>
        </w:tc>
        <w:tc>
          <w:tcPr>
            <w:tcW w:w="8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  <w:t>得实218打印机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品牌型号</w:t>
            </w:r>
          </w:p>
        </w:tc>
        <w:tc>
          <w:tcPr>
            <w:tcW w:w="8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得实DL-218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参数</w:t>
            </w:r>
          </w:p>
        </w:tc>
        <w:tc>
          <w:tcPr>
            <w:tcW w:w="8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打印速度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150mm/秒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进纸纸宽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120mm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最大打印宽度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108mm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接口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标配：USB接口  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电源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100—240V   50/60Hz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尺寸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230（宽）×290（深）×176（高）mm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可选件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剥离器、回卷装置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保修：整机保修一年（热敏头6个月不限公里数）原厂免费上门服务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开发要求：能够完全兼容医院LIS/HIS/MIS系统(无需调整)，指令打印（无需调用驱动），能够打印得实腕带，并根据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需要提供二次开发包，协助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进行二次开发，赠送医院专用智能助手调节软件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/>
                <w:color w:val="auto"/>
              </w:rPr>
              <w:t>服务要求</w:t>
            </w:r>
          </w:p>
        </w:tc>
        <w:tc>
          <w:tcPr>
            <w:tcW w:w="8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1：拒绝快递送货，须原厂原装全新未拆包设备及配件产品。不得私自拆封升级，不得更换配件供货；2：必须本地化服务，提供7*24小时免费上门安装软件、硬件售后服务，专业调试安装至正常使用。</w:t>
            </w:r>
          </w:p>
        </w:tc>
      </w:tr>
    </w:tbl>
    <w:p>
      <w:pPr>
        <w:pStyle w:val="15"/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63B74"/>
    <w:multiLevelType w:val="multilevel"/>
    <w:tmpl w:val="36163B74"/>
    <w:lvl w:ilvl="0" w:tentative="0">
      <w:start w:val="1"/>
      <w:numFmt w:val="decimal"/>
      <w:pStyle w:val="2"/>
      <w:lvlText w:val="第%1章"/>
      <w:lvlJc w:val="left"/>
      <w:pPr>
        <w:ind w:left="284" w:hanging="284"/>
      </w:pPr>
      <w:rPr>
        <w:rFonts w:hint="eastAsia" w:eastAsia="华文中宋"/>
      </w:rPr>
    </w:lvl>
    <w:lvl w:ilvl="1" w:tentative="0">
      <w:start w:val="1"/>
      <w:numFmt w:val="decimal"/>
      <w:pStyle w:val="3"/>
      <w:lvlText w:val="%1.%2"/>
      <w:lvlJc w:val="left"/>
      <w:pPr>
        <w:ind w:left="426" w:hanging="284"/>
      </w:pPr>
      <w:rPr>
        <w:rFonts w:hint="eastAsia" w:ascii="华文中宋" w:hAnsi="华文中宋" w:eastAsia="华文中宋"/>
      </w:rPr>
    </w:lvl>
    <w:lvl w:ilvl="2" w:tentative="0">
      <w:start w:val="1"/>
      <w:numFmt w:val="decimal"/>
      <w:pStyle w:val="4"/>
      <w:lvlText w:val="%1.%2.%3"/>
      <w:lvlJc w:val="left"/>
      <w:pPr>
        <w:ind w:left="568" w:hanging="284"/>
      </w:pPr>
      <w:rPr>
        <w:rFonts w:hint="eastAsia" w:ascii="华文中宋" w:hAnsi="华文中宋" w:eastAsia="华文中宋"/>
      </w:rPr>
    </w:lvl>
    <w:lvl w:ilvl="3" w:tentative="0">
      <w:start w:val="1"/>
      <w:numFmt w:val="decimal"/>
      <w:pStyle w:val="5"/>
      <w:lvlText w:val="%1.%2.%3.%4"/>
      <w:lvlJc w:val="left"/>
      <w:pPr>
        <w:ind w:left="710" w:hanging="284"/>
      </w:pPr>
      <w:rPr>
        <w:rFonts w:hint="eastAsia" w:ascii="华文中宋" w:hAnsi="华文中宋" w:eastAsia="华文中宋"/>
      </w:rPr>
    </w:lvl>
    <w:lvl w:ilvl="4" w:tentative="0">
      <w:start w:val="1"/>
      <w:numFmt w:val="decimal"/>
      <w:pStyle w:val="6"/>
      <w:lvlText w:val="%1.%2.%3.%4.%5"/>
      <w:lvlJc w:val="left"/>
      <w:pPr>
        <w:ind w:left="852" w:hanging="284"/>
      </w:pPr>
      <w:rPr>
        <w:rFonts w:hint="eastAsia" w:ascii="华文中宋" w:hAnsi="华文中宋" w:eastAsia="华文中宋"/>
      </w:rPr>
    </w:lvl>
    <w:lvl w:ilvl="5" w:tentative="0">
      <w:start w:val="1"/>
      <w:numFmt w:val="decimal"/>
      <w:pStyle w:val="7"/>
      <w:lvlText w:val="%1.%2.%3.%4.%5.%6"/>
      <w:lvlJc w:val="left"/>
      <w:pPr>
        <w:ind w:left="994" w:hanging="284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136" w:hanging="284"/>
      </w:pPr>
    </w:lvl>
    <w:lvl w:ilvl="7" w:tentative="0">
      <w:start w:val="1"/>
      <w:numFmt w:val="decimal"/>
      <w:pStyle w:val="9"/>
      <w:lvlText w:val="%1.%2.%3.%4.%5.%6.%7.%8"/>
      <w:lvlJc w:val="left"/>
      <w:pPr>
        <w:ind w:left="1278" w:hanging="284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420" w:hanging="284"/>
      </w:pPr>
    </w:lvl>
  </w:abstractNum>
  <w:abstractNum w:abstractNumId="1">
    <w:nsid w:val="4DDC294E"/>
    <w:multiLevelType w:val="multilevel"/>
    <w:tmpl w:val="4DDC294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YjgyNDI2NjliYzMxZjVlZDk0OWQ1ZDI1NjM4MTgifQ=="/>
  </w:docVars>
  <w:rsids>
    <w:rsidRoot w:val="00EC035F"/>
    <w:rsid w:val="000A2886"/>
    <w:rsid w:val="002E2C48"/>
    <w:rsid w:val="0041742F"/>
    <w:rsid w:val="00446986"/>
    <w:rsid w:val="00567816"/>
    <w:rsid w:val="00654529"/>
    <w:rsid w:val="006B67D5"/>
    <w:rsid w:val="009546F7"/>
    <w:rsid w:val="0099676C"/>
    <w:rsid w:val="00A45DAE"/>
    <w:rsid w:val="00C25816"/>
    <w:rsid w:val="00D574C5"/>
    <w:rsid w:val="00D968D0"/>
    <w:rsid w:val="00E544BE"/>
    <w:rsid w:val="00EC035F"/>
    <w:rsid w:val="00F01C11"/>
    <w:rsid w:val="00F87365"/>
    <w:rsid w:val="03BB551C"/>
    <w:rsid w:val="045F4DED"/>
    <w:rsid w:val="08DD4617"/>
    <w:rsid w:val="09306D58"/>
    <w:rsid w:val="0F810332"/>
    <w:rsid w:val="106B7F9E"/>
    <w:rsid w:val="113B273E"/>
    <w:rsid w:val="11E25364"/>
    <w:rsid w:val="1AC302CE"/>
    <w:rsid w:val="1AF14B43"/>
    <w:rsid w:val="1C321978"/>
    <w:rsid w:val="227F6BBF"/>
    <w:rsid w:val="23082E5F"/>
    <w:rsid w:val="2F04585E"/>
    <w:rsid w:val="309A299A"/>
    <w:rsid w:val="32226886"/>
    <w:rsid w:val="34270BD4"/>
    <w:rsid w:val="355E5C87"/>
    <w:rsid w:val="37635592"/>
    <w:rsid w:val="38005691"/>
    <w:rsid w:val="3B3A10E6"/>
    <w:rsid w:val="3FEC2CD2"/>
    <w:rsid w:val="564E4ED1"/>
    <w:rsid w:val="625B18C5"/>
    <w:rsid w:val="67CE2B39"/>
    <w:rsid w:val="6CD01D92"/>
    <w:rsid w:val="762D121B"/>
    <w:rsid w:val="7C8062AA"/>
    <w:rsid w:val="7E1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iPriority="99" w:semiHidden="0" w:name="heading 7"/>
    <w:lsdException w:qFormat="1" w:uiPriority="99" w:semiHidden="0" w:name="heading 8"/>
    <w:lsdException w:qFormat="1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numPr>
        <w:ilvl w:val="0"/>
        <w:numId w:val="1"/>
      </w:numPr>
      <w:adjustRightInd w:val="0"/>
      <w:snapToGrid w:val="0"/>
      <w:spacing w:line="360" w:lineRule="auto"/>
      <w:jc w:val="left"/>
      <w:outlineLvl w:val="0"/>
    </w:pPr>
    <w:rPr>
      <w:rFonts w:ascii="华文中宋" w:hAnsi="华文中宋" w:eastAsia="华文中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9"/>
    <w:pPr>
      <w:numPr>
        <w:ilvl w:val="1"/>
        <w:numId w:val="1"/>
      </w:numPr>
      <w:adjustRightInd w:val="0"/>
      <w:snapToGrid w:val="0"/>
      <w:spacing w:line="360" w:lineRule="auto"/>
      <w:jc w:val="left"/>
      <w:outlineLvl w:val="1"/>
    </w:pPr>
    <w:rPr>
      <w:rFonts w:ascii="华文中宋" w:hAnsi="华文中宋" w:eastAsia="华文中宋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8"/>
    <w:unhideWhenUsed/>
    <w:qFormat/>
    <w:uiPriority w:val="99"/>
    <w:pPr>
      <w:numPr>
        <w:ilvl w:val="2"/>
        <w:numId w:val="1"/>
      </w:numPr>
      <w:adjustRightInd w:val="0"/>
      <w:snapToGrid w:val="0"/>
      <w:spacing w:line="360" w:lineRule="auto"/>
      <w:jc w:val="left"/>
      <w:outlineLvl w:val="2"/>
    </w:pPr>
    <w:rPr>
      <w:rFonts w:ascii="华文中宋" w:hAnsi="华文中宋" w:eastAsia="华文中宋"/>
      <w:b/>
      <w:bCs/>
      <w:sz w:val="28"/>
      <w:szCs w:val="32"/>
    </w:rPr>
  </w:style>
  <w:style w:type="paragraph" w:styleId="5">
    <w:name w:val="heading 4"/>
    <w:basedOn w:val="1"/>
    <w:next w:val="1"/>
    <w:link w:val="19"/>
    <w:unhideWhenUsed/>
    <w:qFormat/>
    <w:uiPriority w:val="99"/>
    <w:pPr>
      <w:numPr>
        <w:ilvl w:val="3"/>
        <w:numId w:val="1"/>
      </w:numPr>
      <w:adjustRightInd w:val="0"/>
      <w:snapToGrid w:val="0"/>
      <w:spacing w:line="360" w:lineRule="auto"/>
      <w:ind w:left="100" w:leftChars="100" w:firstLine="0"/>
      <w:jc w:val="left"/>
      <w:outlineLvl w:val="3"/>
    </w:pPr>
    <w:rPr>
      <w:rFonts w:ascii="华文中宋" w:hAnsi="华文中宋" w:eastAsia="华文中宋" w:cstheme="majorBidi"/>
      <w:b/>
      <w:bCs/>
      <w:sz w:val="24"/>
      <w:szCs w:val="28"/>
    </w:rPr>
  </w:style>
  <w:style w:type="paragraph" w:styleId="6">
    <w:name w:val="heading 5"/>
    <w:basedOn w:val="1"/>
    <w:next w:val="1"/>
    <w:link w:val="20"/>
    <w:unhideWhenUsed/>
    <w:qFormat/>
    <w:uiPriority w:val="99"/>
    <w:pPr>
      <w:numPr>
        <w:ilvl w:val="4"/>
        <w:numId w:val="1"/>
      </w:numPr>
      <w:adjustRightInd w:val="0"/>
      <w:snapToGrid w:val="0"/>
      <w:spacing w:line="360" w:lineRule="auto"/>
      <w:ind w:left="100" w:leftChars="100" w:firstLine="0"/>
      <w:jc w:val="left"/>
      <w:outlineLvl w:val="4"/>
    </w:pPr>
    <w:rPr>
      <w:rFonts w:ascii="华文中宋" w:hAnsi="华文中宋" w:eastAsia="华文中宋"/>
      <w:b/>
      <w:bCs/>
      <w:sz w:val="24"/>
      <w:szCs w:val="28"/>
    </w:rPr>
  </w:style>
  <w:style w:type="paragraph" w:styleId="7">
    <w:name w:val="heading 6"/>
    <w:basedOn w:val="6"/>
    <w:next w:val="1"/>
    <w:link w:val="21"/>
    <w:unhideWhenUsed/>
    <w:qFormat/>
    <w:uiPriority w:val="99"/>
    <w:pPr>
      <w:numPr>
        <w:ilvl w:val="5"/>
      </w:numPr>
      <w:outlineLvl w:val="5"/>
    </w:pPr>
  </w:style>
  <w:style w:type="paragraph" w:styleId="8">
    <w:name w:val="heading 7"/>
    <w:basedOn w:val="6"/>
    <w:next w:val="1"/>
    <w:link w:val="22"/>
    <w:unhideWhenUsed/>
    <w:qFormat/>
    <w:uiPriority w:val="99"/>
    <w:pPr>
      <w:numPr>
        <w:ilvl w:val="6"/>
      </w:numPr>
      <w:outlineLvl w:val="6"/>
    </w:pPr>
  </w:style>
  <w:style w:type="paragraph" w:styleId="9">
    <w:name w:val="heading 8"/>
    <w:basedOn w:val="6"/>
    <w:next w:val="1"/>
    <w:link w:val="23"/>
    <w:unhideWhenUsed/>
    <w:qFormat/>
    <w:uiPriority w:val="99"/>
    <w:pPr>
      <w:numPr>
        <w:ilvl w:val="7"/>
      </w:numPr>
      <w:outlineLvl w:val="7"/>
    </w:pPr>
  </w:style>
  <w:style w:type="paragraph" w:styleId="10">
    <w:name w:val="heading 9"/>
    <w:basedOn w:val="6"/>
    <w:next w:val="1"/>
    <w:link w:val="24"/>
    <w:unhideWhenUsed/>
    <w:qFormat/>
    <w:uiPriority w:val="99"/>
    <w:pPr>
      <w:numPr>
        <w:ilvl w:val="8"/>
      </w:numPr>
      <w:outlineLvl w:val="8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line="360" w:lineRule="auto"/>
      <w:ind w:firstLine="175" w:firstLineChars="175"/>
      <w:jc w:val="left"/>
      <w:textAlignment w:val="baseline"/>
    </w:pPr>
    <w:rPr>
      <w:rFonts w:ascii="宋体" w:hAnsi="宋体" w:eastAsia="宋体" w:cs="Arial"/>
      <w:snapToGrid w:val="0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无间隔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6">
    <w:name w:val="标题 1 Char"/>
    <w:basedOn w:val="14"/>
    <w:link w:val="2"/>
    <w:qFormat/>
    <w:uiPriority w:val="99"/>
    <w:rPr>
      <w:rFonts w:ascii="华文中宋" w:hAnsi="华文中宋" w:eastAsia="华文中宋"/>
      <w:b/>
      <w:bCs/>
      <w:kern w:val="44"/>
      <w:sz w:val="32"/>
      <w:szCs w:val="44"/>
    </w:rPr>
  </w:style>
  <w:style w:type="character" w:customStyle="1" w:styleId="17">
    <w:name w:val="标题 2 Char"/>
    <w:basedOn w:val="14"/>
    <w:link w:val="3"/>
    <w:qFormat/>
    <w:uiPriority w:val="99"/>
    <w:rPr>
      <w:rFonts w:ascii="华文中宋" w:hAnsi="华文中宋" w:eastAsia="华文中宋" w:cstheme="majorBidi"/>
      <w:b/>
      <w:bCs/>
      <w:sz w:val="30"/>
      <w:szCs w:val="32"/>
    </w:rPr>
  </w:style>
  <w:style w:type="character" w:customStyle="1" w:styleId="18">
    <w:name w:val="标题 3 Char"/>
    <w:basedOn w:val="14"/>
    <w:link w:val="4"/>
    <w:qFormat/>
    <w:uiPriority w:val="99"/>
    <w:rPr>
      <w:rFonts w:ascii="华文中宋" w:hAnsi="华文中宋" w:eastAsia="华文中宋"/>
      <w:b/>
      <w:bCs/>
      <w:sz w:val="28"/>
      <w:szCs w:val="32"/>
    </w:rPr>
  </w:style>
  <w:style w:type="character" w:customStyle="1" w:styleId="19">
    <w:name w:val="标题 4 Char"/>
    <w:basedOn w:val="14"/>
    <w:link w:val="5"/>
    <w:qFormat/>
    <w:uiPriority w:val="99"/>
    <w:rPr>
      <w:rFonts w:ascii="华文中宋" w:hAnsi="华文中宋" w:eastAsia="华文中宋" w:cstheme="majorBidi"/>
      <w:b/>
      <w:bCs/>
      <w:sz w:val="24"/>
      <w:szCs w:val="28"/>
    </w:rPr>
  </w:style>
  <w:style w:type="character" w:customStyle="1" w:styleId="20">
    <w:name w:val="标题 5 Char"/>
    <w:basedOn w:val="14"/>
    <w:link w:val="6"/>
    <w:qFormat/>
    <w:uiPriority w:val="99"/>
    <w:rPr>
      <w:rFonts w:ascii="华文中宋" w:hAnsi="华文中宋" w:eastAsia="华文中宋"/>
      <w:b/>
      <w:bCs/>
      <w:sz w:val="24"/>
      <w:szCs w:val="28"/>
    </w:rPr>
  </w:style>
  <w:style w:type="character" w:customStyle="1" w:styleId="21">
    <w:name w:val="标题 6 Char"/>
    <w:basedOn w:val="14"/>
    <w:link w:val="7"/>
    <w:qFormat/>
    <w:uiPriority w:val="99"/>
    <w:rPr>
      <w:rFonts w:ascii="华文中宋" w:hAnsi="华文中宋" w:eastAsia="华文中宋"/>
      <w:b/>
      <w:bCs/>
      <w:sz w:val="24"/>
      <w:szCs w:val="28"/>
    </w:rPr>
  </w:style>
  <w:style w:type="character" w:customStyle="1" w:styleId="22">
    <w:name w:val="标题 7 Char"/>
    <w:basedOn w:val="14"/>
    <w:link w:val="8"/>
    <w:qFormat/>
    <w:uiPriority w:val="99"/>
    <w:rPr>
      <w:rFonts w:ascii="华文中宋" w:hAnsi="华文中宋" w:eastAsia="华文中宋"/>
      <w:b/>
      <w:bCs/>
      <w:sz w:val="24"/>
      <w:szCs w:val="28"/>
    </w:rPr>
  </w:style>
  <w:style w:type="character" w:customStyle="1" w:styleId="23">
    <w:name w:val="标题 8 Char"/>
    <w:basedOn w:val="14"/>
    <w:link w:val="9"/>
    <w:qFormat/>
    <w:uiPriority w:val="99"/>
    <w:rPr>
      <w:rFonts w:ascii="华文中宋" w:hAnsi="华文中宋" w:eastAsia="华文中宋"/>
      <w:b/>
      <w:bCs/>
      <w:sz w:val="24"/>
      <w:szCs w:val="28"/>
    </w:rPr>
  </w:style>
  <w:style w:type="character" w:customStyle="1" w:styleId="24">
    <w:name w:val="标题 9 Char"/>
    <w:basedOn w:val="14"/>
    <w:link w:val="10"/>
    <w:qFormat/>
    <w:uiPriority w:val="99"/>
    <w:rPr>
      <w:rFonts w:ascii="华文中宋" w:hAnsi="华文中宋" w:eastAsia="华文中宋"/>
      <w:b/>
      <w:bCs/>
      <w:sz w:val="24"/>
      <w:szCs w:val="2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592</Words>
  <Characters>835</Characters>
  <Lines>12</Lines>
  <Paragraphs>3</Paragraphs>
  <TotalTime>21</TotalTime>
  <ScaleCrop>false</ScaleCrop>
  <LinksUpToDate>false</LinksUpToDate>
  <CharactersWithSpaces>872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2024-10-31T00:56:00Z</dcterms:created>
  <dc:creator>浙江螃蟹</dc:creator>
  <cp:lastModifiedBy>user</cp:lastModifiedBy>
  <dcterms:modified xsi:type="dcterms:W3CDTF">2025-01-07T06:53:17Z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D43D1D8EA91F41C7ADA2C275520C34C1</vt:lpwstr>
  </property>
  <property fmtid="{D5CDD505-2E9C-101B-9397-08002B2CF9AE}" pid="4" name="KSOTemplateDocerSaveRecord">
    <vt:lpwstr>eyJoZGlkIjoiZjU3YmRkNmFjNjZmNzE0ZTYyYTJlMjM5MjJiNjMxYjQiLCJ1c2VySWQiOiIyMDA2MTkzODcifQ==</vt:lpwstr>
  </property>
</Properties>
</file>