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28"/>
          <w:szCs w:val="28"/>
          <w:lang w:eastAsia="zh-CN"/>
        </w:rPr>
      </w:pPr>
      <w:r>
        <w:rPr>
          <w:rFonts w:hint="eastAsia" w:ascii="宋体" w:hAnsi="宋体" w:eastAsia="宋体" w:cs="宋体"/>
          <w:b/>
          <w:bCs/>
          <w:color w:val="000000" w:themeColor="text1"/>
          <w:sz w:val="28"/>
          <w:szCs w:val="28"/>
        </w:rPr>
        <w:t>项目名称：</w:t>
      </w:r>
      <w:bookmarkStart w:id="0" w:name="OLE_LINK1"/>
      <w:bookmarkStart w:id="1" w:name="OLE_LINK6"/>
      <w:r>
        <w:rPr>
          <w:rFonts w:hint="eastAsia" w:ascii="宋体" w:hAnsi="宋体" w:eastAsia="宋体" w:cs="宋体"/>
          <w:b/>
          <w:bCs/>
          <w:color w:val="000000" w:themeColor="text1"/>
          <w:sz w:val="28"/>
          <w:szCs w:val="28"/>
          <w:lang w:val="en-US" w:eastAsia="zh-CN"/>
        </w:rPr>
        <w:t>2025年</w:t>
      </w:r>
      <w:bookmarkEnd w:id="0"/>
      <w:r>
        <w:rPr>
          <w:rFonts w:hint="eastAsia" w:ascii="宋体" w:hAnsi="宋体" w:eastAsia="宋体" w:cs="宋体"/>
          <w:b/>
          <w:bCs/>
          <w:color w:val="000000" w:themeColor="text1"/>
          <w:sz w:val="28"/>
          <w:szCs w:val="28"/>
          <w:lang w:val="en-US" w:eastAsia="zh-CN"/>
        </w:rPr>
        <w:t>生产流通领域冲锋衣</w:t>
      </w:r>
      <w:bookmarkStart w:id="6" w:name="_GoBack"/>
      <w:r>
        <w:rPr>
          <w:rFonts w:hint="eastAsia" w:ascii="宋体" w:hAnsi="宋体" w:eastAsia="宋体" w:cs="宋体"/>
          <w:b/>
          <w:bCs/>
          <w:color w:val="000000" w:themeColor="text1"/>
          <w:sz w:val="28"/>
          <w:szCs w:val="28"/>
          <w:lang w:val="en-US" w:eastAsia="zh-CN"/>
        </w:rPr>
        <w:t>学生服</w:t>
      </w:r>
      <w:bookmarkEnd w:id="6"/>
      <w:r>
        <w:rPr>
          <w:rFonts w:hint="eastAsia" w:ascii="宋体" w:hAnsi="宋体" w:eastAsia="宋体" w:cs="宋体"/>
          <w:b/>
          <w:bCs/>
          <w:color w:val="000000" w:themeColor="text1"/>
          <w:sz w:val="28"/>
          <w:szCs w:val="28"/>
          <w:lang w:val="en-US" w:eastAsia="zh-CN"/>
        </w:rPr>
        <w:t>等产品质量抽样检验及风险监测服务项目</w:t>
      </w:r>
      <w:bookmarkEnd w:id="1"/>
      <w:r>
        <w:rPr>
          <w:rFonts w:hint="eastAsia" w:ascii="宋体" w:hAnsi="宋体" w:eastAsia="宋体" w:cs="宋体"/>
          <w:b/>
          <w:bCs/>
          <w:color w:val="000000" w:themeColor="text1"/>
          <w:sz w:val="28"/>
          <w:szCs w:val="28"/>
          <w:lang w:eastAsia="zh-CN"/>
        </w:rPr>
        <w:t>（</w:t>
      </w:r>
      <w:r>
        <w:rPr>
          <w:rFonts w:hint="eastAsia" w:ascii="宋体" w:hAnsi="宋体" w:eastAsia="宋体" w:cs="宋体"/>
          <w:b/>
          <w:bCs/>
          <w:color w:val="000000" w:themeColor="text1"/>
          <w:sz w:val="28"/>
          <w:szCs w:val="28"/>
          <w:lang w:val="en-US" w:eastAsia="zh-CN"/>
        </w:rPr>
        <w:t>政府采购、协议采购询价单</w:t>
      </w:r>
      <w:r>
        <w:rPr>
          <w:rFonts w:hint="eastAsia" w:ascii="宋体" w:hAnsi="宋体" w:eastAsia="宋体" w:cs="宋体"/>
          <w:b/>
          <w:bCs/>
          <w:color w:val="000000" w:themeColor="text1"/>
          <w:sz w:val="28"/>
          <w:szCs w:val="28"/>
          <w:lang w:eastAsia="zh-CN"/>
        </w:rPr>
        <w:t>）</w:t>
      </w:r>
    </w:p>
    <w:p>
      <w:pPr>
        <w:widowControl/>
        <w:ind w:left="1054" w:hanging="1054" w:hangingChars="500"/>
        <w:textAlignment w:val="center"/>
        <w:rPr>
          <w:rFonts w:ascii="宋体" w:hAnsi="宋体" w:eastAsia="宋体" w:cs="宋体"/>
          <w:b/>
          <w:bCs/>
          <w:color w:val="000000" w:themeColor="text1"/>
          <w:szCs w:val="21"/>
        </w:rPr>
      </w:pPr>
    </w:p>
    <w:p>
      <w:pPr>
        <w:spacing w:line="360" w:lineRule="auto"/>
        <w:rPr>
          <w:rFonts w:hint="eastAsia" w:ascii="宋体" w:hAnsi="宋体" w:eastAsia="宋体" w:cs="宋体"/>
          <w:color w:val="000000" w:themeColor="text1"/>
          <w:sz w:val="24"/>
        </w:rPr>
      </w:pPr>
      <w:r>
        <w:rPr>
          <w:rFonts w:hint="eastAsia" w:ascii="宋体" w:hAnsi="宋体" w:eastAsia="宋体" w:cs="宋体"/>
          <w:b/>
          <w:color w:val="000000" w:themeColor="text1"/>
          <w:sz w:val="24"/>
        </w:rPr>
        <w:t>预算总额：</w:t>
      </w:r>
      <w:r>
        <w:rPr>
          <w:rFonts w:hint="eastAsia" w:ascii="宋体" w:hAnsi="宋体" w:eastAsia="宋体" w:cs="宋体"/>
          <w:sz w:val="24"/>
          <w:lang w:val="en-US" w:eastAsia="zh-CN"/>
        </w:rPr>
        <w:t>34400.00</w:t>
      </w:r>
      <w:r>
        <w:rPr>
          <w:rFonts w:hint="eastAsia" w:ascii="宋体" w:hAnsi="宋体" w:eastAsia="宋体" w:cs="宋体"/>
          <w:color w:val="000000" w:themeColor="text1"/>
          <w:sz w:val="24"/>
        </w:rPr>
        <w:t>元（最终以实际抽</w:t>
      </w:r>
      <w:r>
        <w:rPr>
          <w:rFonts w:hint="eastAsia" w:asciiTheme="majorEastAsia" w:hAnsiTheme="majorEastAsia" w:eastAsiaTheme="majorEastAsia" w:cstheme="majorEastAsia"/>
          <w:sz w:val="24"/>
        </w:rPr>
        <w:t>检产品和批次数对应</w:t>
      </w:r>
      <w:r>
        <w:rPr>
          <w:rFonts w:hint="eastAsia" w:ascii="宋体" w:hAnsi="宋体" w:eastAsia="宋体" w:cs="宋体"/>
          <w:color w:val="000000" w:themeColor="text1"/>
          <w:sz w:val="24"/>
        </w:rPr>
        <w:t>报价核算</w:t>
      </w:r>
      <w:r>
        <w:rPr>
          <w:rFonts w:hint="eastAsia" w:ascii="宋体" w:hAnsi="宋体" w:eastAsia="宋体" w:cs="宋体"/>
          <w:color w:val="000000" w:themeColor="text1"/>
          <w:sz w:val="24"/>
          <w:lang w:val="en-US" w:eastAsia="zh-CN"/>
        </w:rPr>
        <w:t>,抽检费用不含买样费。买样费按实际发生结算。</w:t>
      </w:r>
      <w:r>
        <w:rPr>
          <w:rFonts w:hint="eastAsia" w:ascii="宋体" w:hAnsi="宋体" w:eastAsia="宋体" w:cs="宋体"/>
          <w:color w:val="000000" w:themeColor="text1"/>
          <w:sz w:val="24"/>
        </w:rPr>
        <w:t>）</w:t>
      </w:r>
    </w:p>
    <w:p>
      <w:pPr>
        <w:spacing w:line="360" w:lineRule="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rPr>
        <w:t>检测类型</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监督检验</w:t>
      </w:r>
      <w:r>
        <w:rPr>
          <w:rFonts w:hint="eastAsia" w:ascii="宋体" w:hAnsi="宋体" w:eastAsia="宋体" w:cs="宋体"/>
          <w:color w:val="000000" w:themeColor="text1"/>
          <w:sz w:val="24"/>
          <w:lang w:eastAsia="zh-CN"/>
        </w:rPr>
        <w:t>。</w:t>
      </w:r>
    </w:p>
    <w:p>
      <w:pPr>
        <w:spacing w:line="360" w:lineRule="auto"/>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eastAsia="zh-CN"/>
        </w:rPr>
        <w:t>检测方式：</w:t>
      </w:r>
      <w:bookmarkStart w:id="2" w:name="OLE_LINK5"/>
      <w:bookmarkStart w:id="3" w:name="OLE_LINK4"/>
      <w:bookmarkStart w:id="4" w:name="OLE_LINK3"/>
      <w:r>
        <w:rPr>
          <w:rFonts w:hint="eastAsia" w:ascii="宋体" w:hAnsi="宋体" w:eastAsia="宋体" w:cs="宋体"/>
          <w:color w:val="000000" w:themeColor="text1"/>
          <w:sz w:val="24"/>
          <w:lang w:eastAsia="zh-CN"/>
        </w:rPr>
        <w:t>抽样检验，破坏性检验</w:t>
      </w:r>
      <w:bookmarkEnd w:id="2"/>
      <w:r>
        <w:rPr>
          <w:rFonts w:hint="eastAsia" w:ascii="宋体" w:hAnsi="宋体" w:eastAsia="宋体" w:cs="宋体"/>
          <w:color w:val="000000" w:themeColor="text1"/>
          <w:sz w:val="24"/>
          <w:lang w:eastAsia="zh-CN"/>
        </w:rPr>
        <w:t>。</w:t>
      </w:r>
      <w:bookmarkEnd w:id="3"/>
    </w:p>
    <w:bookmarkEnd w:id="4"/>
    <w:p>
      <w:pPr>
        <w:spacing w:line="360" w:lineRule="auto"/>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任务时限：2025年1月至2025年12月。</w:t>
      </w:r>
    </w:p>
    <w:p>
      <w:pPr>
        <w:spacing w:line="360" w:lineRule="auto"/>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服务开展：根据我局任务安排开展。我局保留任务取消或酌减的</w:t>
      </w:r>
      <w:r>
        <w:rPr>
          <w:rFonts w:hint="eastAsia" w:ascii="宋体" w:hAnsi="宋体" w:eastAsia="宋体" w:cs="宋体"/>
          <w:color w:val="000000" w:themeColor="text1"/>
          <w:sz w:val="24"/>
        </w:rPr>
        <w:t>权利</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凡参与询价的检验检测机构，视为同意本附件内容。</w:t>
      </w:r>
    </w:p>
    <w:p>
      <w:pPr>
        <w:spacing w:line="360" w:lineRule="auto"/>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联系人：任传好，章正伟       电话：0576-83302936，83301662</w:t>
      </w:r>
    </w:p>
    <w:tbl>
      <w:tblPr>
        <w:tblStyle w:val="12"/>
        <w:tblpPr w:leftFromText="180" w:rightFromText="180" w:vertAnchor="text" w:horzAnchor="page" w:tblpX="702" w:tblpY="498"/>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900"/>
        <w:gridCol w:w="735"/>
        <w:gridCol w:w="705"/>
        <w:gridCol w:w="885"/>
        <w:gridCol w:w="1005"/>
        <w:gridCol w:w="990"/>
        <w:gridCol w:w="855"/>
        <w:gridCol w:w="985"/>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30" w:type="dxa"/>
            <w:vMerge w:val="restart"/>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900" w:type="dxa"/>
            <w:vMerge w:val="restart"/>
            <w:vAlign w:val="center"/>
          </w:tcPr>
          <w:p>
            <w:pPr>
              <w:jc w:val="center"/>
              <w:rPr>
                <w:rFonts w:ascii="宋体" w:hAnsi="宋体" w:eastAsia="宋体" w:cs="宋体"/>
                <w:b/>
                <w:bCs/>
                <w:szCs w:val="21"/>
              </w:rPr>
            </w:pPr>
            <w:r>
              <w:rPr>
                <w:rFonts w:hint="eastAsia" w:ascii="宋体" w:hAnsi="宋体" w:eastAsia="宋体" w:cs="宋体"/>
                <w:b/>
                <w:bCs/>
                <w:szCs w:val="21"/>
              </w:rPr>
              <w:t>监督抽检产品名称</w:t>
            </w:r>
          </w:p>
        </w:tc>
        <w:tc>
          <w:tcPr>
            <w:tcW w:w="1440" w:type="dxa"/>
            <w:gridSpan w:val="2"/>
            <w:vAlign w:val="center"/>
          </w:tcPr>
          <w:p>
            <w:pPr>
              <w:jc w:val="center"/>
              <w:rPr>
                <w:rFonts w:hint="eastAsia" w:ascii="宋体" w:hAnsi="宋体" w:eastAsia="宋体" w:cs="宋体"/>
                <w:b/>
                <w:bCs/>
                <w:szCs w:val="21"/>
              </w:rPr>
            </w:pPr>
            <w:r>
              <w:rPr>
                <w:rFonts w:hint="eastAsia" w:ascii="宋体" w:hAnsi="宋体" w:eastAsia="宋体" w:cs="宋体"/>
                <w:b/>
                <w:bCs/>
                <w:szCs w:val="21"/>
              </w:rPr>
              <w:t>计划</w:t>
            </w:r>
          </w:p>
          <w:p>
            <w:pPr>
              <w:jc w:val="center"/>
              <w:rPr>
                <w:rFonts w:hint="eastAsia" w:ascii="宋体" w:hAnsi="宋体" w:eastAsia="宋体" w:cs="宋体"/>
                <w:b/>
                <w:bCs/>
                <w:szCs w:val="21"/>
                <w:lang w:val="en-US" w:eastAsia="zh-CN"/>
              </w:rPr>
            </w:pPr>
            <w:r>
              <w:rPr>
                <w:rFonts w:hint="eastAsia" w:ascii="宋体" w:hAnsi="宋体" w:eastAsia="宋体" w:cs="宋体"/>
                <w:b/>
                <w:bCs/>
                <w:szCs w:val="21"/>
              </w:rPr>
              <w:t>批次</w:t>
            </w:r>
          </w:p>
        </w:tc>
        <w:tc>
          <w:tcPr>
            <w:tcW w:w="885" w:type="dxa"/>
            <w:vMerge w:val="restart"/>
            <w:vAlign w:val="center"/>
          </w:tcPr>
          <w:p>
            <w:pPr>
              <w:jc w:val="center"/>
              <w:rPr>
                <w:rFonts w:hint="eastAsia" w:ascii="宋体" w:hAnsi="宋体" w:eastAsia="宋体" w:cs="宋体"/>
                <w:b/>
                <w:bCs/>
                <w:szCs w:val="21"/>
              </w:rPr>
            </w:pPr>
            <w:r>
              <w:rPr>
                <w:rFonts w:hint="eastAsia" w:ascii="宋体" w:hAnsi="宋体" w:eastAsia="宋体" w:cs="宋体"/>
                <w:b/>
                <w:bCs/>
                <w:szCs w:val="21"/>
              </w:rPr>
              <w:t>单批次检验费（元∕批次）（报价）</w:t>
            </w:r>
          </w:p>
        </w:tc>
        <w:tc>
          <w:tcPr>
            <w:tcW w:w="1005" w:type="dxa"/>
            <w:vMerge w:val="restart"/>
            <w:vAlign w:val="center"/>
          </w:tcPr>
          <w:p>
            <w:pPr>
              <w:jc w:val="center"/>
              <w:rPr>
                <w:rFonts w:hint="eastAsia" w:ascii="宋体" w:hAnsi="宋体" w:eastAsia="宋体" w:cs="宋体"/>
                <w:b/>
                <w:bCs/>
                <w:szCs w:val="21"/>
              </w:rPr>
            </w:pPr>
            <w:r>
              <w:rPr>
                <w:rFonts w:hint="eastAsia" w:ascii="宋体" w:hAnsi="宋体" w:eastAsia="宋体" w:cs="宋体"/>
                <w:b/>
                <w:bCs/>
                <w:szCs w:val="21"/>
              </w:rPr>
              <w:t>单批次检验费最高限价（元/批次）</w:t>
            </w:r>
          </w:p>
        </w:tc>
        <w:tc>
          <w:tcPr>
            <w:tcW w:w="990" w:type="dxa"/>
            <w:vMerge w:val="restart"/>
            <w:vAlign w:val="center"/>
          </w:tcPr>
          <w:p>
            <w:pPr>
              <w:jc w:val="center"/>
              <w:rPr>
                <w:rFonts w:hint="eastAsia" w:ascii="宋体" w:hAnsi="宋体" w:eastAsia="宋体" w:cs="宋体"/>
                <w:b/>
                <w:bCs/>
                <w:szCs w:val="21"/>
              </w:rPr>
            </w:pPr>
            <w:r>
              <w:rPr>
                <w:rFonts w:hint="eastAsia" w:ascii="宋体" w:hAnsi="宋体" w:eastAsia="宋体" w:cs="宋体"/>
                <w:b/>
                <w:bCs/>
                <w:szCs w:val="21"/>
              </w:rPr>
              <w:t>检验费总额（元）（报价）</w:t>
            </w:r>
          </w:p>
        </w:tc>
        <w:tc>
          <w:tcPr>
            <w:tcW w:w="855" w:type="dxa"/>
            <w:vMerge w:val="restart"/>
            <w:vAlign w:val="center"/>
          </w:tcPr>
          <w:p>
            <w:pPr>
              <w:jc w:val="center"/>
              <w:rPr>
                <w:rFonts w:hint="eastAsia" w:ascii="宋体" w:hAnsi="宋体" w:eastAsia="宋体" w:cs="宋体"/>
                <w:b/>
                <w:bCs/>
                <w:szCs w:val="21"/>
              </w:rPr>
            </w:pPr>
            <w:r>
              <w:rPr>
                <w:rFonts w:hint="eastAsia" w:ascii="宋体" w:hAnsi="宋体" w:eastAsia="宋体" w:cs="宋体"/>
                <w:b/>
                <w:bCs/>
                <w:szCs w:val="21"/>
              </w:rPr>
              <w:t>预算总额最高限价（元）</w:t>
            </w:r>
          </w:p>
        </w:tc>
        <w:tc>
          <w:tcPr>
            <w:tcW w:w="985" w:type="dxa"/>
            <w:vMerge w:val="restart"/>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备注</w:t>
            </w:r>
          </w:p>
        </w:tc>
        <w:tc>
          <w:tcPr>
            <w:tcW w:w="3305" w:type="dxa"/>
            <w:vMerge w:val="restart"/>
            <w:vAlign w:val="center"/>
          </w:tcPr>
          <w:p>
            <w:pPr>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30" w:type="dxa"/>
            <w:vMerge w:val="continue"/>
            <w:vAlign w:val="center"/>
          </w:tcPr>
          <w:p>
            <w:pPr>
              <w:jc w:val="center"/>
              <w:rPr>
                <w:rFonts w:ascii="宋体" w:hAnsi="宋体" w:eastAsia="宋体" w:cs="宋体"/>
                <w:b/>
                <w:bCs/>
                <w:szCs w:val="21"/>
              </w:rPr>
            </w:pPr>
          </w:p>
        </w:tc>
        <w:tc>
          <w:tcPr>
            <w:tcW w:w="900" w:type="dxa"/>
            <w:vMerge w:val="continue"/>
            <w:vAlign w:val="center"/>
          </w:tcPr>
          <w:p>
            <w:pPr>
              <w:jc w:val="center"/>
              <w:rPr>
                <w:rFonts w:ascii="宋体" w:hAnsi="宋体" w:eastAsia="宋体" w:cs="宋体"/>
                <w:b/>
                <w:bCs/>
                <w:szCs w:val="21"/>
              </w:rPr>
            </w:pPr>
          </w:p>
        </w:tc>
        <w:tc>
          <w:tcPr>
            <w:tcW w:w="735" w:type="dxa"/>
            <w:vAlign w:val="center"/>
          </w:tcPr>
          <w:p>
            <w:pPr>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生产流通</w:t>
            </w:r>
          </w:p>
        </w:tc>
        <w:tc>
          <w:tcPr>
            <w:tcW w:w="705" w:type="dxa"/>
            <w:vAlign w:val="center"/>
          </w:tcPr>
          <w:p>
            <w:pPr>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流通领域</w:t>
            </w:r>
          </w:p>
        </w:tc>
        <w:tc>
          <w:tcPr>
            <w:tcW w:w="885" w:type="dxa"/>
            <w:vMerge w:val="continue"/>
            <w:vAlign w:val="center"/>
          </w:tcPr>
          <w:p>
            <w:pPr>
              <w:jc w:val="center"/>
              <w:rPr>
                <w:rFonts w:hint="eastAsia" w:ascii="宋体" w:hAnsi="宋体" w:eastAsia="宋体" w:cs="宋体"/>
                <w:b/>
                <w:bCs/>
                <w:szCs w:val="21"/>
              </w:rPr>
            </w:pPr>
          </w:p>
        </w:tc>
        <w:tc>
          <w:tcPr>
            <w:tcW w:w="1005" w:type="dxa"/>
            <w:vMerge w:val="continue"/>
            <w:vAlign w:val="center"/>
          </w:tcPr>
          <w:p>
            <w:pPr>
              <w:jc w:val="center"/>
              <w:rPr>
                <w:rFonts w:hint="eastAsia" w:ascii="宋体" w:hAnsi="宋体" w:eastAsia="宋体" w:cs="宋体"/>
                <w:b/>
                <w:bCs/>
                <w:szCs w:val="21"/>
              </w:rPr>
            </w:pPr>
          </w:p>
        </w:tc>
        <w:tc>
          <w:tcPr>
            <w:tcW w:w="990" w:type="dxa"/>
            <w:vMerge w:val="continue"/>
            <w:vAlign w:val="center"/>
          </w:tcPr>
          <w:p>
            <w:pPr>
              <w:jc w:val="center"/>
              <w:rPr>
                <w:rFonts w:hint="eastAsia" w:ascii="宋体" w:hAnsi="宋体" w:eastAsia="宋体" w:cs="宋体"/>
                <w:b/>
                <w:bCs/>
                <w:szCs w:val="21"/>
              </w:rPr>
            </w:pPr>
          </w:p>
        </w:tc>
        <w:tc>
          <w:tcPr>
            <w:tcW w:w="855" w:type="dxa"/>
            <w:vMerge w:val="continue"/>
            <w:vAlign w:val="center"/>
          </w:tcPr>
          <w:p>
            <w:pPr>
              <w:jc w:val="center"/>
              <w:rPr>
                <w:rFonts w:hint="eastAsia" w:ascii="宋体" w:hAnsi="宋体" w:eastAsia="宋体" w:cs="宋体"/>
                <w:b/>
                <w:bCs/>
                <w:szCs w:val="21"/>
              </w:rPr>
            </w:pPr>
          </w:p>
        </w:tc>
        <w:tc>
          <w:tcPr>
            <w:tcW w:w="985" w:type="dxa"/>
            <w:vMerge w:val="continue"/>
            <w:vAlign w:val="center"/>
          </w:tcPr>
          <w:p>
            <w:pPr>
              <w:jc w:val="center"/>
              <w:rPr>
                <w:rFonts w:hint="eastAsia" w:ascii="宋体" w:hAnsi="宋体" w:eastAsia="宋体" w:cs="宋体"/>
                <w:b/>
                <w:bCs/>
                <w:szCs w:val="21"/>
              </w:rPr>
            </w:pPr>
          </w:p>
        </w:tc>
        <w:tc>
          <w:tcPr>
            <w:tcW w:w="3305" w:type="dxa"/>
            <w:vMerge w:val="continue"/>
            <w:vAlign w:val="center"/>
          </w:tcPr>
          <w:p>
            <w:pPr>
              <w:jc w:val="center"/>
              <w:rPr>
                <w:rFonts w:hint="default" w:ascii="宋体" w:hAnsi="宋体" w:eastAsia="宋体" w:cs="宋体"/>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3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学生服</w:t>
            </w:r>
          </w:p>
        </w:tc>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5" w:name="OLE_LINK2"/>
            <w:r>
              <w:rPr>
                <w:rFonts w:hint="eastAsia" w:ascii="宋体" w:hAnsi="宋体" w:eastAsia="宋体" w:cs="宋体"/>
                <w:i w:val="0"/>
                <w:iCs w:val="0"/>
                <w:color w:val="000000"/>
                <w:kern w:val="0"/>
                <w:sz w:val="22"/>
                <w:szCs w:val="22"/>
                <w:u w:val="none"/>
                <w:lang w:val="en-US" w:eastAsia="zh-CN" w:bidi="ar"/>
              </w:rPr>
              <w:t>6</w:t>
            </w:r>
          </w:p>
          <w:bookmarkEnd w:id="5"/>
        </w:tc>
        <w:tc>
          <w:tcPr>
            <w:tcW w:w="70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85" w:type="dxa"/>
            <w:shd w:val="clear" w:color="auto" w:fill="auto"/>
            <w:vAlign w:val="center"/>
          </w:tcPr>
          <w:p>
            <w:pPr>
              <w:jc w:val="left"/>
              <w:rPr>
                <w:rFonts w:ascii="宋体" w:hAnsi="宋体" w:eastAsia="宋体" w:cs="宋体"/>
                <w:b/>
                <w:bCs/>
                <w:kern w:val="2"/>
                <w:sz w:val="21"/>
                <w:szCs w:val="21"/>
                <w:lang w:val="en-US" w:eastAsia="zh-CN" w:bidi="ar-SA"/>
              </w:rPr>
            </w:pPr>
          </w:p>
        </w:tc>
        <w:tc>
          <w:tcPr>
            <w:tcW w:w="1005" w:type="dxa"/>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2000</w:t>
            </w:r>
          </w:p>
        </w:tc>
        <w:tc>
          <w:tcPr>
            <w:tcW w:w="990" w:type="dxa"/>
            <w:shd w:val="clear" w:color="auto" w:fill="auto"/>
            <w:vAlign w:val="center"/>
          </w:tcPr>
          <w:p>
            <w:pPr>
              <w:jc w:val="center"/>
              <w:rPr>
                <w:rFonts w:ascii="宋体" w:hAnsi="宋体" w:eastAsia="宋体" w:cs="宋体"/>
                <w:b/>
                <w:bCs/>
                <w:kern w:val="2"/>
                <w:sz w:val="21"/>
                <w:szCs w:val="21"/>
                <w:lang w:val="en-US" w:eastAsia="zh-CN" w:bidi="ar-SA"/>
              </w:rPr>
            </w:pPr>
          </w:p>
        </w:tc>
        <w:tc>
          <w:tcPr>
            <w:tcW w:w="855"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12000</w:t>
            </w:r>
          </w:p>
        </w:tc>
        <w:tc>
          <w:tcPr>
            <w:tcW w:w="985" w:type="dxa"/>
            <w:vAlign w:val="center"/>
          </w:tcPr>
          <w:p>
            <w:pPr>
              <w:jc w:val="center"/>
              <w:rPr>
                <w:rFonts w:hint="eastAsia" w:ascii="宋体" w:hAnsi="宋体" w:eastAsia="宋体" w:cs="宋体"/>
                <w:color w:val="000000"/>
                <w:kern w:val="0"/>
                <w:szCs w:val="21"/>
                <w:lang w:val="en-US" w:eastAsia="zh-CN"/>
              </w:rPr>
            </w:pPr>
          </w:p>
        </w:tc>
        <w:tc>
          <w:tcPr>
            <w:tcW w:w="3305" w:type="dxa"/>
            <w:vMerge w:val="restart"/>
            <w:vAlign w:val="center"/>
          </w:tcPr>
          <w:p>
            <w:pPr>
              <w:spacing w:line="360" w:lineRule="auto"/>
              <w:ind w:firstLine="400" w:firstLineChars="20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询价机构需要熟悉《中华人民共和国产品质量法》、《中华人民共和国消费者权益保护法》、《产品质量监督抽查管理暂行办法》等法律法规及浙江省产品质量监督工作的有关规定，需上传本次询价抽检服务对应检验项目的省级以上资质证书及能力附表，及时提供实施细则。</w:t>
            </w:r>
          </w:p>
          <w:p>
            <w:pPr>
              <w:spacing w:line="360" w:lineRule="auto"/>
              <w:ind w:firstLine="400" w:firstLineChars="200"/>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0"/>
                <w:szCs w:val="20"/>
                <w:u w:val="none"/>
                <w:lang w:val="en-US" w:eastAsia="zh-CN" w:bidi="ar"/>
              </w:rPr>
              <w:t>如果涉及虚假或恶意申报，或能力不足，我局将取消本次询价结果，并向政采云平台管理方反馈。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00" w:type="dxa"/>
            <w:vAlign w:val="center"/>
          </w:tcPr>
          <w:p>
            <w:pPr>
              <w:keepNext w:val="0"/>
              <w:keepLines w:val="0"/>
              <w:widowControl/>
              <w:suppressLineNumbers w:val="0"/>
              <w:jc w:val="center"/>
              <w:textAlignment w:val="center"/>
              <w:rPr>
                <w:rFonts w:hint="eastAsia" w:hAnsi="宋体" w:cs="宋体"/>
                <w:bCs/>
                <w:szCs w:val="21"/>
              </w:rPr>
            </w:pPr>
            <w:r>
              <w:rPr>
                <w:rFonts w:hint="eastAsia" w:ascii="宋体" w:hAnsi="宋体" w:eastAsia="宋体" w:cs="宋体"/>
                <w:i w:val="0"/>
                <w:iCs w:val="0"/>
                <w:color w:val="000000"/>
                <w:kern w:val="0"/>
                <w:sz w:val="24"/>
                <w:szCs w:val="24"/>
                <w:u w:val="none"/>
                <w:lang w:val="en-US" w:eastAsia="zh-CN" w:bidi="ar"/>
              </w:rPr>
              <w:t>户外运动服装（含冲锋衣）</w:t>
            </w:r>
          </w:p>
        </w:tc>
        <w:tc>
          <w:tcPr>
            <w:tcW w:w="7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85" w:type="dxa"/>
            <w:vAlign w:val="center"/>
          </w:tcPr>
          <w:p>
            <w:pPr>
              <w:jc w:val="left"/>
              <w:rPr>
                <w:rFonts w:ascii="宋体" w:hAnsi="宋体" w:eastAsia="宋体" w:cs="宋体"/>
                <w:b/>
                <w:bCs/>
                <w:kern w:val="2"/>
                <w:sz w:val="21"/>
                <w:szCs w:val="21"/>
                <w:lang w:val="en-US" w:eastAsia="zh-CN" w:bidi="ar-SA"/>
              </w:rPr>
            </w:pPr>
          </w:p>
        </w:tc>
        <w:tc>
          <w:tcPr>
            <w:tcW w:w="100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2500</w:t>
            </w:r>
          </w:p>
        </w:tc>
        <w:tc>
          <w:tcPr>
            <w:tcW w:w="990" w:type="dxa"/>
            <w:vAlign w:val="center"/>
          </w:tcPr>
          <w:p>
            <w:pPr>
              <w:jc w:val="center"/>
              <w:rPr>
                <w:rFonts w:hint="eastAsia" w:ascii="宋体" w:hAnsi="宋体" w:eastAsia="宋体" w:cs="宋体"/>
                <w:color w:val="000000"/>
                <w:kern w:val="0"/>
                <w:szCs w:val="21"/>
                <w:lang w:val="en-US" w:eastAsia="zh-CN"/>
              </w:rPr>
            </w:pPr>
          </w:p>
        </w:tc>
        <w:tc>
          <w:tcPr>
            <w:tcW w:w="85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5000</w:t>
            </w:r>
          </w:p>
        </w:tc>
        <w:tc>
          <w:tcPr>
            <w:tcW w:w="985" w:type="dxa"/>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需免费提供现场技术讲座和技术帮扶工作。</w:t>
            </w:r>
          </w:p>
        </w:tc>
        <w:tc>
          <w:tcPr>
            <w:tcW w:w="3305" w:type="dxa"/>
            <w:vMerge w:val="continue"/>
            <w:vAlign w:val="center"/>
          </w:tcPr>
          <w:p>
            <w:pPr>
              <w:spacing w:line="360" w:lineRule="auto"/>
              <w:ind w:firstLine="420" w:firstLineChars="200"/>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00" w:type="dxa"/>
            <w:vAlign w:val="center"/>
          </w:tcPr>
          <w:p>
            <w:pPr>
              <w:keepNext w:val="0"/>
              <w:keepLines w:val="0"/>
              <w:widowControl/>
              <w:suppressLineNumbers w:val="0"/>
              <w:jc w:val="center"/>
              <w:textAlignment w:val="center"/>
              <w:rPr>
                <w:rFonts w:hint="eastAsia" w:hAnsi="宋体" w:cs="宋体"/>
                <w:bCs/>
                <w:szCs w:val="21"/>
              </w:rPr>
            </w:pPr>
            <w:r>
              <w:rPr>
                <w:rFonts w:hint="eastAsia" w:ascii="宋体" w:hAnsi="宋体" w:eastAsia="宋体" w:cs="宋体"/>
                <w:i w:val="0"/>
                <w:iCs w:val="0"/>
                <w:color w:val="000000"/>
                <w:kern w:val="0"/>
                <w:sz w:val="24"/>
                <w:szCs w:val="24"/>
                <w:u w:val="none"/>
                <w:lang w:val="en-US" w:eastAsia="zh-CN" w:bidi="ar"/>
              </w:rPr>
              <w:t>面料</w:t>
            </w:r>
          </w:p>
        </w:tc>
        <w:tc>
          <w:tcPr>
            <w:tcW w:w="7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85" w:type="dxa"/>
            <w:vAlign w:val="center"/>
          </w:tcPr>
          <w:p>
            <w:pPr>
              <w:jc w:val="left"/>
              <w:rPr>
                <w:rFonts w:ascii="宋体" w:hAnsi="宋体" w:eastAsia="宋体" w:cs="宋体"/>
                <w:b/>
                <w:bCs/>
                <w:kern w:val="2"/>
                <w:sz w:val="21"/>
                <w:szCs w:val="21"/>
                <w:lang w:val="en-US" w:eastAsia="zh-CN" w:bidi="ar-SA"/>
              </w:rPr>
            </w:pPr>
          </w:p>
        </w:tc>
        <w:tc>
          <w:tcPr>
            <w:tcW w:w="100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2500</w:t>
            </w:r>
          </w:p>
        </w:tc>
        <w:tc>
          <w:tcPr>
            <w:tcW w:w="990" w:type="dxa"/>
            <w:vAlign w:val="center"/>
          </w:tcPr>
          <w:p>
            <w:pPr>
              <w:jc w:val="center"/>
              <w:rPr>
                <w:rFonts w:hint="eastAsia" w:ascii="宋体" w:hAnsi="宋体" w:eastAsia="宋体" w:cs="宋体"/>
                <w:color w:val="000000"/>
                <w:kern w:val="0"/>
                <w:szCs w:val="21"/>
                <w:lang w:val="en-US" w:eastAsia="zh-CN"/>
              </w:rPr>
            </w:pPr>
          </w:p>
        </w:tc>
        <w:tc>
          <w:tcPr>
            <w:tcW w:w="85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7500</w:t>
            </w:r>
          </w:p>
        </w:tc>
        <w:tc>
          <w:tcPr>
            <w:tcW w:w="985" w:type="dxa"/>
            <w:vAlign w:val="center"/>
          </w:tcPr>
          <w:p>
            <w:pPr>
              <w:jc w:val="center"/>
              <w:rPr>
                <w:rFonts w:hint="eastAsia" w:ascii="宋体" w:hAnsi="宋体" w:eastAsia="宋体" w:cs="宋体"/>
                <w:color w:val="000000"/>
                <w:kern w:val="0"/>
                <w:szCs w:val="21"/>
                <w:lang w:val="en-US" w:eastAsia="zh-CN"/>
              </w:rPr>
            </w:pPr>
          </w:p>
        </w:tc>
        <w:tc>
          <w:tcPr>
            <w:tcW w:w="3305" w:type="dxa"/>
            <w:vMerge w:val="continue"/>
            <w:vAlign w:val="center"/>
          </w:tcPr>
          <w:p>
            <w:pPr>
              <w:spacing w:line="360" w:lineRule="auto"/>
              <w:ind w:firstLine="420" w:firstLineChars="200"/>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900" w:type="dxa"/>
            <w:vAlign w:val="center"/>
          </w:tcPr>
          <w:p>
            <w:pPr>
              <w:keepNext w:val="0"/>
              <w:keepLines w:val="0"/>
              <w:widowControl/>
              <w:suppressLineNumbers w:val="0"/>
              <w:jc w:val="center"/>
              <w:textAlignment w:val="center"/>
              <w:rPr>
                <w:rFonts w:hint="eastAsia" w:hAnsi="宋体" w:cs="宋体"/>
                <w:bCs/>
                <w:szCs w:val="21"/>
              </w:rPr>
            </w:pPr>
            <w:r>
              <w:rPr>
                <w:rFonts w:hint="eastAsia" w:ascii="宋体" w:hAnsi="宋体" w:eastAsia="宋体" w:cs="宋体"/>
                <w:i w:val="0"/>
                <w:iCs w:val="0"/>
                <w:color w:val="000000"/>
                <w:kern w:val="0"/>
                <w:sz w:val="24"/>
                <w:szCs w:val="24"/>
                <w:u w:val="none"/>
                <w:lang w:val="en-US" w:eastAsia="zh-CN" w:bidi="ar"/>
              </w:rPr>
              <w:t>拉链</w:t>
            </w:r>
          </w:p>
        </w:tc>
        <w:tc>
          <w:tcPr>
            <w:tcW w:w="7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85" w:type="dxa"/>
            <w:vAlign w:val="center"/>
          </w:tcPr>
          <w:p>
            <w:pPr>
              <w:jc w:val="left"/>
              <w:rPr>
                <w:rFonts w:ascii="宋体" w:hAnsi="宋体" w:eastAsia="宋体" w:cs="宋体"/>
                <w:b/>
                <w:bCs/>
                <w:kern w:val="2"/>
                <w:sz w:val="21"/>
                <w:szCs w:val="21"/>
                <w:lang w:val="en-US" w:eastAsia="zh-CN" w:bidi="ar-SA"/>
              </w:rPr>
            </w:pPr>
          </w:p>
        </w:tc>
        <w:tc>
          <w:tcPr>
            <w:tcW w:w="100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600</w:t>
            </w:r>
          </w:p>
        </w:tc>
        <w:tc>
          <w:tcPr>
            <w:tcW w:w="990" w:type="dxa"/>
            <w:vAlign w:val="center"/>
          </w:tcPr>
          <w:p>
            <w:pPr>
              <w:jc w:val="center"/>
              <w:rPr>
                <w:rFonts w:ascii="宋体" w:hAnsi="宋体" w:eastAsia="宋体" w:cs="宋体"/>
                <w:b/>
                <w:bCs/>
                <w:kern w:val="2"/>
                <w:sz w:val="21"/>
                <w:szCs w:val="21"/>
                <w:lang w:val="en-US" w:eastAsia="zh-CN" w:bidi="ar-SA"/>
              </w:rPr>
            </w:pPr>
          </w:p>
        </w:tc>
        <w:tc>
          <w:tcPr>
            <w:tcW w:w="85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1200</w:t>
            </w:r>
          </w:p>
        </w:tc>
        <w:tc>
          <w:tcPr>
            <w:tcW w:w="985" w:type="dxa"/>
            <w:vAlign w:val="center"/>
          </w:tcPr>
          <w:p>
            <w:pPr>
              <w:jc w:val="center"/>
              <w:rPr>
                <w:rFonts w:hint="eastAsia" w:ascii="宋体" w:hAnsi="宋体" w:eastAsia="宋体" w:cs="宋体"/>
                <w:color w:val="000000"/>
                <w:kern w:val="0"/>
                <w:szCs w:val="21"/>
                <w:lang w:val="en-US" w:eastAsia="zh-CN"/>
              </w:rPr>
            </w:pPr>
          </w:p>
        </w:tc>
        <w:tc>
          <w:tcPr>
            <w:tcW w:w="3305" w:type="dxa"/>
            <w:vMerge w:val="continue"/>
            <w:vAlign w:val="center"/>
          </w:tcPr>
          <w:p>
            <w:pPr>
              <w:spacing w:line="360" w:lineRule="auto"/>
              <w:ind w:firstLine="420" w:firstLineChars="200"/>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900" w:type="dxa"/>
            <w:vAlign w:val="center"/>
          </w:tcPr>
          <w:p>
            <w:pPr>
              <w:keepNext w:val="0"/>
              <w:keepLines w:val="0"/>
              <w:widowControl/>
              <w:suppressLineNumbers w:val="0"/>
              <w:jc w:val="center"/>
              <w:textAlignment w:val="center"/>
              <w:rPr>
                <w:rFonts w:hint="eastAsia" w:hAnsi="宋体" w:cs="宋体"/>
                <w:bCs/>
                <w:szCs w:val="21"/>
              </w:rPr>
            </w:pPr>
            <w:r>
              <w:rPr>
                <w:rFonts w:hint="eastAsia" w:ascii="宋体" w:hAnsi="宋体" w:eastAsia="宋体" w:cs="宋体"/>
                <w:i w:val="0"/>
                <w:iCs w:val="0"/>
                <w:color w:val="000000"/>
                <w:kern w:val="0"/>
                <w:sz w:val="24"/>
                <w:szCs w:val="24"/>
                <w:u w:val="none"/>
                <w:lang w:val="en-US" w:eastAsia="zh-CN" w:bidi="ar"/>
              </w:rPr>
              <w:t>面料</w:t>
            </w:r>
          </w:p>
        </w:tc>
        <w:tc>
          <w:tcPr>
            <w:tcW w:w="7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5" w:type="dxa"/>
            <w:vAlign w:val="center"/>
          </w:tcPr>
          <w:p>
            <w:pPr>
              <w:jc w:val="left"/>
              <w:rPr>
                <w:rFonts w:ascii="宋体" w:hAnsi="宋体" w:eastAsia="宋体" w:cs="宋体"/>
                <w:b/>
                <w:bCs/>
                <w:kern w:val="2"/>
                <w:sz w:val="21"/>
                <w:szCs w:val="21"/>
                <w:lang w:val="en-US" w:eastAsia="zh-CN" w:bidi="ar-SA"/>
              </w:rPr>
            </w:pPr>
          </w:p>
        </w:tc>
        <w:tc>
          <w:tcPr>
            <w:tcW w:w="1005" w:type="dxa"/>
            <w:vAlign w:val="center"/>
          </w:tcPr>
          <w:p>
            <w:pPr>
              <w:keepNext w:val="0"/>
              <w:keepLines w:val="0"/>
              <w:widowControl/>
              <w:suppressLineNumbers w:val="0"/>
              <w:jc w:val="right"/>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2500</w:t>
            </w:r>
          </w:p>
        </w:tc>
        <w:tc>
          <w:tcPr>
            <w:tcW w:w="990" w:type="dxa"/>
            <w:vAlign w:val="center"/>
          </w:tcPr>
          <w:p>
            <w:pPr>
              <w:jc w:val="center"/>
              <w:rPr>
                <w:rFonts w:ascii="宋体" w:hAnsi="宋体" w:eastAsia="宋体" w:cs="宋体"/>
                <w:b/>
                <w:bCs/>
                <w:kern w:val="2"/>
                <w:sz w:val="21"/>
                <w:szCs w:val="21"/>
                <w:lang w:val="en-US" w:eastAsia="zh-CN" w:bidi="ar-SA"/>
              </w:rPr>
            </w:pPr>
          </w:p>
        </w:tc>
        <w:tc>
          <w:tcPr>
            <w:tcW w:w="855" w:type="dxa"/>
            <w:vAlign w:val="center"/>
          </w:tcPr>
          <w:p>
            <w:pPr>
              <w:keepNext w:val="0"/>
              <w:keepLines w:val="0"/>
              <w:widowControl/>
              <w:suppressLineNumbers w:val="0"/>
              <w:jc w:val="right"/>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7500</w:t>
            </w:r>
          </w:p>
        </w:tc>
        <w:tc>
          <w:tcPr>
            <w:tcW w:w="985" w:type="dxa"/>
            <w:vAlign w:val="center"/>
          </w:tcPr>
          <w:p>
            <w:pPr>
              <w:keepNext w:val="0"/>
              <w:keepLines w:val="0"/>
              <w:widowControl/>
              <w:suppressLineNumbers w:val="0"/>
              <w:jc w:val="both"/>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风险监测</w:t>
            </w:r>
          </w:p>
        </w:tc>
        <w:tc>
          <w:tcPr>
            <w:tcW w:w="3305" w:type="dxa"/>
            <w:vMerge w:val="continue"/>
            <w:vAlign w:val="center"/>
          </w:tcPr>
          <w:p>
            <w:pPr>
              <w:spacing w:line="360" w:lineRule="auto"/>
              <w:ind w:firstLine="420" w:firstLineChars="200"/>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00" w:type="dxa"/>
            <w:vAlign w:val="center"/>
          </w:tcPr>
          <w:p>
            <w:pPr>
              <w:keepNext w:val="0"/>
              <w:keepLines w:val="0"/>
              <w:widowControl/>
              <w:suppressLineNumbers w:val="0"/>
              <w:jc w:val="center"/>
              <w:textAlignment w:val="center"/>
              <w:rPr>
                <w:rFonts w:hint="eastAsia" w:hAnsi="宋体" w:cs="宋体"/>
                <w:bCs/>
                <w:szCs w:val="21"/>
              </w:rPr>
            </w:pPr>
            <w:r>
              <w:rPr>
                <w:rFonts w:hint="eastAsia" w:ascii="宋体" w:hAnsi="宋体" w:eastAsia="宋体" w:cs="宋体"/>
                <w:i w:val="0"/>
                <w:iCs w:val="0"/>
                <w:color w:val="000000"/>
                <w:kern w:val="0"/>
                <w:sz w:val="24"/>
                <w:szCs w:val="24"/>
                <w:u w:val="none"/>
                <w:lang w:val="en-US" w:eastAsia="zh-CN" w:bidi="ar"/>
              </w:rPr>
              <w:t>拉链</w:t>
            </w:r>
          </w:p>
        </w:tc>
        <w:tc>
          <w:tcPr>
            <w:tcW w:w="7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85" w:type="dxa"/>
            <w:vAlign w:val="center"/>
          </w:tcPr>
          <w:p>
            <w:pPr>
              <w:jc w:val="left"/>
              <w:rPr>
                <w:rFonts w:ascii="宋体" w:hAnsi="宋体" w:eastAsia="宋体" w:cs="宋体"/>
                <w:b/>
                <w:bCs/>
                <w:kern w:val="2"/>
                <w:sz w:val="21"/>
                <w:szCs w:val="21"/>
                <w:lang w:val="en-US" w:eastAsia="zh-CN" w:bidi="ar-SA"/>
              </w:rPr>
            </w:pPr>
          </w:p>
        </w:tc>
        <w:tc>
          <w:tcPr>
            <w:tcW w:w="100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600</w:t>
            </w:r>
          </w:p>
        </w:tc>
        <w:tc>
          <w:tcPr>
            <w:tcW w:w="990" w:type="dxa"/>
            <w:vAlign w:val="center"/>
          </w:tcPr>
          <w:p>
            <w:pPr>
              <w:jc w:val="center"/>
              <w:rPr>
                <w:rFonts w:ascii="宋体" w:hAnsi="宋体" w:eastAsia="宋体" w:cs="宋体"/>
                <w:b/>
                <w:bCs/>
                <w:kern w:val="2"/>
                <w:sz w:val="21"/>
                <w:szCs w:val="21"/>
                <w:lang w:val="en-US" w:eastAsia="zh-CN" w:bidi="ar-SA"/>
              </w:rPr>
            </w:pPr>
          </w:p>
        </w:tc>
        <w:tc>
          <w:tcPr>
            <w:tcW w:w="85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1200</w:t>
            </w:r>
          </w:p>
        </w:tc>
        <w:tc>
          <w:tcPr>
            <w:tcW w:w="985" w:type="dxa"/>
            <w:vAlign w:val="center"/>
          </w:tcPr>
          <w:p>
            <w:pPr>
              <w:keepNext w:val="0"/>
              <w:keepLines w:val="0"/>
              <w:widowControl/>
              <w:suppressLineNumbers w:val="0"/>
              <w:jc w:val="both"/>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风险监测</w:t>
            </w:r>
          </w:p>
        </w:tc>
        <w:tc>
          <w:tcPr>
            <w:tcW w:w="3305" w:type="dxa"/>
            <w:vMerge w:val="continue"/>
            <w:vAlign w:val="center"/>
          </w:tcPr>
          <w:p>
            <w:pPr>
              <w:spacing w:line="360" w:lineRule="auto"/>
              <w:ind w:firstLine="420" w:firstLineChars="200"/>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30" w:type="dxa"/>
            <w:vAlign w:val="center"/>
          </w:tcPr>
          <w:p>
            <w:pPr>
              <w:jc w:val="left"/>
              <w:rPr>
                <w:rFonts w:hint="eastAsia" w:ascii="宋体" w:hAnsi="宋体" w:eastAsia="宋体" w:cs="宋体"/>
                <w:sz w:val="24"/>
              </w:rPr>
            </w:pPr>
          </w:p>
        </w:tc>
        <w:tc>
          <w:tcPr>
            <w:tcW w:w="6075" w:type="dxa"/>
            <w:gridSpan w:val="7"/>
            <w:vAlign w:val="center"/>
          </w:tcPr>
          <w:p>
            <w:pPr>
              <w:jc w:val="left"/>
              <w:rPr>
                <w:rFonts w:hint="eastAsia" w:ascii="宋体" w:hAnsi="宋体" w:eastAsia="宋体" w:cs="宋体"/>
                <w:sz w:val="24"/>
                <w:lang w:val="en-US" w:eastAsia="zh-CN"/>
              </w:rPr>
            </w:pPr>
            <w:r>
              <w:rPr>
                <w:rFonts w:hint="eastAsia" w:ascii="宋体" w:hAnsi="宋体" w:eastAsia="宋体" w:cs="宋体"/>
                <w:sz w:val="24"/>
              </w:rPr>
              <w:t>报价单位（盖章）：</w:t>
            </w:r>
            <w:r>
              <w:rPr>
                <w:rFonts w:hint="eastAsia" w:ascii="宋体" w:hAnsi="宋体" w:eastAsia="宋体" w:cs="宋体"/>
                <w:sz w:val="24"/>
                <w:lang w:val="en-US" w:eastAsia="zh-CN"/>
              </w:rPr>
              <w:t xml:space="preserve">                   联系人：            </w:t>
            </w:r>
          </w:p>
          <w:p>
            <w:pPr>
              <w:jc w:val="left"/>
              <w:rPr>
                <w:rFonts w:hint="eastAsia" w:ascii="宋体" w:hAnsi="宋体" w:eastAsia="宋体" w:cs="宋体"/>
                <w:sz w:val="24"/>
              </w:rPr>
            </w:pPr>
          </w:p>
          <w:p>
            <w:pPr>
              <w:jc w:val="left"/>
              <w:rPr>
                <w:rFonts w:ascii="宋体" w:hAnsi="宋体" w:eastAsia="宋体" w:cs="宋体"/>
                <w:szCs w:val="21"/>
              </w:rPr>
            </w:pPr>
            <w:r>
              <w:rPr>
                <w:rFonts w:hint="eastAsia" w:ascii="宋体" w:hAnsi="宋体" w:eastAsia="宋体" w:cs="宋体"/>
                <w:sz w:val="24"/>
              </w:rPr>
              <w:t>时间：</w:t>
            </w:r>
            <w:r>
              <w:rPr>
                <w:rFonts w:hint="eastAsia" w:ascii="宋体" w:hAnsi="宋体" w:eastAsia="宋体" w:cs="宋体"/>
                <w:sz w:val="24"/>
                <w:lang w:val="en-US" w:eastAsia="zh-CN"/>
              </w:rPr>
              <w:t xml:space="preserve">                               联系电话：   </w:t>
            </w:r>
          </w:p>
        </w:tc>
        <w:tc>
          <w:tcPr>
            <w:tcW w:w="985" w:type="dxa"/>
            <w:vAlign w:val="center"/>
          </w:tcPr>
          <w:p>
            <w:pPr>
              <w:jc w:val="left"/>
              <w:rPr>
                <w:rFonts w:hint="eastAsia" w:ascii="宋体" w:hAnsi="宋体" w:eastAsia="宋体" w:cs="宋体"/>
                <w:sz w:val="24"/>
              </w:rPr>
            </w:pPr>
          </w:p>
        </w:tc>
        <w:tc>
          <w:tcPr>
            <w:tcW w:w="3305" w:type="dxa"/>
            <w:vMerge w:val="continue"/>
            <w:vAlign w:val="center"/>
          </w:tcPr>
          <w:p>
            <w:pPr>
              <w:jc w:val="left"/>
              <w:rPr>
                <w:rFonts w:hint="eastAsia" w:ascii="宋体" w:hAnsi="宋体" w:eastAsia="宋体" w:cs="宋体"/>
                <w:sz w:val="24"/>
              </w:rPr>
            </w:pPr>
          </w:p>
        </w:tc>
      </w:tr>
    </w:tbl>
    <w:p>
      <w:pPr>
        <w:rPr>
          <w:rFonts w:hint="eastAsia" w:ascii="宋体" w:hAnsi="宋体" w:eastAsia="宋体" w:cs="宋体"/>
          <w:b/>
          <w:color w:val="000000" w:themeColor="text1"/>
          <w:sz w:val="24"/>
        </w:rPr>
      </w:pPr>
    </w:p>
    <w:p>
      <w:pPr>
        <w:rPr>
          <w:rFonts w:ascii="宋体" w:hAnsi="宋体" w:eastAsia="宋体" w:cs="宋体"/>
          <w:b/>
          <w:color w:val="000000" w:themeColor="text1"/>
          <w:sz w:val="24"/>
        </w:rPr>
      </w:pPr>
      <w:r>
        <w:rPr>
          <w:rFonts w:hint="eastAsia" w:ascii="宋体" w:hAnsi="宋体" w:eastAsia="宋体" w:cs="宋体"/>
          <w:b/>
          <w:color w:val="000000" w:themeColor="text1"/>
          <w:sz w:val="24"/>
        </w:rPr>
        <w:t>项目报价单(报价机构盖章同步上传提交）：</w:t>
      </w:r>
    </w:p>
    <w:p>
      <w:pPr>
        <w:pStyle w:val="3"/>
        <w:jc w:val="both"/>
        <w:rPr>
          <w:rFonts w:hint="eastAsia" w:asciiTheme="majorEastAsia" w:hAnsiTheme="majorEastAsia" w:eastAsiaTheme="majorEastAsia" w:cstheme="majorEastAsia"/>
          <w:b w:val="0"/>
          <w:bCs/>
          <w:sz w:val="24"/>
          <w:szCs w:val="24"/>
        </w:rPr>
      </w:pPr>
    </w:p>
    <w:p>
      <w:pPr>
        <w:pStyle w:val="3"/>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sz w:val="24"/>
          <w:szCs w:val="24"/>
        </w:rPr>
        <w:t>项目要求</w:t>
      </w:r>
      <w:r>
        <w:rPr>
          <w:rFonts w:hint="eastAsia" w:asciiTheme="majorEastAsia" w:hAnsiTheme="majorEastAsia" w:eastAsiaTheme="majorEastAsia" w:cstheme="majorEastAsia"/>
          <w:sz w:val="24"/>
          <w:szCs w:val="24"/>
        </w:rPr>
        <w:t>：</w:t>
      </w:r>
    </w:p>
    <w:p>
      <w:pPr>
        <w:rPr>
          <w:rFonts w:hint="eastAsia"/>
          <w:lang w:val="en-US" w:eastAsia="zh-CN"/>
        </w:rPr>
      </w:pPr>
      <w:r>
        <w:rPr>
          <w:rFonts w:hint="eastAsia"/>
          <w:lang w:val="en-US" w:eastAsia="zh-CN"/>
        </w:rPr>
        <w:t>（一）申请人的资格要求：</w:t>
      </w:r>
    </w:p>
    <w:p>
      <w:pPr>
        <w:rPr>
          <w:rFonts w:hint="eastAsia"/>
          <w:lang w:val="en-US" w:eastAsia="zh-CN"/>
        </w:rPr>
      </w:pPr>
      <w:r>
        <w:rPr>
          <w:rFonts w:hint="eastAsia"/>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pPr>
        <w:rPr>
          <w:rFonts w:hint="eastAsia"/>
          <w:lang w:val="en-US" w:eastAsia="zh-CN"/>
        </w:rPr>
      </w:pPr>
      <w:r>
        <w:rPr>
          <w:rFonts w:hint="eastAsia"/>
          <w:lang w:val="en-US" w:eastAsia="zh-CN"/>
        </w:rPr>
        <w:t>2、未违反</w:t>
      </w:r>
      <w:r>
        <w:rPr>
          <w:rFonts w:hint="eastAsia"/>
          <w:lang w:val="en-US" w:eastAsia="zh-CN"/>
        </w:rPr>
        <w:fldChar w:fldCharType="begin"/>
      </w:r>
      <w:r>
        <w:rPr>
          <w:rFonts w:hint="eastAsia"/>
          <w:lang w:val="en-US" w:eastAsia="zh-CN"/>
        </w:rPr>
        <w:instrText xml:space="preserve"> HYPERLINK "https://www.baidu.com/link?url=czu68OCy_Ogui4jbGZtHStbEE3hzrEeWTa_gY_sSe24TzBfph2oj2_FrKWIdLM1ZjVf1jLXmj8mqchftzrAuxlqVNY5wI7nzOahTbFfH4Ji&amp;wd=&amp;eqid=f499e9c7000ec01d00000004660a2074" \t "https://www.baidu.com/_blank" </w:instrText>
      </w:r>
      <w:r>
        <w:rPr>
          <w:rFonts w:hint="eastAsia"/>
          <w:lang w:val="en-US" w:eastAsia="zh-CN"/>
        </w:rPr>
        <w:fldChar w:fldCharType="separate"/>
      </w:r>
      <w:r>
        <w:rPr>
          <w:rFonts w:hint="eastAsia"/>
          <w:lang w:val="en-US" w:eastAsia="zh-CN"/>
        </w:rPr>
        <w:t>浙江省政府采购电子卖场采购管理暂行办法</w:t>
      </w:r>
      <w:r>
        <w:rPr>
          <w:rFonts w:hint="eastAsia"/>
          <w:lang w:val="en-US" w:eastAsia="zh-CN"/>
        </w:rPr>
        <w:fldChar w:fldCharType="end"/>
      </w:r>
      <w:r>
        <w:rPr>
          <w:rFonts w:hint="eastAsia"/>
          <w:lang w:val="en-US" w:eastAsia="zh-CN"/>
        </w:rPr>
        <w:t>等规定。</w:t>
      </w:r>
    </w:p>
    <w:p>
      <w:pPr>
        <w:rPr>
          <w:rFonts w:hint="eastAsia"/>
          <w:lang w:val="en-US" w:eastAsia="zh-CN"/>
        </w:rPr>
      </w:pPr>
      <w:r>
        <w:rPr>
          <w:rFonts w:hint="eastAsia"/>
          <w:lang w:val="en-US" w:eastAsia="zh-CN"/>
        </w:rPr>
        <w:t>3、营业执照或事业单位法人证书；</w:t>
      </w:r>
    </w:p>
    <w:p>
      <w:pPr>
        <w:rPr>
          <w:rFonts w:hint="eastAsia"/>
          <w:lang w:val="en-US" w:eastAsia="zh-CN"/>
        </w:rPr>
      </w:pPr>
      <w:r>
        <w:rPr>
          <w:rFonts w:hint="eastAsia"/>
          <w:lang w:val="en-US" w:eastAsia="zh-CN"/>
        </w:rPr>
        <w:t>4、具有涵盖本次询价产品的标准、对应检验项目的省级以上资质证书及能力附表。</w:t>
      </w:r>
    </w:p>
    <w:tbl>
      <w:tblPr>
        <w:tblW w:w="88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40"/>
        <w:gridCol w:w="1095"/>
        <w:gridCol w:w="2803"/>
        <w:gridCol w:w="324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产品</w:t>
            </w:r>
          </w:p>
        </w:tc>
        <w:tc>
          <w:tcPr>
            <w:tcW w:w="28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检验依据</w:t>
            </w:r>
          </w:p>
        </w:tc>
        <w:tc>
          <w:tcPr>
            <w:tcW w:w="32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检测项目</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67"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学生服</w:t>
            </w:r>
          </w:p>
        </w:tc>
        <w:tc>
          <w:tcPr>
            <w:tcW w:w="28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GB/T 31888-2015《中小学生校服》、 GB/T 23328-2009《机织学生服》、GB/T 22854-2009《针织学生服》GB 18401-2010《国家纺织产品基本安全技</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术规范》 、 GB 31701-2015《婴幼儿及儿童纺织产品安全技术规范》</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耐湿摩擦色牢度、重金属、邻苯二甲酸酯、燃烧性能、附件抗拉强力、附件尖端和边缘的锐利性、绳带和绳圈的长度、pH值、异味、甲醛含量、禁用可分解致癌芳香胺染料、耐唾液色牢度、耐干摩擦色牢度、耐水色牢度、耐酸碱汗渍色牢度、金属针、纤维含量、耐皂洗色牢度、耐光色牢度、起球、断裂强力、接缝强力</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80"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户外运动服装（含冲锋衣）</w:t>
            </w:r>
          </w:p>
        </w:tc>
        <w:tc>
          <w:tcPr>
            <w:tcW w:w="28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GB/T 32614-2023《户外运动服装冲锋衣》、GB 18401-2010《国家纺织产品基本安全技术规范》 、 GB 31701-2015《婴幼儿及儿童纺织产品安全技术规范》</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醛含量、pH值、可分解致癌芳香胺染料、异味、耐汗渍色牢度、耐光色牢度、耐皂洗色牢度、耐摩擦色牢度、表面抗湿性、静水压、透湿率、全氟辛烷磺酰基化合物、全氟辛酸、纤维含量、起毛起球、耐磨性能、撕破强力、燃烧性能、附件尖端和边缘的锐利性、绳带和绳圈的长度、金属针、重金属、邻苯二甲酸酯</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0"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面料</w:t>
            </w:r>
          </w:p>
        </w:tc>
        <w:tc>
          <w:tcPr>
            <w:tcW w:w="28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GB/T 32614-2023《户外运动服装冲锋衣》、GB 18401-2010《国家纺织产品基本安全技术规范》 </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甲醛含量、pH值、可分解致癌芳香胺染料、表面抗湿性、静水压、透湿率</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拉链</w:t>
            </w:r>
          </w:p>
        </w:tc>
        <w:tc>
          <w:tcPr>
            <w:tcW w:w="28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QB/T 2171-2014《金属拉链》、QB/T 2172-2014《注塑拉链》、QB/T 2173-2014《尼龙拉链》</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平拉强力、负荷拉次</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面料</w:t>
            </w:r>
          </w:p>
        </w:tc>
        <w:tc>
          <w:tcPr>
            <w:tcW w:w="28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GB/T 32614-2023《户外运动服装冲锋衣》</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甲醛含量、pH值、可分解致癌芳香胺染料、表面抗湿性、静水压、透湿率</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风险监测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拉链</w:t>
            </w:r>
          </w:p>
        </w:tc>
        <w:tc>
          <w:tcPr>
            <w:tcW w:w="28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QB/T 2171-2014《金属拉链》、QB/T 2172-2014《注塑拉链》、QB/T 2173-2014《尼龙拉链》</w:t>
            </w:r>
          </w:p>
        </w:tc>
        <w:tc>
          <w:tcPr>
            <w:tcW w:w="32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平拉强力、负荷拉次</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风险监测</w:t>
            </w:r>
          </w:p>
        </w:tc>
      </w:tr>
    </w:tbl>
    <w:p>
      <w:pPr>
        <w:rPr>
          <w:rFonts w:hint="eastAsia"/>
          <w:lang w:val="en-US" w:eastAsia="zh-CN"/>
        </w:rPr>
      </w:pP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5、检验项目不得分包或转包；</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6、具有配套的抽样人员；</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7、询价机构需要熟悉《中华人民共和国产品质量法》、《中华人民共和国消费者权益保护法》、《产品质量监督抽查管理暂行办法》等法律法规及浙江省产品质量监督工作的有关规定。相关要求请自行查阅，不再展开。</w:t>
      </w:r>
    </w:p>
    <w:p>
      <w:pPr>
        <w:spacing w:line="360" w:lineRule="auto"/>
        <w:ind w:firstLine="480" w:firstLineChars="200"/>
        <w:rPr>
          <w:rFonts w:hint="default"/>
          <w:b/>
          <w:bCs/>
          <w:sz w:val="28"/>
          <w:szCs w:val="36"/>
          <w:lang w:val="en-US" w:eastAsia="zh-CN"/>
        </w:rPr>
      </w:pPr>
      <w:r>
        <w:rPr>
          <w:rFonts w:hint="eastAsia" w:ascii="宋体" w:hAnsi="宋体" w:eastAsia="宋体" w:cs="宋体"/>
          <w:sz w:val="24"/>
          <w:lang w:val="en-US" w:eastAsia="zh-CN"/>
        </w:rPr>
        <w:t>请仔细了解本次抽检询价内容，欢迎符合条件的技术机构积极参与报价。有问题可以和我局及时沟通，我局依据情况酌情调整批次。请认真逐项对照本次任务检测项目要求，不得虚报，否则向政采云平台管理方反馈。</w:t>
      </w: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gyZTBlM2FkZjgyZTU3ZTJlMTdmN2JhMjIyZGQyYWYifQ=="/>
    <w:docVar w:name="KSO_WPS_MARK_KEY" w:val="0ec73df1-8b98-446f-9b39-ed94c1982800"/>
  </w:docVars>
  <w:rsids>
    <w:rsidRoot w:val="5EC83339"/>
    <w:rsid w:val="00042C1C"/>
    <w:rsid w:val="00054131"/>
    <w:rsid w:val="00294A22"/>
    <w:rsid w:val="003B2CEA"/>
    <w:rsid w:val="0040181F"/>
    <w:rsid w:val="0042195B"/>
    <w:rsid w:val="004561ED"/>
    <w:rsid w:val="005F1FD3"/>
    <w:rsid w:val="00656863"/>
    <w:rsid w:val="007C3E3D"/>
    <w:rsid w:val="009651EA"/>
    <w:rsid w:val="009F7330"/>
    <w:rsid w:val="00A00858"/>
    <w:rsid w:val="00B34A92"/>
    <w:rsid w:val="00D93E29"/>
    <w:rsid w:val="00D96246"/>
    <w:rsid w:val="00E41DC4"/>
    <w:rsid w:val="00EF407F"/>
    <w:rsid w:val="00F270B0"/>
    <w:rsid w:val="00F44170"/>
    <w:rsid w:val="00FC31EA"/>
    <w:rsid w:val="00FC393B"/>
    <w:rsid w:val="0137556C"/>
    <w:rsid w:val="019B1BAF"/>
    <w:rsid w:val="023B7AD2"/>
    <w:rsid w:val="026659F0"/>
    <w:rsid w:val="02AF0270"/>
    <w:rsid w:val="031909B5"/>
    <w:rsid w:val="038A394A"/>
    <w:rsid w:val="03DC1E47"/>
    <w:rsid w:val="03E4356E"/>
    <w:rsid w:val="03E97CD4"/>
    <w:rsid w:val="05092A02"/>
    <w:rsid w:val="063544D0"/>
    <w:rsid w:val="06BD404D"/>
    <w:rsid w:val="070E2AFA"/>
    <w:rsid w:val="072E3E33"/>
    <w:rsid w:val="075B36C8"/>
    <w:rsid w:val="084C68DB"/>
    <w:rsid w:val="084D31AF"/>
    <w:rsid w:val="0878721E"/>
    <w:rsid w:val="08C57767"/>
    <w:rsid w:val="08D100C1"/>
    <w:rsid w:val="08E45ADE"/>
    <w:rsid w:val="091F65A9"/>
    <w:rsid w:val="094A3846"/>
    <w:rsid w:val="09634910"/>
    <w:rsid w:val="09D73C03"/>
    <w:rsid w:val="0AFD0EBC"/>
    <w:rsid w:val="0BCD5DDF"/>
    <w:rsid w:val="0C002F5C"/>
    <w:rsid w:val="0C341548"/>
    <w:rsid w:val="0C8A03E8"/>
    <w:rsid w:val="0DBF68FD"/>
    <w:rsid w:val="0E342C85"/>
    <w:rsid w:val="0E982D96"/>
    <w:rsid w:val="0FF11409"/>
    <w:rsid w:val="106453E7"/>
    <w:rsid w:val="1081433D"/>
    <w:rsid w:val="1223233C"/>
    <w:rsid w:val="12246FB9"/>
    <w:rsid w:val="124B3D0D"/>
    <w:rsid w:val="12755990"/>
    <w:rsid w:val="12C01CD8"/>
    <w:rsid w:val="14134F7C"/>
    <w:rsid w:val="14731A47"/>
    <w:rsid w:val="16611A20"/>
    <w:rsid w:val="17002344"/>
    <w:rsid w:val="1846510A"/>
    <w:rsid w:val="194E3D6F"/>
    <w:rsid w:val="19EB6393"/>
    <w:rsid w:val="1AEC2532"/>
    <w:rsid w:val="1B4342BA"/>
    <w:rsid w:val="1B9974F7"/>
    <w:rsid w:val="1C4506C2"/>
    <w:rsid w:val="1D010BFB"/>
    <w:rsid w:val="1D533C51"/>
    <w:rsid w:val="1DF467CB"/>
    <w:rsid w:val="1E045698"/>
    <w:rsid w:val="1EF3631D"/>
    <w:rsid w:val="1EFF27B5"/>
    <w:rsid w:val="21A03D61"/>
    <w:rsid w:val="227B300D"/>
    <w:rsid w:val="229660A3"/>
    <w:rsid w:val="239B20BE"/>
    <w:rsid w:val="23A575F2"/>
    <w:rsid w:val="24130732"/>
    <w:rsid w:val="25332E1E"/>
    <w:rsid w:val="26553B1B"/>
    <w:rsid w:val="2701746B"/>
    <w:rsid w:val="270D20B2"/>
    <w:rsid w:val="299456CE"/>
    <w:rsid w:val="29E368C3"/>
    <w:rsid w:val="2A0F10DE"/>
    <w:rsid w:val="2B302289"/>
    <w:rsid w:val="2B694CD2"/>
    <w:rsid w:val="2B9E3E52"/>
    <w:rsid w:val="2DB15E0A"/>
    <w:rsid w:val="2DF221B6"/>
    <w:rsid w:val="2E821554"/>
    <w:rsid w:val="2F300B7A"/>
    <w:rsid w:val="2F5A7534"/>
    <w:rsid w:val="2FB60997"/>
    <w:rsid w:val="300A699D"/>
    <w:rsid w:val="30717AD3"/>
    <w:rsid w:val="3177699F"/>
    <w:rsid w:val="31F30FC0"/>
    <w:rsid w:val="32CA2337"/>
    <w:rsid w:val="33995A85"/>
    <w:rsid w:val="33B201E6"/>
    <w:rsid w:val="33BE6B8B"/>
    <w:rsid w:val="35B244CD"/>
    <w:rsid w:val="37535A3C"/>
    <w:rsid w:val="37614AC3"/>
    <w:rsid w:val="37A542C5"/>
    <w:rsid w:val="37B257FC"/>
    <w:rsid w:val="37C727AA"/>
    <w:rsid w:val="37F70B0A"/>
    <w:rsid w:val="388F23DD"/>
    <w:rsid w:val="39027B3E"/>
    <w:rsid w:val="390B7EB1"/>
    <w:rsid w:val="39E14D6B"/>
    <w:rsid w:val="39F71049"/>
    <w:rsid w:val="3A9226E9"/>
    <w:rsid w:val="3AF37A62"/>
    <w:rsid w:val="3B2A6FFD"/>
    <w:rsid w:val="3B8873AF"/>
    <w:rsid w:val="3CC04060"/>
    <w:rsid w:val="3E5F540E"/>
    <w:rsid w:val="3EA040A9"/>
    <w:rsid w:val="40033219"/>
    <w:rsid w:val="40440B5F"/>
    <w:rsid w:val="416642BB"/>
    <w:rsid w:val="41820650"/>
    <w:rsid w:val="41956EE8"/>
    <w:rsid w:val="41E01EE7"/>
    <w:rsid w:val="424D0671"/>
    <w:rsid w:val="43143D15"/>
    <w:rsid w:val="43C6669B"/>
    <w:rsid w:val="445060CC"/>
    <w:rsid w:val="44AE4D9C"/>
    <w:rsid w:val="451410F9"/>
    <w:rsid w:val="45205F8F"/>
    <w:rsid w:val="45B031F7"/>
    <w:rsid w:val="46063934"/>
    <w:rsid w:val="461972D2"/>
    <w:rsid w:val="47024B89"/>
    <w:rsid w:val="473A1F72"/>
    <w:rsid w:val="486B2000"/>
    <w:rsid w:val="497B6696"/>
    <w:rsid w:val="4991472F"/>
    <w:rsid w:val="4A0E668E"/>
    <w:rsid w:val="4A753731"/>
    <w:rsid w:val="4B8A322E"/>
    <w:rsid w:val="4C2904B9"/>
    <w:rsid w:val="4CA06749"/>
    <w:rsid w:val="4D2577E4"/>
    <w:rsid w:val="4D8A6863"/>
    <w:rsid w:val="4DAF3AB0"/>
    <w:rsid w:val="4DCA5A2D"/>
    <w:rsid w:val="4E177D2B"/>
    <w:rsid w:val="4EA75AF0"/>
    <w:rsid w:val="4F2A6ACA"/>
    <w:rsid w:val="4FA16E44"/>
    <w:rsid w:val="4FBA3795"/>
    <w:rsid w:val="51B1211F"/>
    <w:rsid w:val="51ED4B57"/>
    <w:rsid w:val="52F8503E"/>
    <w:rsid w:val="543842E0"/>
    <w:rsid w:val="5438760A"/>
    <w:rsid w:val="54A51588"/>
    <w:rsid w:val="54AA05E5"/>
    <w:rsid w:val="54C35D48"/>
    <w:rsid w:val="54EF56E6"/>
    <w:rsid w:val="553E089D"/>
    <w:rsid w:val="55774B4C"/>
    <w:rsid w:val="56E15C81"/>
    <w:rsid w:val="56FE35BF"/>
    <w:rsid w:val="573270B3"/>
    <w:rsid w:val="5985124F"/>
    <w:rsid w:val="598C4BFF"/>
    <w:rsid w:val="59D42C9D"/>
    <w:rsid w:val="59E375A9"/>
    <w:rsid w:val="5A232FF9"/>
    <w:rsid w:val="5A4E55A6"/>
    <w:rsid w:val="5A695884"/>
    <w:rsid w:val="5B1379AE"/>
    <w:rsid w:val="5BC2201C"/>
    <w:rsid w:val="5BD40D92"/>
    <w:rsid w:val="5C037EDF"/>
    <w:rsid w:val="5C285744"/>
    <w:rsid w:val="5C401D2B"/>
    <w:rsid w:val="5CAB32F6"/>
    <w:rsid w:val="5CAE4184"/>
    <w:rsid w:val="5CB87228"/>
    <w:rsid w:val="5D4077C3"/>
    <w:rsid w:val="5DE2220E"/>
    <w:rsid w:val="5E3D2441"/>
    <w:rsid w:val="5E3D6703"/>
    <w:rsid w:val="5EC83339"/>
    <w:rsid w:val="610064CE"/>
    <w:rsid w:val="625C240B"/>
    <w:rsid w:val="62A416DD"/>
    <w:rsid w:val="653C7EE4"/>
    <w:rsid w:val="65DF6C6E"/>
    <w:rsid w:val="670446F3"/>
    <w:rsid w:val="67963EC9"/>
    <w:rsid w:val="67D779B9"/>
    <w:rsid w:val="68062300"/>
    <w:rsid w:val="690C19FC"/>
    <w:rsid w:val="6BA5441D"/>
    <w:rsid w:val="6BD90052"/>
    <w:rsid w:val="6C2F0D7C"/>
    <w:rsid w:val="6C3C3EE9"/>
    <w:rsid w:val="6CCA1105"/>
    <w:rsid w:val="6CF272CA"/>
    <w:rsid w:val="6D4450E5"/>
    <w:rsid w:val="6E6674C6"/>
    <w:rsid w:val="6E7C4050"/>
    <w:rsid w:val="6FCC4E4A"/>
    <w:rsid w:val="6FF97EED"/>
    <w:rsid w:val="7020764D"/>
    <w:rsid w:val="71460B9E"/>
    <w:rsid w:val="71D168FE"/>
    <w:rsid w:val="72267DC1"/>
    <w:rsid w:val="72417F54"/>
    <w:rsid w:val="72641E08"/>
    <w:rsid w:val="72B32D2F"/>
    <w:rsid w:val="72E50715"/>
    <w:rsid w:val="73E16C67"/>
    <w:rsid w:val="74DF3112"/>
    <w:rsid w:val="74FA5628"/>
    <w:rsid w:val="75846EE4"/>
    <w:rsid w:val="75D25C8E"/>
    <w:rsid w:val="76160F8A"/>
    <w:rsid w:val="762C796E"/>
    <w:rsid w:val="76355796"/>
    <w:rsid w:val="777308D7"/>
    <w:rsid w:val="795409C4"/>
    <w:rsid w:val="798B6ADC"/>
    <w:rsid w:val="7A6B4732"/>
    <w:rsid w:val="7AAA6426"/>
    <w:rsid w:val="7ADB314B"/>
    <w:rsid w:val="7B590472"/>
    <w:rsid w:val="7B98728E"/>
    <w:rsid w:val="7B9939EF"/>
    <w:rsid w:val="7C30516A"/>
    <w:rsid w:val="7C342050"/>
    <w:rsid w:val="7C656696"/>
    <w:rsid w:val="7CCB60F3"/>
    <w:rsid w:val="7CD109FB"/>
    <w:rsid w:val="7D0856A4"/>
    <w:rsid w:val="7D3E0D3C"/>
    <w:rsid w:val="7DD14D36"/>
    <w:rsid w:val="7E8D7BA5"/>
    <w:rsid w:val="7F5D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7"/>
    <w:qFormat/>
    <w:uiPriority w:val="0"/>
    <w:pPr>
      <w:jc w:val="left"/>
    </w:pPr>
  </w:style>
  <w:style w:type="paragraph" w:styleId="6">
    <w:name w:val="Plain Text"/>
    <w:basedOn w:val="1"/>
    <w:qFormat/>
    <w:uiPriority w:val="99"/>
    <w:rPr>
      <w:rFonts w:ascii="宋体"/>
      <w:szCs w:val="21"/>
    </w:rPr>
  </w:style>
  <w:style w:type="paragraph" w:styleId="7">
    <w:name w:val="Balloon Text"/>
    <w:basedOn w:val="1"/>
    <w:link w:val="19"/>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5"/>
    <w:next w:val="5"/>
    <w:link w:val="18"/>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0"/>
    <w:rPr>
      <w:color w:val="0000FF"/>
      <w:u w:val="single"/>
    </w:rPr>
  </w:style>
  <w:style w:type="character" w:styleId="16">
    <w:name w:val="annotation reference"/>
    <w:basedOn w:val="14"/>
    <w:qFormat/>
    <w:uiPriority w:val="0"/>
    <w:rPr>
      <w:sz w:val="21"/>
      <w:szCs w:val="21"/>
    </w:rPr>
  </w:style>
  <w:style w:type="character" w:customStyle="1" w:styleId="17">
    <w:name w:val="批注文字 Char"/>
    <w:basedOn w:val="14"/>
    <w:link w:val="5"/>
    <w:qFormat/>
    <w:uiPriority w:val="0"/>
    <w:rPr>
      <w:rFonts w:asciiTheme="minorHAnsi" w:hAnsiTheme="minorHAnsi" w:eastAsiaTheme="minorEastAsia" w:cstheme="minorBidi"/>
      <w:kern w:val="2"/>
      <w:sz w:val="21"/>
      <w:szCs w:val="24"/>
    </w:rPr>
  </w:style>
  <w:style w:type="character" w:customStyle="1" w:styleId="18">
    <w:name w:val="批注主题 Char"/>
    <w:basedOn w:val="17"/>
    <w:link w:val="11"/>
    <w:qFormat/>
    <w:uiPriority w:val="0"/>
    <w:rPr>
      <w:rFonts w:asciiTheme="minorHAnsi" w:hAnsiTheme="minorHAnsi" w:eastAsiaTheme="minorEastAsia" w:cstheme="minorBidi"/>
      <w:b/>
      <w:bCs/>
      <w:kern w:val="2"/>
      <w:sz w:val="21"/>
      <w:szCs w:val="24"/>
    </w:rPr>
  </w:style>
  <w:style w:type="character" w:customStyle="1" w:styleId="19">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20">
    <w:name w:val="页眉 Char"/>
    <w:basedOn w:val="14"/>
    <w:link w:val="9"/>
    <w:qFormat/>
    <w:uiPriority w:val="0"/>
    <w:rPr>
      <w:rFonts w:asciiTheme="minorHAnsi" w:hAnsiTheme="minorHAnsi" w:eastAsiaTheme="minorEastAsia" w:cstheme="minorBidi"/>
      <w:kern w:val="2"/>
      <w:sz w:val="18"/>
      <w:szCs w:val="18"/>
    </w:rPr>
  </w:style>
  <w:style w:type="character" w:customStyle="1" w:styleId="21">
    <w:name w:val="页脚 Char"/>
    <w:basedOn w:val="14"/>
    <w:link w:val="8"/>
    <w:qFormat/>
    <w:uiPriority w:val="0"/>
    <w:rPr>
      <w:rFonts w:asciiTheme="minorHAnsi" w:hAnsiTheme="minorHAnsi" w:eastAsiaTheme="minorEastAsia" w:cstheme="minorBidi"/>
      <w:kern w:val="2"/>
      <w:sz w:val="18"/>
      <w:szCs w:val="18"/>
    </w:rPr>
  </w:style>
  <w:style w:type="character" w:customStyle="1" w:styleId="22">
    <w:name w:val="个人答复风格"/>
    <w:qFormat/>
    <w:uiPriority w:val="99"/>
    <w:rPr>
      <w:rFonts w:ascii="Arial" w:hAnsi="Arial" w:eastAsia="宋体"/>
      <w:color w:val="auto"/>
      <w:sz w:val="20"/>
    </w:rPr>
  </w:style>
  <w:style w:type="paragraph" w:customStyle="1" w:styleId="23">
    <w:name w:val="列出段落1"/>
    <w:basedOn w:val="1"/>
    <w:qFormat/>
    <w:uiPriority w:val="34"/>
    <w:pPr>
      <w:ind w:firstLine="420" w:firstLineChars="200"/>
    </w:pPr>
    <w:rPr>
      <w:szCs w:val="21"/>
    </w:rPr>
  </w:style>
  <w:style w:type="character" w:customStyle="1" w:styleId="24">
    <w:name w:val="font41"/>
    <w:basedOn w:val="14"/>
    <w:qFormat/>
    <w:uiPriority w:val="0"/>
    <w:rPr>
      <w:rFonts w:hint="eastAsia" w:ascii="宋体" w:hAnsi="宋体" w:eastAsia="宋体" w:cs="宋体"/>
      <w:color w:val="000000"/>
      <w:sz w:val="21"/>
      <w:szCs w:val="21"/>
      <w:u w:val="none"/>
    </w:rPr>
  </w:style>
  <w:style w:type="character" w:customStyle="1" w:styleId="25">
    <w:name w:val="font11"/>
    <w:basedOn w:val="14"/>
    <w:qFormat/>
    <w:uiPriority w:val="0"/>
    <w:rPr>
      <w:rFonts w:hint="eastAsia" w:ascii="宋体" w:hAnsi="宋体" w:eastAsia="宋体" w:cs="宋体"/>
      <w:color w:val="000000"/>
      <w:sz w:val="21"/>
      <w:szCs w:val="21"/>
      <w:u w:val="none"/>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Jhstudio</Company>
  <Pages>3</Pages>
  <Words>1606</Words>
  <Characters>1905</Characters>
  <Lines>10</Lines>
  <Paragraphs>2</Paragraphs>
  <TotalTime>15</TotalTime>
  <ScaleCrop>false</ScaleCrop>
  <LinksUpToDate>false</LinksUpToDate>
  <CharactersWithSpaces>2001</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2024-03-28T09:23:00Z</dcterms:created>
  <dc:creator>杨建国</dc:creator>
  <cp:lastModifiedBy>Administrator</cp:lastModifiedBy>
  <dcterms:modified xsi:type="dcterms:W3CDTF">2025-02-05T08:26:26Z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192AA455F37A452799405FE9AEF32D9A_13</vt:lpwstr>
  </property>
  <property fmtid="{D5CDD505-2E9C-101B-9397-08002B2CF9AE}" pid="4" name="KSOTemplateDocerSaveRecord">
    <vt:lpwstr>eyJoZGlkIjoiOTgyZTBlM2FkZjgyZTU3ZTJlMTdmN2JhMjIyZGQyYWYiLCJ1c2VySWQiOiI2MjI1OTE3MzcifQ==</vt:lpwstr>
  </property>
</Properties>
</file>