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kern w:val="44"/>
          <w:sz w:val="32"/>
          <w:szCs w:val="36"/>
        </w:rPr>
      </w:pPr>
      <w:r>
        <w:rPr>
          <w:rFonts w:hint="eastAsia" w:ascii="黑体" w:hAnsi="黑体" w:eastAsia="黑体"/>
          <w:b/>
          <w:bCs/>
          <w:sz w:val="32"/>
          <w:szCs w:val="36"/>
        </w:rPr>
        <w:t>南海实验学校旌旗山初中</w:t>
      </w:r>
      <w:r>
        <w:rPr>
          <w:rFonts w:hint="eastAsia" w:ascii="黑体" w:hAnsi="黑体" w:eastAsia="黑体"/>
          <w:b/>
          <w:bCs/>
          <w:sz w:val="32"/>
          <w:szCs w:val="36"/>
          <w:lang w:val="en-US" w:eastAsia="zh-CN"/>
        </w:rPr>
        <w:t>监控设备改造采购清单及</w:t>
      </w:r>
      <w:r>
        <w:rPr>
          <w:rFonts w:hint="eastAsia" w:ascii="黑体" w:hAnsi="黑体" w:eastAsia="黑体"/>
          <w:b/>
          <w:bCs/>
          <w:sz w:val="32"/>
          <w:szCs w:val="36"/>
        </w:rPr>
        <w:t>要求</w:t>
      </w:r>
    </w:p>
    <w:p>
      <w:pPr>
        <w:pStyle w:val="2"/>
        <w:numPr>
          <w:ilvl w:val="0"/>
          <w:numId w:val="1"/>
        </w:numPr>
      </w:pPr>
      <w:r>
        <w:t>设备清单</w:t>
      </w:r>
      <w:bookmarkStart w:id="0" w:name="_GoBack"/>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373"/>
        <w:gridCol w:w="1969"/>
        <w:gridCol w:w="2069"/>
        <w:gridCol w:w="77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Pr>
          <w:p>
            <w:pPr>
              <w:spacing w:line="360" w:lineRule="auto"/>
              <w:jc w:val="center"/>
              <w:rPr>
                <w:rFonts w:ascii="宋体" w:hAnsi="宋体" w:eastAsia="宋体"/>
                <w:b/>
                <w:szCs w:val="21"/>
              </w:rPr>
            </w:pPr>
            <w:r>
              <w:rPr>
                <w:rFonts w:hint="eastAsia" w:ascii="宋体" w:hAnsi="宋体" w:eastAsia="宋体"/>
                <w:b/>
                <w:szCs w:val="21"/>
              </w:rPr>
              <w:t>序号</w:t>
            </w:r>
          </w:p>
        </w:tc>
        <w:tc>
          <w:tcPr>
            <w:tcW w:w="2373" w:type="dxa"/>
          </w:tcPr>
          <w:p>
            <w:pPr>
              <w:spacing w:line="360" w:lineRule="auto"/>
              <w:jc w:val="center"/>
              <w:rPr>
                <w:rFonts w:ascii="宋体" w:hAnsi="宋体" w:eastAsia="宋体"/>
                <w:b/>
                <w:szCs w:val="21"/>
              </w:rPr>
            </w:pPr>
            <w:r>
              <w:rPr>
                <w:rFonts w:hint="eastAsia" w:ascii="宋体" w:hAnsi="宋体" w:eastAsia="宋体"/>
                <w:b/>
                <w:szCs w:val="21"/>
              </w:rPr>
              <w:t>名称</w:t>
            </w:r>
          </w:p>
        </w:tc>
        <w:tc>
          <w:tcPr>
            <w:tcW w:w="1969" w:type="dxa"/>
          </w:tcPr>
          <w:p>
            <w:pPr>
              <w:spacing w:line="360" w:lineRule="auto"/>
              <w:jc w:val="center"/>
              <w:rPr>
                <w:rFonts w:ascii="宋体" w:hAnsi="宋体" w:eastAsia="宋体"/>
                <w:b/>
                <w:szCs w:val="21"/>
              </w:rPr>
            </w:pPr>
            <w:r>
              <w:rPr>
                <w:rFonts w:hint="eastAsia" w:ascii="宋体" w:hAnsi="宋体" w:eastAsia="宋体"/>
                <w:b/>
                <w:szCs w:val="21"/>
              </w:rPr>
              <w:t>要求基本参数</w:t>
            </w:r>
          </w:p>
        </w:tc>
        <w:tc>
          <w:tcPr>
            <w:tcW w:w="2069" w:type="dxa"/>
          </w:tcPr>
          <w:p>
            <w:pPr>
              <w:spacing w:line="360" w:lineRule="auto"/>
              <w:jc w:val="center"/>
              <w:rPr>
                <w:rFonts w:ascii="宋体" w:hAnsi="宋体" w:eastAsia="宋体"/>
                <w:b/>
                <w:szCs w:val="21"/>
              </w:rPr>
            </w:pPr>
            <w:r>
              <w:rPr>
                <w:rFonts w:hint="eastAsia" w:ascii="宋体" w:hAnsi="宋体" w:eastAsia="宋体"/>
                <w:b/>
                <w:szCs w:val="21"/>
              </w:rPr>
              <w:t>型号</w:t>
            </w:r>
          </w:p>
        </w:tc>
        <w:tc>
          <w:tcPr>
            <w:tcW w:w="779" w:type="dxa"/>
          </w:tcPr>
          <w:p>
            <w:pPr>
              <w:spacing w:line="360" w:lineRule="auto"/>
              <w:jc w:val="center"/>
              <w:rPr>
                <w:rFonts w:ascii="宋体" w:hAnsi="宋体" w:eastAsia="宋体"/>
                <w:b/>
                <w:szCs w:val="21"/>
              </w:rPr>
            </w:pPr>
            <w:r>
              <w:rPr>
                <w:rFonts w:hint="eastAsia" w:ascii="宋体" w:hAnsi="宋体" w:eastAsia="宋体"/>
                <w:b/>
                <w:szCs w:val="21"/>
              </w:rPr>
              <w:t>数量</w:t>
            </w:r>
          </w:p>
        </w:tc>
        <w:tc>
          <w:tcPr>
            <w:tcW w:w="718" w:type="dxa"/>
          </w:tcPr>
          <w:p>
            <w:pPr>
              <w:spacing w:line="360" w:lineRule="auto"/>
              <w:jc w:val="center"/>
              <w:rPr>
                <w:rFonts w:ascii="宋体" w:hAnsi="宋体" w:eastAsia="宋体"/>
                <w:b/>
                <w:szCs w:val="21"/>
              </w:rPr>
            </w:pPr>
            <w:r>
              <w:rPr>
                <w:rFonts w:hint="eastAsia" w:ascii="宋体" w:hAnsi="宋体" w:eastAsia="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筒机摄像头</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cs="宋体"/>
                <w:color w:val="000000"/>
                <w:sz w:val="22"/>
              </w:rPr>
            </w:pPr>
            <w:r>
              <w:rPr>
                <w:rFonts w:hint="eastAsia"/>
                <w:color w:val="000000"/>
                <w:sz w:val="22"/>
              </w:rPr>
              <w:t>DS-2CD3T46WDV3-II</w:t>
            </w:r>
          </w:p>
        </w:tc>
        <w:tc>
          <w:tcPr>
            <w:tcW w:w="779" w:type="dxa"/>
            <w:vAlign w:val="center"/>
          </w:tcPr>
          <w:p>
            <w:pPr>
              <w:jc w:val="center"/>
              <w:rPr>
                <w:rFonts w:ascii="仿宋" w:hAnsi="仿宋" w:eastAsia="仿宋" w:cs="宋体"/>
                <w:b/>
                <w:bCs/>
                <w:color w:val="000000"/>
                <w:sz w:val="28"/>
                <w:szCs w:val="28"/>
              </w:rPr>
            </w:pPr>
            <w:r>
              <w:rPr>
                <w:rFonts w:hint="eastAsia" w:ascii="宋体" w:hAnsi="宋体" w:eastAsia="宋体"/>
                <w:szCs w:val="21"/>
              </w:rPr>
              <w:t>90</w:t>
            </w:r>
          </w:p>
        </w:tc>
        <w:tc>
          <w:tcPr>
            <w:tcW w:w="718" w:type="dxa"/>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半球摄像头</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DS-2CD3346WDV3-</w:t>
            </w:r>
            <w:r>
              <w:rPr>
                <w:rFonts w:hint="eastAsia" w:ascii="宋体" w:hAnsi="宋体" w:eastAsia="宋体"/>
                <w:szCs w:val="21"/>
              </w:rPr>
              <w:t>II</w:t>
            </w:r>
          </w:p>
        </w:tc>
        <w:tc>
          <w:tcPr>
            <w:tcW w:w="779" w:type="dxa"/>
            <w:vAlign w:val="center"/>
          </w:tcPr>
          <w:p>
            <w:pPr>
              <w:jc w:val="center"/>
              <w:rPr>
                <w:rFonts w:ascii="宋体" w:hAnsi="宋体" w:eastAsia="宋体"/>
                <w:szCs w:val="21"/>
              </w:rPr>
            </w:pPr>
            <w:r>
              <w:rPr>
                <w:rFonts w:hint="eastAsia" w:ascii="宋体" w:hAnsi="宋体" w:eastAsia="宋体"/>
                <w:szCs w:val="21"/>
              </w:rPr>
              <w:t>6</w:t>
            </w:r>
          </w:p>
        </w:tc>
        <w:tc>
          <w:tcPr>
            <w:tcW w:w="718" w:type="dxa"/>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筒机支架</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DS-2205ZJ</w:t>
            </w:r>
          </w:p>
        </w:tc>
        <w:tc>
          <w:tcPr>
            <w:tcW w:w="779" w:type="dxa"/>
            <w:vAlign w:val="center"/>
          </w:tcPr>
          <w:p>
            <w:pPr>
              <w:jc w:val="center"/>
              <w:rPr>
                <w:rFonts w:ascii="宋体" w:hAnsi="宋体" w:eastAsia="宋体"/>
                <w:szCs w:val="21"/>
              </w:rPr>
            </w:pPr>
            <w:r>
              <w:rPr>
                <w:rFonts w:hint="eastAsia" w:ascii="宋体" w:hAnsi="宋体" w:eastAsia="宋体"/>
                <w:szCs w:val="21"/>
              </w:rPr>
              <w:t>90</w:t>
            </w:r>
          </w:p>
        </w:tc>
        <w:tc>
          <w:tcPr>
            <w:tcW w:w="718" w:type="dxa"/>
            <w:vAlign w:val="center"/>
          </w:tcPr>
          <w:p>
            <w:pPr>
              <w:jc w:val="cente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监控专用硬盘</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ST8000NM0055</w:t>
            </w:r>
          </w:p>
        </w:tc>
        <w:tc>
          <w:tcPr>
            <w:tcW w:w="779" w:type="dxa"/>
            <w:vAlign w:val="center"/>
          </w:tcPr>
          <w:p>
            <w:pPr>
              <w:jc w:val="center"/>
              <w:rPr>
                <w:rFonts w:ascii="宋体" w:hAnsi="宋体" w:eastAsia="宋体"/>
                <w:szCs w:val="21"/>
              </w:rPr>
            </w:pPr>
            <w:r>
              <w:rPr>
                <w:rFonts w:hint="eastAsia" w:ascii="宋体" w:hAnsi="宋体" w:eastAsia="宋体"/>
                <w:szCs w:val="21"/>
              </w:rPr>
              <w:t>32</w:t>
            </w:r>
          </w:p>
        </w:tc>
        <w:tc>
          <w:tcPr>
            <w:tcW w:w="718" w:type="dxa"/>
            <w:vAlign w:val="center"/>
          </w:tcPr>
          <w:p>
            <w:pPr>
              <w:jc w:val="center"/>
              <w:rPr>
                <w:rFonts w:ascii="宋体" w:hAnsi="宋体" w:eastAsia="宋体"/>
                <w:szCs w:val="21"/>
              </w:rPr>
            </w:pPr>
            <w:r>
              <w:rPr>
                <w:rFonts w:ascii="宋体" w:hAnsi="宋体" w:eastAsia="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5</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录像机</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DS-8664N-K16/RTA</w:t>
            </w:r>
          </w:p>
        </w:tc>
        <w:tc>
          <w:tcPr>
            <w:tcW w:w="779" w:type="dxa"/>
            <w:vAlign w:val="center"/>
          </w:tcPr>
          <w:p>
            <w:pPr>
              <w:jc w:val="center"/>
              <w:rPr>
                <w:rFonts w:ascii="宋体" w:hAnsi="宋体" w:eastAsia="宋体"/>
                <w:szCs w:val="21"/>
              </w:rPr>
            </w:pPr>
            <w:r>
              <w:rPr>
                <w:rFonts w:hint="eastAsia" w:ascii="宋体" w:hAnsi="宋体" w:eastAsia="宋体"/>
                <w:szCs w:val="21"/>
              </w:rPr>
              <w:t>2</w:t>
            </w:r>
          </w:p>
        </w:tc>
        <w:tc>
          <w:tcPr>
            <w:tcW w:w="718" w:type="dxa"/>
            <w:vAlign w:val="center"/>
          </w:tcPr>
          <w:p>
            <w:pPr>
              <w:jc w:val="cente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6</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32U米机柜</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辉腾机柜</w:t>
            </w:r>
            <w:r>
              <w:rPr>
                <w:rFonts w:hint="eastAsia" w:ascii="宋体" w:hAnsi="宋体" w:eastAsia="宋体"/>
                <w:szCs w:val="21"/>
              </w:rPr>
              <w:t>6632</w:t>
            </w:r>
          </w:p>
        </w:tc>
        <w:tc>
          <w:tcPr>
            <w:tcW w:w="779" w:type="dxa"/>
            <w:vAlign w:val="center"/>
          </w:tcPr>
          <w:p>
            <w:pPr>
              <w:jc w:val="center"/>
              <w:rPr>
                <w:rFonts w:ascii="宋体" w:hAnsi="宋体" w:eastAsia="宋体"/>
                <w:szCs w:val="21"/>
              </w:rPr>
            </w:pPr>
            <w:r>
              <w:rPr>
                <w:rFonts w:hint="eastAsia" w:ascii="宋体" w:hAnsi="宋体" w:eastAsia="宋体"/>
                <w:szCs w:val="21"/>
              </w:rPr>
              <w:t>1</w:t>
            </w:r>
          </w:p>
        </w:tc>
        <w:tc>
          <w:tcPr>
            <w:tcW w:w="718" w:type="dxa"/>
            <w:vAlign w:val="center"/>
          </w:tcPr>
          <w:p>
            <w:pPr>
              <w:jc w:val="cente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7</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6U机柜</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辉腾机柜</w:t>
            </w:r>
            <w:r>
              <w:rPr>
                <w:rFonts w:hint="eastAsia" w:ascii="宋体" w:hAnsi="宋体" w:eastAsia="宋体"/>
                <w:szCs w:val="21"/>
              </w:rPr>
              <w:t>6606</w:t>
            </w:r>
          </w:p>
        </w:tc>
        <w:tc>
          <w:tcPr>
            <w:tcW w:w="779" w:type="dxa"/>
            <w:vAlign w:val="center"/>
          </w:tcPr>
          <w:p>
            <w:pPr>
              <w:jc w:val="center"/>
              <w:rPr>
                <w:rFonts w:ascii="宋体" w:hAnsi="宋体" w:eastAsia="宋体"/>
                <w:szCs w:val="21"/>
              </w:rPr>
            </w:pPr>
            <w:r>
              <w:rPr>
                <w:rFonts w:hint="eastAsia" w:ascii="宋体" w:hAnsi="宋体" w:eastAsia="宋体"/>
                <w:szCs w:val="21"/>
              </w:rPr>
              <w:t>3</w:t>
            </w:r>
          </w:p>
        </w:tc>
        <w:tc>
          <w:tcPr>
            <w:tcW w:w="718" w:type="dxa"/>
            <w:vAlign w:val="center"/>
          </w:tcPr>
          <w:p>
            <w:pPr>
              <w:jc w:val="center"/>
              <w:rPr>
                <w:rFonts w:ascii="宋体" w:hAnsi="宋体" w:eastAsia="宋体"/>
                <w:szCs w:val="21"/>
              </w:rPr>
            </w:pPr>
            <w:r>
              <w:rPr>
                <w:rFonts w:hint="eastAsia" w:ascii="宋体" w:hAnsi="宋体" w:eastAsia="宋体"/>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8</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24口POE交换机</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DS-3E0526SP-E</w:t>
            </w:r>
          </w:p>
        </w:tc>
        <w:tc>
          <w:tcPr>
            <w:tcW w:w="779" w:type="dxa"/>
            <w:vAlign w:val="center"/>
          </w:tcPr>
          <w:p>
            <w:pPr>
              <w:jc w:val="center"/>
              <w:rPr>
                <w:rFonts w:ascii="宋体" w:hAnsi="宋体" w:eastAsia="宋体"/>
                <w:szCs w:val="21"/>
              </w:rPr>
            </w:pPr>
            <w:r>
              <w:rPr>
                <w:rFonts w:hint="eastAsia" w:ascii="宋体" w:hAnsi="宋体" w:eastAsia="宋体"/>
                <w:szCs w:val="21"/>
              </w:rPr>
              <w:t>4</w:t>
            </w:r>
          </w:p>
        </w:tc>
        <w:tc>
          <w:tcPr>
            <w:tcW w:w="718" w:type="dxa"/>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9</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9口POE交换机</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DS-3E0510SP-E</w:t>
            </w:r>
          </w:p>
        </w:tc>
        <w:tc>
          <w:tcPr>
            <w:tcW w:w="779" w:type="dxa"/>
            <w:vAlign w:val="center"/>
          </w:tcPr>
          <w:p>
            <w:pPr>
              <w:jc w:val="center"/>
              <w:rPr>
                <w:rFonts w:ascii="宋体" w:hAnsi="宋体" w:eastAsia="宋体"/>
                <w:szCs w:val="21"/>
              </w:rPr>
            </w:pPr>
            <w:r>
              <w:rPr>
                <w:rFonts w:hint="eastAsia" w:ascii="宋体" w:hAnsi="宋体" w:eastAsia="宋体"/>
                <w:szCs w:val="21"/>
              </w:rPr>
              <w:t>9</w:t>
            </w:r>
          </w:p>
        </w:tc>
        <w:tc>
          <w:tcPr>
            <w:tcW w:w="718" w:type="dxa"/>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10</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5口POE交换机</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ascii="宋体" w:hAnsi="宋体" w:eastAsia="宋体"/>
                <w:szCs w:val="21"/>
              </w:rPr>
              <w:t>DS-3E0505SP-E</w:t>
            </w:r>
          </w:p>
        </w:tc>
        <w:tc>
          <w:tcPr>
            <w:tcW w:w="779" w:type="dxa"/>
            <w:vAlign w:val="center"/>
          </w:tcPr>
          <w:p>
            <w:pPr>
              <w:jc w:val="center"/>
              <w:rPr>
                <w:rFonts w:ascii="宋体" w:hAnsi="宋体" w:eastAsia="宋体"/>
                <w:szCs w:val="21"/>
              </w:rPr>
            </w:pPr>
            <w:r>
              <w:rPr>
                <w:rFonts w:hint="eastAsia" w:ascii="宋体" w:hAnsi="宋体" w:eastAsia="宋体"/>
                <w:szCs w:val="21"/>
              </w:rPr>
              <w:t>3</w:t>
            </w:r>
          </w:p>
        </w:tc>
        <w:tc>
          <w:tcPr>
            <w:tcW w:w="718" w:type="dxa"/>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11</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网线/箱</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jc w:val="center"/>
              <w:rPr>
                <w:rFonts w:ascii="宋体" w:hAnsi="宋体" w:eastAsia="宋体"/>
                <w:szCs w:val="21"/>
              </w:rPr>
            </w:pPr>
            <w:r>
              <w:rPr>
                <w:rFonts w:hint="eastAsia" w:ascii="宋体" w:hAnsi="宋体" w:eastAsia="宋体"/>
                <w:szCs w:val="21"/>
              </w:rPr>
              <w:t>海康威视</w:t>
            </w:r>
            <w:r>
              <w:rPr>
                <w:rFonts w:ascii="宋体" w:hAnsi="宋体" w:eastAsia="宋体"/>
                <w:szCs w:val="21"/>
              </w:rPr>
              <w:t>DS-1LN6-UE</w:t>
            </w:r>
          </w:p>
        </w:tc>
        <w:tc>
          <w:tcPr>
            <w:tcW w:w="779" w:type="dxa"/>
            <w:vAlign w:val="center"/>
          </w:tcPr>
          <w:p>
            <w:pPr>
              <w:jc w:val="center"/>
              <w:rPr>
                <w:rFonts w:ascii="宋体" w:hAnsi="宋体" w:eastAsia="宋体"/>
                <w:szCs w:val="21"/>
              </w:rPr>
            </w:pPr>
            <w:r>
              <w:rPr>
                <w:rFonts w:hint="eastAsia" w:ascii="宋体" w:hAnsi="宋体" w:eastAsia="宋体"/>
                <w:szCs w:val="21"/>
              </w:rPr>
              <w:t>30</w:t>
            </w:r>
          </w:p>
        </w:tc>
        <w:tc>
          <w:tcPr>
            <w:tcW w:w="718" w:type="dxa"/>
            <w:vAlign w:val="center"/>
          </w:tcPr>
          <w:p>
            <w:pPr>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14</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警戒摄像头</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spacing w:line="360" w:lineRule="auto"/>
              <w:jc w:val="center"/>
              <w:rPr>
                <w:rFonts w:ascii="宋体" w:hAnsi="宋体" w:eastAsia="宋体"/>
                <w:szCs w:val="21"/>
              </w:rPr>
            </w:pPr>
            <w:r>
              <w:rPr>
                <w:rFonts w:ascii="宋体" w:hAnsi="宋体" w:eastAsia="宋体"/>
                <w:szCs w:val="21"/>
              </w:rPr>
              <w:t>DS-2CD3T46WDA4-LL</w:t>
            </w:r>
          </w:p>
        </w:tc>
        <w:tc>
          <w:tcPr>
            <w:tcW w:w="779" w:type="dxa"/>
            <w:vAlign w:val="center"/>
          </w:tcPr>
          <w:p>
            <w:pPr>
              <w:spacing w:line="360" w:lineRule="auto"/>
              <w:jc w:val="center"/>
              <w:rPr>
                <w:rFonts w:ascii="宋体" w:hAnsi="宋体" w:eastAsia="宋体"/>
                <w:szCs w:val="21"/>
              </w:rPr>
            </w:pPr>
            <w:r>
              <w:rPr>
                <w:rFonts w:hint="eastAsia" w:ascii="宋体" w:hAnsi="宋体" w:eastAsia="宋体"/>
                <w:szCs w:val="21"/>
              </w:rPr>
              <w:t>42</w:t>
            </w:r>
          </w:p>
        </w:tc>
        <w:tc>
          <w:tcPr>
            <w:tcW w:w="718" w:type="dxa"/>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15</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立杆支架</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spacing w:line="360" w:lineRule="auto"/>
              <w:jc w:val="center"/>
              <w:rPr>
                <w:rFonts w:ascii="宋体" w:hAnsi="宋体" w:eastAsia="宋体"/>
                <w:szCs w:val="21"/>
              </w:rPr>
            </w:pPr>
            <w:r>
              <w:rPr>
                <w:rFonts w:hint="eastAsia" w:ascii="宋体" w:hAnsi="宋体" w:eastAsia="宋体"/>
                <w:szCs w:val="21"/>
              </w:rPr>
              <w:t>定制</w:t>
            </w:r>
          </w:p>
        </w:tc>
        <w:tc>
          <w:tcPr>
            <w:tcW w:w="779" w:type="dxa"/>
            <w:vAlign w:val="center"/>
          </w:tcPr>
          <w:p>
            <w:pPr>
              <w:spacing w:line="360" w:lineRule="auto"/>
              <w:jc w:val="center"/>
              <w:rPr>
                <w:rFonts w:ascii="宋体" w:hAnsi="宋体" w:eastAsia="宋体"/>
                <w:szCs w:val="21"/>
              </w:rPr>
            </w:pPr>
            <w:r>
              <w:rPr>
                <w:rFonts w:hint="eastAsia" w:ascii="宋体" w:hAnsi="宋体" w:eastAsia="宋体"/>
                <w:szCs w:val="21"/>
              </w:rPr>
              <w:t>42</w:t>
            </w:r>
          </w:p>
        </w:tc>
        <w:tc>
          <w:tcPr>
            <w:tcW w:w="718" w:type="dxa"/>
            <w:vAlign w:val="center"/>
          </w:tcPr>
          <w:p>
            <w:pPr>
              <w:spacing w:line="360" w:lineRule="auto"/>
              <w:jc w:val="center"/>
              <w:rPr>
                <w:rFonts w:ascii="宋体" w:hAnsi="宋体" w:eastAsia="宋体"/>
                <w:szCs w:val="21"/>
              </w:rPr>
            </w:pPr>
            <w:r>
              <w:rPr>
                <w:rFonts w:hint="eastAsia" w:ascii="宋体" w:hAnsi="宋体" w:eastAsia="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16</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超脑录像机</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spacing w:line="360" w:lineRule="auto"/>
              <w:jc w:val="center"/>
              <w:rPr>
                <w:rFonts w:ascii="宋体" w:hAnsi="宋体" w:eastAsia="宋体"/>
                <w:szCs w:val="21"/>
              </w:rPr>
            </w:pPr>
            <w:r>
              <w:rPr>
                <w:rFonts w:ascii="宋体" w:hAnsi="宋体" w:eastAsia="宋体"/>
                <w:szCs w:val="21"/>
              </w:rPr>
              <w:t>DS-8864N-R8/RTA</w:t>
            </w:r>
          </w:p>
        </w:tc>
        <w:tc>
          <w:tcPr>
            <w:tcW w:w="779"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718" w:type="dxa"/>
            <w:vAlign w:val="center"/>
          </w:tcPr>
          <w:p>
            <w:pPr>
              <w:spacing w:line="360" w:lineRule="auto"/>
              <w:jc w:val="center"/>
              <w:rPr>
                <w:rFonts w:ascii="宋体" w:hAnsi="宋体" w:eastAsia="宋体"/>
                <w:szCs w:val="21"/>
              </w:rPr>
            </w:pPr>
            <w:r>
              <w:rPr>
                <w:rFonts w:hint="eastAsia" w:ascii="宋体" w:hAnsi="宋体" w:eastAsia="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17</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立杆</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spacing w:line="360" w:lineRule="auto"/>
              <w:jc w:val="center"/>
              <w:rPr>
                <w:rFonts w:ascii="宋体" w:hAnsi="宋体" w:eastAsia="宋体"/>
                <w:szCs w:val="21"/>
              </w:rPr>
            </w:pPr>
            <w:r>
              <w:rPr>
                <w:rFonts w:hint="eastAsia" w:ascii="宋体" w:hAnsi="宋体" w:eastAsia="宋体"/>
                <w:szCs w:val="21"/>
              </w:rPr>
              <w:t>定制</w:t>
            </w:r>
          </w:p>
        </w:tc>
        <w:tc>
          <w:tcPr>
            <w:tcW w:w="779" w:type="dxa"/>
            <w:vAlign w:val="center"/>
          </w:tcPr>
          <w:p>
            <w:pPr>
              <w:spacing w:line="360" w:lineRule="auto"/>
              <w:jc w:val="center"/>
              <w:rPr>
                <w:rFonts w:ascii="宋体" w:hAnsi="宋体" w:eastAsia="宋体"/>
                <w:szCs w:val="21"/>
              </w:rPr>
            </w:pPr>
            <w:r>
              <w:rPr>
                <w:rFonts w:hint="eastAsia" w:ascii="宋体" w:hAnsi="宋体" w:eastAsia="宋体"/>
                <w:szCs w:val="21"/>
              </w:rPr>
              <w:t>42</w:t>
            </w:r>
          </w:p>
        </w:tc>
        <w:tc>
          <w:tcPr>
            <w:tcW w:w="718" w:type="dxa"/>
            <w:vAlign w:val="center"/>
          </w:tcPr>
          <w:p>
            <w:pPr>
              <w:spacing w:line="360" w:lineRule="auto"/>
              <w:jc w:val="center"/>
              <w:rPr>
                <w:rFonts w:ascii="宋体" w:hAnsi="宋体" w:eastAsia="宋体"/>
                <w:szCs w:val="21"/>
              </w:rPr>
            </w:pPr>
            <w:r>
              <w:rPr>
                <w:rFonts w:hint="eastAsia" w:ascii="宋体" w:hAnsi="宋体" w:eastAsia="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18</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显示器</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spacing w:line="360" w:lineRule="auto"/>
              <w:jc w:val="center"/>
              <w:rPr>
                <w:rFonts w:ascii="宋体" w:hAnsi="宋体" w:eastAsia="宋体"/>
                <w:szCs w:val="21"/>
              </w:rPr>
            </w:pPr>
            <w:r>
              <w:rPr>
                <w:rFonts w:ascii="宋体" w:hAnsi="宋体" w:eastAsia="宋体"/>
                <w:szCs w:val="21"/>
              </w:rPr>
              <w:t>DS-D5024</w:t>
            </w:r>
          </w:p>
        </w:tc>
        <w:tc>
          <w:tcPr>
            <w:tcW w:w="779"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718" w:type="dxa"/>
            <w:vAlign w:val="center"/>
          </w:tcPr>
          <w:p>
            <w:pPr>
              <w:spacing w:line="360" w:lineRule="auto"/>
              <w:jc w:val="center"/>
              <w:rPr>
                <w:rFonts w:ascii="宋体" w:hAnsi="宋体" w:eastAsia="宋体"/>
                <w:szCs w:val="21"/>
              </w:rPr>
            </w:pPr>
            <w:r>
              <w:rPr>
                <w:rFonts w:hint="eastAsia" w:ascii="宋体" w:hAnsi="宋体" w:eastAsia="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szCs w:val="21"/>
              </w:rPr>
            </w:pPr>
            <w:r>
              <w:rPr>
                <w:rFonts w:hint="eastAsia" w:ascii="宋体" w:hAnsi="宋体" w:eastAsia="宋体"/>
                <w:szCs w:val="21"/>
              </w:rPr>
              <w:t>19</w:t>
            </w:r>
          </w:p>
        </w:tc>
        <w:tc>
          <w:tcPr>
            <w:tcW w:w="2373"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其他辅材</w:t>
            </w:r>
          </w:p>
        </w:tc>
        <w:tc>
          <w:tcPr>
            <w:tcW w:w="1969" w:type="dxa"/>
          </w:tcPr>
          <w:p>
            <w:pPr>
              <w:spacing w:line="360" w:lineRule="auto"/>
              <w:jc w:val="center"/>
              <w:rPr>
                <w:rFonts w:ascii="宋体" w:hAnsi="宋体" w:eastAsia="宋体"/>
                <w:szCs w:val="21"/>
              </w:rPr>
            </w:pPr>
            <w:r>
              <w:rPr>
                <w:rFonts w:ascii="宋体" w:hAnsi="宋体" w:eastAsia="宋体"/>
                <w:szCs w:val="21"/>
              </w:rPr>
              <w:t>详见产品参数</w:t>
            </w:r>
          </w:p>
        </w:tc>
        <w:tc>
          <w:tcPr>
            <w:tcW w:w="2069" w:type="dxa"/>
          </w:tcPr>
          <w:p>
            <w:pPr>
              <w:spacing w:line="360" w:lineRule="auto"/>
              <w:jc w:val="center"/>
              <w:rPr>
                <w:rFonts w:ascii="宋体" w:hAnsi="宋体" w:eastAsia="宋体"/>
                <w:szCs w:val="21"/>
              </w:rPr>
            </w:pPr>
            <w:r>
              <w:rPr>
                <w:rFonts w:ascii="宋体" w:hAnsi="宋体" w:eastAsia="宋体"/>
                <w:szCs w:val="21"/>
              </w:rPr>
              <w:t>国标</w:t>
            </w:r>
          </w:p>
        </w:tc>
        <w:tc>
          <w:tcPr>
            <w:tcW w:w="779"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718" w:type="dxa"/>
            <w:vAlign w:val="center"/>
          </w:tcPr>
          <w:p>
            <w:pPr>
              <w:spacing w:line="360" w:lineRule="auto"/>
              <w:jc w:val="center"/>
              <w:rPr>
                <w:rFonts w:ascii="宋体" w:hAnsi="宋体" w:eastAsia="宋体"/>
                <w:szCs w:val="21"/>
              </w:rPr>
            </w:pPr>
            <w:r>
              <w:rPr>
                <w:rFonts w:hint="eastAsia" w:ascii="宋体" w:hAnsi="宋体" w:eastAsia="宋体"/>
                <w:szCs w:val="21"/>
              </w:rPr>
              <w:t>批</w:t>
            </w:r>
          </w:p>
        </w:tc>
      </w:tr>
    </w:tbl>
    <w:p>
      <w:pPr>
        <w:spacing w:line="360" w:lineRule="auto"/>
        <w:rPr>
          <w:rFonts w:ascii="宋体" w:hAnsi="宋体" w:cs="宋体"/>
        </w:rPr>
      </w:pPr>
      <w:r>
        <w:rPr>
          <w:rFonts w:hint="eastAsia" w:ascii="宋体" w:hAnsi="宋体" w:cs="宋体"/>
        </w:rPr>
        <w:t>★特别说明：</w:t>
      </w:r>
    </w:p>
    <w:p>
      <w:pPr>
        <w:spacing w:line="360" w:lineRule="auto"/>
        <w:jc w:val="left"/>
        <w:rPr>
          <w:rFonts w:asciiTheme="minorEastAsia" w:hAnsiTheme="minorEastAsia"/>
          <w:szCs w:val="21"/>
        </w:rPr>
      </w:pPr>
      <w:r>
        <w:rPr>
          <w:rFonts w:hint="eastAsia" w:asciiTheme="minorEastAsia" w:hAnsiTheme="minorEastAsia"/>
          <w:szCs w:val="21"/>
        </w:rPr>
        <w:t>（1）现场勘察：投标单位需在项目公示期间对学校的现场环境进行勘察,并在投标文件中提供相对应的实施方案和现场勘察报告；若投标单位未对现场环境进行勘察或投标文件内未按照相关要求提供现场勘察报告的，则做无效投标处理。</w:t>
      </w:r>
    </w:p>
    <w:p>
      <w:pPr>
        <w:spacing w:line="360" w:lineRule="auto"/>
        <w:rPr>
          <w:rFonts w:cs="宋体" w:asciiTheme="minorEastAsia" w:hAnsiTheme="minorEastAsia"/>
        </w:rPr>
      </w:pPr>
      <w:r>
        <w:rPr>
          <w:rFonts w:hint="eastAsia" w:asciiTheme="minorEastAsia" w:hAnsiTheme="minorEastAsia"/>
        </w:rPr>
        <w:t>（2）</w:t>
      </w:r>
      <w:r>
        <w:rPr>
          <w:rFonts w:hint="eastAsia" w:cs="宋体" w:asciiTheme="minorEastAsia" w:hAnsiTheme="minorEastAsia"/>
        </w:rPr>
        <w:t>招标方案中，投标产品的质量性能指标及服务内容不得低于招标参数的质量性能指标和服务内容。带</w:t>
      </w:r>
      <w:r>
        <w:rPr>
          <w:rFonts w:hint="eastAsia" w:ascii="宋体" w:hAnsi="宋体"/>
          <w:color w:val="000000" w:themeColor="text1"/>
          <w:szCs w:val="21"/>
        </w:rPr>
        <w:t>▲</w:t>
      </w:r>
      <w:r>
        <w:rPr>
          <w:rFonts w:hint="eastAsia" w:cs="宋体" w:asciiTheme="minorEastAsia" w:hAnsiTheme="minorEastAsia"/>
        </w:rPr>
        <w:t>号的指标为重要指标，不接受负偏离；</w:t>
      </w:r>
    </w:p>
    <w:p>
      <w:pPr>
        <w:spacing w:line="360" w:lineRule="auto"/>
        <w:rPr>
          <w:rFonts w:ascii="宋体" w:hAnsi="宋体" w:cs="宋体"/>
          <w:color w:val="000000"/>
          <w:kern w:val="0"/>
          <w:szCs w:val="21"/>
        </w:rPr>
      </w:pPr>
      <w:r>
        <w:rPr>
          <w:rFonts w:hint="eastAsia" w:ascii="宋体" w:hAnsi="宋体" w:cs="宋体"/>
          <w:color w:val="000000"/>
          <w:kern w:val="0"/>
          <w:szCs w:val="21"/>
        </w:rPr>
        <w:t>（3）投标单位须提供包括完成业主当前环境下设备的拆除、搬迁、安装等相关工作，保证系统及所有设备正常运行所需的全部工程实施相关工作，在投标文件中须提供详细的技术方案，</w:t>
      </w:r>
      <w:r>
        <w:rPr>
          <w:rFonts w:hint="eastAsia" w:ascii="宋体" w:hAnsi="宋体"/>
          <w:szCs w:val="21"/>
        </w:rPr>
        <w:t>要求设计合理，符合业主实际情况</w:t>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（4）投标单位须在投标文件中提供系统布线CAD点位图，要求点位设计分布合理，符合业主实际需求。</w:t>
      </w:r>
    </w:p>
    <w:p>
      <w:pPr>
        <w:spacing w:line="360" w:lineRule="auto"/>
        <w:rPr>
          <w:rFonts w:ascii="宋体" w:hAnsi="宋体"/>
          <w:bCs/>
          <w:szCs w:val="21"/>
        </w:rPr>
      </w:pPr>
      <w:r>
        <w:rPr>
          <w:rFonts w:hint="eastAsia" w:asciiTheme="minorEastAsia" w:hAnsiTheme="minorEastAsia"/>
        </w:rPr>
        <w:t xml:space="preserve">（5） </w:t>
      </w:r>
      <w:r>
        <w:rPr>
          <w:rFonts w:hint="eastAsia" w:ascii="宋体" w:hAnsi="宋体"/>
          <w:bCs/>
          <w:szCs w:val="21"/>
        </w:rPr>
        <w:t>为保障售后服务的时效性，投标单位须具有本地话服务能力，不得拖延校方的售后响应要求。</w:t>
      </w:r>
    </w:p>
    <w:p>
      <w:pPr>
        <w:spacing w:line="360" w:lineRule="auto"/>
        <w:rPr>
          <w:rFonts w:ascii="宋体" w:hAnsi="宋体" w:cs="宋体"/>
          <w:b/>
          <w:szCs w:val="21"/>
        </w:rPr>
      </w:pPr>
      <w:r>
        <w:rPr>
          <w:rFonts w:hint="eastAsia" w:ascii="宋体" w:hAnsi="宋体" w:cs="宋体"/>
          <w:b/>
          <w:szCs w:val="21"/>
        </w:rPr>
        <w:t>注：投标单位须根据上述要求在竞价文件中提供相应的文档（包括分项报价明细），若没有按照相关要求提供的，则视为无效标处理。</w:t>
      </w:r>
    </w:p>
    <w:p>
      <w:pPr>
        <w:pStyle w:val="2"/>
        <w:numPr>
          <w:ilvl w:val="0"/>
          <w:numId w:val="1"/>
        </w:numPr>
      </w:pPr>
      <w:r>
        <w:t>产品</w:t>
      </w:r>
      <w:r>
        <w:rPr>
          <w:rFonts w:hint="eastAsia"/>
        </w:rPr>
        <w:t>规格要求</w:t>
      </w:r>
    </w:p>
    <w:tbl>
      <w:tblPr>
        <w:tblStyle w:val="9"/>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914"/>
        <w:gridCol w:w="7146"/>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dxa"/>
          </w:tcPr>
          <w:p>
            <w:pPr>
              <w:spacing w:line="360" w:lineRule="auto"/>
              <w:jc w:val="center"/>
              <w:rPr>
                <w:rFonts w:ascii="宋体" w:hAnsi="宋体" w:eastAsia="宋体"/>
                <w:b/>
                <w:szCs w:val="21"/>
              </w:rPr>
            </w:pPr>
            <w:r>
              <w:rPr>
                <w:rFonts w:hint="eastAsia" w:ascii="宋体" w:hAnsi="宋体" w:eastAsia="宋体"/>
                <w:b/>
                <w:szCs w:val="21"/>
              </w:rPr>
              <w:t>序号</w:t>
            </w:r>
          </w:p>
        </w:tc>
        <w:tc>
          <w:tcPr>
            <w:tcW w:w="1914" w:type="dxa"/>
          </w:tcPr>
          <w:p>
            <w:pPr>
              <w:spacing w:line="360" w:lineRule="auto"/>
              <w:jc w:val="center"/>
              <w:rPr>
                <w:rFonts w:ascii="宋体" w:hAnsi="宋体" w:eastAsia="宋体"/>
                <w:b/>
                <w:szCs w:val="21"/>
              </w:rPr>
            </w:pPr>
            <w:r>
              <w:rPr>
                <w:rFonts w:hint="eastAsia" w:ascii="宋体" w:hAnsi="宋体" w:eastAsia="宋体"/>
                <w:b/>
                <w:szCs w:val="21"/>
              </w:rPr>
              <w:t>名称</w:t>
            </w:r>
          </w:p>
        </w:tc>
        <w:tc>
          <w:tcPr>
            <w:tcW w:w="7165" w:type="dxa"/>
            <w:gridSpan w:val="2"/>
          </w:tcPr>
          <w:p>
            <w:pPr>
              <w:spacing w:line="360" w:lineRule="auto"/>
              <w:jc w:val="center"/>
              <w:rPr>
                <w:rFonts w:ascii="宋体" w:hAnsi="宋体" w:eastAsia="宋体"/>
                <w:b/>
                <w:szCs w:val="21"/>
              </w:rPr>
            </w:pPr>
            <w:r>
              <w:rPr>
                <w:rFonts w:hint="eastAsia" w:ascii="宋体" w:hAnsi="宋体" w:eastAsia="宋体"/>
                <w:b/>
                <w:szCs w:val="21"/>
              </w:rPr>
              <w:t>要求基本参数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筒机摄像头</w:t>
            </w:r>
          </w:p>
        </w:tc>
        <w:tc>
          <w:tcPr>
            <w:tcW w:w="7146" w:type="dxa"/>
          </w:tcPr>
          <w:p>
            <w:pPr>
              <w:jc w:val="left"/>
              <w:rPr>
                <w:rFonts w:ascii="宋体" w:hAnsi="宋体" w:eastAsia="宋体" w:cs="宋体"/>
                <w:color w:val="000000"/>
                <w:sz w:val="22"/>
              </w:rPr>
            </w:pPr>
            <w:r>
              <w:rPr>
                <w:rFonts w:hint="eastAsia"/>
                <w:color w:val="000000"/>
                <w:sz w:val="22"/>
              </w:rPr>
              <w:t>视频</w:t>
            </w:r>
            <w:r>
              <w:rPr>
                <w:rFonts w:hint="eastAsia"/>
                <w:color w:val="000000"/>
                <w:sz w:val="22"/>
              </w:rPr>
              <w:br w:type="textWrapping"/>
            </w:r>
            <w:r>
              <w:rPr>
                <w:rFonts w:hint="eastAsia" w:ascii="宋体" w:hAnsi="宋体"/>
                <w:color w:val="000000" w:themeColor="text1"/>
                <w:szCs w:val="21"/>
              </w:rPr>
              <w:t>▲</w:t>
            </w:r>
            <w:r>
              <w:rPr>
                <w:rFonts w:hint="eastAsia"/>
                <w:color w:val="000000"/>
                <w:sz w:val="22"/>
              </w:rPr>
              <w:t>最大图像尺寸：2560 × 1440主码流帧率分辨率：50 Hz：25 fps（2560 × 1440 , 1920 × 1080，1280 × 720）子码流帧率分辨率：</w:t>
            </w:r>
            <w:r>
              <w:rPr>
                <w:rFonts w:hint="eastAsia"/>
                <w:color w:val="000000"/>
                <w:sz w:val="22"/>
              </w:rPr>
              <w:br w:type="textWrapping"/>
            </w:r>
            <w:r>
              <w:rPr>
                <w:rFonts w:hint="eastAsia"/>
                <w:color w:val="000000"/>
                <w:sz w:val="22"/>
              </w:rPr>
              <w:t>50 Hz：25 fps（1280 × 720，640 × 480，640 × 360）视频压缩标准：主码流：H.265/H.264 子码流：H.265/H.264/MJPEG视频压缩码率：32 Kbps~8 MbpsH.264编码类型：Baseline Profile/Main Profile/High ProfileH.265编码类型：Main ProfileSmart264编码：主码流支持码率控制：定码率，变码率Smart265编码：主码流支持SVC：</w:t>
            </w:r>
            <w:r>
              <w:rPr>
                <w:rFonts w:hint="eastAsia"/>
                <w:color w:val="000000"/>
                <w:sz w:val="22"/>
              </w:rPr>
              <w:br w:type="textWrapping"/>
            </w:r>
            <w:r>
              <w:rPr>
                <w:rFonts w:hint="eastAsia"/>
                <w:color w:val="000000"/>
                <w:sz w:val="22"/>
              </w:rPr>
              <w:t>支持ROI：支持主码流设置1个固定区域事件报警触发：移动侦测，异常Smart事件：区域入侵侦测，越界侦测音频音频压缩标准：</w:t>
            </w:r>
            <w:r>
              <w:rPr>
                <w:rFonts w:hint="eastAsia"/>
                <w:color w:val="000000"/>
                <w:sz w:val="22"/>
              </w:rPr>
              <w:br w:type="textWrapping"/>
            </w:r>
            <w:r>
              <w:rPr>
                <w:rFonts w:hint="eastAsia"/>
                <w:color w:val="000000"/>
                <w:sz w:val="22"/>
              </w:rPr>
              <w:t>G.711ulaw/G.711alaw/G.722.1/G.726/MP2L2/PCM/AAC-LC音频压缩码率：64 Kbps（G.711 ulaw/G.711 alaw）/16 Kbps（G.722.1）/16 Kbps（G.726）/32~160 Kbps（MP2L2）/16~64 Kbps（AAC-LC）</w:t>
            </w:r>
            <w:r>
              <w:rPr>
                <w:rFonts w:hint="eastAsia"/>
                <w:color w:val="000000"/>
                <w:sz w:val="22"/>
              </w:rPr>
              <w:br w:type="textWrapping"/>
            </w:r>
            <w:r>
              <w:rPr>
                <w:rFonts w:hint="eastAsia"/>
                <w:color w:val="000000"/>
                <w:sz w:val="22"/>
              </w:rPr>
              <w:t>音频采样率：</w:t>
            </w:r>
            <w:r>
              <w:rPr>
                <w:rFonts w:hint="eastAsia"/>
                <w:color w:val="000000"/>
                <w:sz w:val="22"/>
              </w:rPr>
              <w:br w:type="textWrapping"/>
            </w:r>
            <w:r>
              <w:rPr>
                <w:rFonts w:hint="eastAsia"/>
                <w:color w:val="000000"/>
                <w:sz w:val="22"/>
              </w:rPr>
              <w:t>8 kHz/16 kHz音频环境噪声过滤：支持网络同时预览路数：最多6路客户端：iVMS-4200接口协议（API）：开放型网络视频接口，ISAPI，SDK，GB28181网络协议：TCP/IP，ICMP，HTTP，DHCP，DNS，RTP，RTSP，NTP，IGMP，QoS，IPv6，UDP用户管理：最多32个用户，可分3级用户权限管理：管理员，操作员，普通用户浏览器：</w:t>
            </w:r>
            <w:r>
              <w:rPr>
                <w:rFonts w:hint="eastAsia"/>
                <w:color w:val="000000"/>
                <w:sz w:val="22"/>
              </w:rPr>
              <w:br w:type="textWrapping"/>
            </w:r>
            <w:r>
              <w:rPr>
                <w:rFonts w:hint="eastAsia"/>
                <w:color w:val="000000"/>
                <w:sz w:val="22"/>
              </w:rPr>
              <w:t>使用插件预览：IE10，IE11 使用本地服务预览：Chrome 57.0+，Firefox 52.0+图像图像设置：饱和度，亮度，对比度，锐度，AGC，白平衡通过客户端或者浏览器可调日夜转换模式：白天，夜晚，自动，定时切换图像增强：背光补偿，强光抑制，3D数字降噪接口音频：1个内置麦克风网络：1个RJ45 10 M/100 M自适应以太网口摄像机传感器类型：1/3" Progressive Scan CMOS最低照度：彩色：0.005 Lux @（F1.2，AGC ON），0 Lux with IR快门：1/3 s~1/100,000 s慢快门：</w:t>
            </w:r>
            <w:r>
              <w:rPr>
                <w:rFonts w:hint="eastAsia"/>
                <w:color w:val="000000"/>
                <w:sz w:val="22"/>
              </w:rPr>
              <w:br w:type="textWrapping"/>
            </w:r>
            <w:r>
              <w:rPr>
                <w:rFonts w:hint="eastAsia"/>
                <w:color w:val="000000"/>
                <w:sz w:val="22"/>
              </w:rPr>
              <w:t>支持P/N制：P制日夜切换模式：ICR红外滤片式宽动态：120 dB</w:t>
            </w:r>
            <w:r>
              <w:rPr>
                <w:rFonts w:hint="eastAsia"/>
                <w:color w:val="000000"/>
                <w:sz w:val="22"/>
              </w:rPr>
              <w:br w:type="textWrapping"/>
            </w:r>
            <w:r>
              <w:rPr>
                <w:rFonts w:hint="eastAsia"/>
                <w:color w:val="000000"/>
                <w:sz w:val="22"/>
              </w:rPr>
              <w:t>镜头焦距&amp;视场角：2.8 mm，水平视场角：97°，垂直视场角：52.3°，对角视场角：114.3° 4 mm，水平视场角：78.8°，垂直视场角:40.5°，对角视场角：93.9° 6 mm，水平视场角：49.1°，垂直视场角：26.3°，对角视场角：57.2° 8 mm，水平视场角：37.5°，垂直视场角：20.7°，对角视场角：43.3° 12 mm，水平视场角：23.4°，垂直视场角：13.3°，对角视场角：26.88°最大光圈数：</w:t>
            </w:r>
            <w:r>
              <w:rPr>
                <w:rFonts w:hint="eastAsia"/>
                <w:color w:val="000000"/>
                <w:sz w:val="22"/>
              </w:rPr>
              <w:br w:type="textWrapping"/>
            </w:r>
            <w:r>
              <w:rPr>
                <w:rFonts w:hint="eastAsia"/>
                <w:color w:val="000000"/>
                <w:sz w:val="22"/>
              </w:rPr>
              <w:t>F1.6镜头尺寸接口：M12光圈类型：固定光圈补光补光灯类型：</w:t>
            </w:r>
            <w:r>
              <w:rPr>
                <w:rFonts w:hint="eastAsia"/>
                <w:color w:val="000000"/>
                <w:sz w:val="22"/>
              </w:rPr>
              <w:br w:type="textWrapping"/>
            </w:r>
            <w:r>
              <w:rPr>
                <w:rFonts w:hint="eastAsia"/>
                <w:color w:val="000000"/>
                <w:sz w:val="22"/>
              </w:rPr>
              <w:t>红外灯补光距离：最远可达30 m红外波长范围：850 nm防补光过曝：支持认证防护：IP66一般规范供电方式：DC：12 V ± 25%，支持防反接保护 PoE：IEEE802.3af，CLASS 3 *型号支持PoE</w:t>
            </w:r>
            <w:r>
              <w:rPr>
                <w:rFonts w:hint="eastAsia"/>
                <w:color w:val="000000"/>
                <w:sz w:val="22"/>
              </w:rPr>
              <w:br w:type="textWrapping"/>
            </w:r>
            <w:r>
              <w:rPr>
                <w:rFonts w:hint="eastAsia"/>
                <w:color w:val="000000"/>
                <w:sz w:val="22"/>
              </w:rPr>
              <w:t>电流及功耗：DC：12 V，0.5 A，最大功耗：6 W PoE：IEEE 802.3af CLASS 3，最大功耗：7 W *DWD型号不支持PoE电源接口类型：Ø5.5 mm圆口产品执行标准(具体版本号以标签为准)：Q/BFW 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半球摄像头</w:t>
            </w:r>
          </w:p>
        </w:tc>
        <w:tc>
          <w:tcPr>
            <w:tcW w:w="7146" w:type="dxa"/>
          </w:tcPr>
          <w:p>
            <w:pPr>
              <w:jc w:val="left"/>
              <w:rPr>
                <w:color w:val="000000"/>
                <w:sz w:val="22"/>
              </w:rPr>
            </w:pPr>
            <w:r>
              <w:rPr>
                <w:rFonts w:hint="eastAsia" w:ascii="宋体" w:hAnsi="宋体"/>
                <w:color w:val="000000" w:themeColor="text1"/>
                <w:szCs w:val="21"/>
              </w:rPr>
              <w:t>▲</w:t>
            </w:r>
            <w:r>
              <w:rPr>
                <w:rFonts w:hint="eastAsia"/>
                <w:color w:val="000000"/>
                <w:sz w:val="22"/>
              </w:rPr>
              <w:t>视频最大图像尺寸：2560 × 1440主码流帧率分辨率：50 Hz：25 fps（2560 × 1440 , 1920 × 1080，1280 × 720）子码流帧率分辨率：50 Hz：25 fps（1280 × 720，640 × 480，640 × 360）视频压缩标准：主码流：H.265/H.264 子码流：H.265/H.264/MJPEG视频压缩码率：32 Kbps~8 MbpsH.264编码类BaselineProfile/MainProfile/High ProfileH.265编码类型：Main ProfileSmart264编码：主码流支持Smart265编码：主码流支持码率控制：定码率，变码率SVC：支持ROI：支持主码流设置1个固定区域事件报警触发：移动侦测，异常音频音频压缩标准G.711ulaw/G.711alaw/G.722.1/G.726/MP2L2/PCM/AAC-LC</w:t>
            </w:r>
            <w:r>
              <w:rPr>
                <w:rFonts w:hint="eastAsia"/>
                <w:color w:val="000000"/>
                <w:sz w:val="22"/>
              </w:rPr>
              <w:br w:type="textWrapping"/>
            </w:r>
            <w:r>
              <w:rPr>
                <w:rFonts w:hint="eastAsia"/>
                <w:color w:val="000000"/>
                <w:sz w:val="22"/>
              </w:rPr>
              <w:t>音频压缩码率：</w:t>
            </w:r>
            <w:r>
              <w:rPr>
                <w:rFonts w:hint="eastAsia"/>
                <w:color w:val="000000"/>
                <w:sz w:val="22"/>
              </w:rPr>
              <w:br w:type="textWrapping"/>
            </w:r>
            <w:r>
              <w:rPr>
                <w:rFonts w:hint="eastAsia"/>
                <w:color w:val="000000"/>
                <w:sz w:val="22"/>
              </w:rPr>
              <w:t>64 Kbps（G.711 ulaw/G.711 alaw）/16 Kbps（G.722.1）/16 Kbps（G.726）/32~160 Kbps（MP2L2）/16~64 Kbps（AAC-LC）</w:t>
            </w:r>
            <w:r>
              <w:rPr>
                <w:rFonts w:hint="eastAsia"/>
                <w:color w:val="000000"/>
                <w:sz w:val="22"/>
              </w:rPr>
              <w:br w:type="textWrapping"/>
            </w:r>
            <w:r>
              <w:rPr>
                <w:rFonts w:hint="eastAsia"/>
                <w:color w:val="000000"/>
                <w:sz w:val="22"/>
              </w:rPr>
              <w:t>音频环境噪声过滤：支持网络网络协议：</w:t>
            </w:r>
            <w:r>
              <w:rPr>
                <w:rFonts w:hint="eastAsia"/>
                <w:color w:val="000000"/>
                <w:sz w:val="22"/>
              </w:rPr>
              <w:br w:type="textWrapping"/>
            </w:r>
            <w:r>
              <w:rPr>
                <w:rFonts w:hint="eastAsia"/>
                <w:color w:val="000000"/>
                <w:sz w:val="22"/>
              </w:rPr>
              <w:t>TCP/IP，ICMP，HTTP，DHCP，DNS，RTP，RTSP，NTP，IGMP，QoS，IPv6，UDP同时预览路数：</w:t>
            </w:r>
            <w:r>
              <w:rPr>
                <w:rFonts w:hint="eastAsia"/>
                <w:color w:val="000000"/>
                <w:sz w:val="22"/>
              </w:rPr>
              <w:br w:type="textWrapping"/>
            </w:r>
            <w:r>
              <w:rPr>
                <w:rFonts w:hint="eastAsia"/>
                <w:color w:val="000000"/>
                <w:sz w:val="22"/>
              </w:rPr>
              <w:t>最多6路接口协议（API）：开放型网络视频接口，ISAPI，SDK，GB28181</w:t>
            </w:r>
            <w:r>
              <w:rPr>
                <w:rFonts w:hint="eastAsia"/>
                <w:color w:val="000000"/>
                <w:sz w:val="22"/>
              </w:rPr>
              <w:br w:type="textWrapping"/>
            </w:r>
            <w:r>
              <w:rPr>
                <w:rFonts w:hint="eastAsia"/>
                <w:color w:val="000000"/>
                <w:sz w:val="22"/>
              </w:rPr>
              <w:t>用户管理：最多32个用户，可分3级用户权限管理：管理员，操作员，普通用户客户端：iVMS-4200浏览器：使用插件预览：IE10，IE11 使用本地服务预览：Chrome 57.0+，Firefox 52.0+图像图像设置：饱和度，亮度，对比度，锐度，AGC，白平衡通过客户端或者浏览器可调日夜转换模式：白天，夜晚，自动，定时切换图像增强：背光补偿，强光抑制，3D数字降噪</w:t>
            </w:r>
            <w:r>
              <w:rPr>
                <w:rFonts w:hint="eastAsia"/>
                <w:color w:val="000000"/>
                <w:sz w:val="22"/>
              </w:rPr>
              <w:br w:type="textWrapping"/>
            </w:r>
            <w:r>
              <w:rPr>
                <w:rFonts w:hint="eastAsia"/>
                <w:color w:val="000000"/>
                <w:sz w:val="22"/>
              </w:rPr>
              <w:t>接口网络：1个RJ45 10 M/100 M自适应以太网口音频：1个内置麦克风摄像机传感器类型：1/3" Progressive Scan CMOS最低照度：</w:t>
            </w:r>
            <w:r>
              <w:rPr>
                <w:rFonts w:hint="eastAsia"/>
                <w:color w:val="000000"/>
                <w:sz w:val="22"/>
              </w:rPr>
              <w:br w:type="textWrapping"/>
            </w:r>
            <w:r>
              <w:rPr>
                <w:rFonts w:hint="eastAsia"/>
                <w:color w:val="000000"/>
                <w:sz w:val="22"/>
              </w:rPr>
              <w:t>彩色：0.005 Lux @（F1.2，AGC ON），0 Lux with IR快门：</w:t>
            </w:r>
            <w:r>
              <w:rPr>
                <w:rFonts w:hint="eastAsia"/>
                <w:color w:val="000000"/>
                <w:sz w:val="22"/>
              </w:rPr>
              <w:br w:type="textWrapping"/>
            </w:r>
            <w:r>
              <w:rPr>
                <w:rFonts w:hint="eastAsia"/>
                <w:color w:val="000000"/>
                <w:sz w:val="22"/>
              </w:rPr>
              <w:t>1/3 s~1/100,000 s宽动态：120 dB日夜切换模式：ICR红外滤片式</w:t>
            </w:r>
            <w:r>
              <w:rPr>
                <w:rFonts w:hint="eastAsia"/>
                <w:color w:val="000000"/>
                <w:sz w:val="22"/>
              </w:rPr>
              <w:br w:type="textWrapping"/>
            </w:r>
            <w:r>
              <w:rPr>
                <w:rFonts w:hint="eastAsia"/>
                <w:color w:val="000000"/>
                <w:sz w:val="22"/>
              </w:rPr>
              <w:t>调节角度：水平：0°~360°，垂直：0°~75°，旋转：0°~360°镜头焦距&amp;视场角：2.8 mm，水平视场角：97°，垂直视场角：52.3°，对角视场角：114.3° 4 mm，水平视场角：78.8°，垂直视场角:40.5°，对角视场角：93.9° 6 mm，水平视场角：49.1°，垂直视场角：26.3°，对角视场角：57.2° 8 mm，水平视场角：37.5°，垂直视场角：20.7°，对角视场角：43.3°镜头尺寸接口：M12光圈类型：固定光圈最大光圈数：F1.6补光防补光过曝：支持补光灯类型：红外灯波长范围：850 nm补光距离：最远可达30 m认证防护：IP66一般规范联动方式：上传FTP，上传中心，邮件，抓图，录像（-F机型支持）产品尺寸：Ø127.3 × 96.8 mm</w:t>
            </w:r>
            <w:r>
              <w:rPr>
                <w:rFonts w:hint="eastAsia"/>
                <w:color w:val="000000"/>
                <w:sz w:val="22"/>
              </w:rPr>
              <w:br w:type="textWrapping"/>
            </w:r>
            <w:r>
              <w:rPr>
                <w:rFonts w:hint="eastAsia"/>
                <w:color w:val="000000"/>
                <w:sz w:val="22"/>
              </w:rPr>
              <w:t>包装尺寸：150 × 150 × 141 mm设备重量：DWD型号：320 g WD型号：340 g带包装重量：DWD型号：540 g WD型号：560 g启动及工作温湿度：30 °C~60 °C，湿度小于95%（无凝结）</w:t>
            </w:r>
            <w:r>
              <w:rPr>
                <w:rFonts w:hint="eastAsia"/>
                <w:color w:val="000000"/>
                <w:sz w:val="22"/>
              </w:rPr>
              <w:br w:type="textWrapping"/>
            </w:r>
            <w:r>
              <w:rPr>
                <w:rFonts w:hint="eastAsia"/>
                <w:color w:val="000000"/>
                <w:sz w:val="22"/>
              </w:rPr>
              <w:t>通用功能：心跳，镜像，密码保护，水印技术恢复出厂设置：客户端或浏览器恢复 *-F型号支持RESET按键恢复</w:t>
            </w:r>
            <w:r>
              <w:rPr>
                <w:rFonts w:hint="eastAsia"/>
                <w:color w:val="000000"/>
                <w:sz w:val="22"/>
              </w:rPr>
              <w:br w:type="textWrapping"/>
            </w:r>
            <w:r>
              <w:rPr>
                <w:rFonts w:hint="eastAsia"/>
                <w:color w:val="000000"/>
                <w:sz w:val="22"/>
              </w:rPr>
              <w:t>电流及功耗：DC：12 V，0.5A，最大功耗：6.0 W PoE：IEEE 802.3af CLASS 3，最大功耗：7 W *DWD型号支持PoE供电方式：DC：12 V ± 25%，支持防反接保护 PoE：IEEE802.3af，CLASS 3 *DWD型号支持PoE产品执行标准(具体版本号以标签为准)：Q/BFW 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筒机支架</w:t>
            </w:r>
          </w:p>
        </w:tc>
        <w:tc>
          <w:tcPr>
            <w:tcW w:w="7146" w:type="dxa"/>
          </w:tcPr>
          <w:p>
            <w:pPr>
              <w:spacing w:line="360" w:lineRule="auto"/>
              <w:jc w:val="center"/>
              <w:rPr>
                <w:rFonts w:ascii="宋体" w:hAnsi="宋体" w:eastAsia="宋体"/>
                <w:szCs w:val="21"/>
              </w:rPr>
            </w:pPr>
            <w:r>
              <w:rPr>
                <w:rFonts w:ascii="宋体" w:hAnsi="宋体" w:eastAsia="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监控专用硬盘</w:t>
            </w:r>
          </w:p>
        </w:tc>
        <w:tc>
          <w:tcPr>
            <w:tcW w:w="7146" w:type="dxa"/>
          </w:tcPr>
          <w:p>
            <w:pPr>
              <w:spacing w:line="360" w:lineRule="auto"/>
              <w:rPr>
                <w:sz w:val="24"/>
              </w:rPr>
            </w:pPr>
            <w:r>
              <w:rPr>
                <w:rFonts w:hint="eastAsia" w:ascii="宋体" w:hAnsi="宋体"/>
                <w:color w:val="000000" w:themeColor="text1"/>
                <w:szCs w:val="21"/>
              </w:rPr>
              <w:t>▲</w:t>
            </w:r>
            <w:r>
              <w:rPr>
                <w:rFonts w:hint="eastAsia"/>
                <w:sz w:val="24"/>
              </w:rPr>
              <w:t>8TB容量，3.5英寸 SATA 3.0接口，7200RPM。</w:t>
            </w:r>
          </w:p>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5</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录像机</w:t>
            </w:r>
          </w:p>
        </w:tc>
        <w:tc>
          <w:tcPr>
            <w:tcW w:w="7146" w:type="dxa"/>
          </w:tcPr>
          <w:p>
            <w:pPr>
              <w:jc w:val="left"/>
              <w:rPr>
                <w:rFonts w:ascii="宋体" w:hAnsi="宋体" w:eastAsia="宋体" w:cs="宋体"/>
                <w:color w:val="000000"/>
                <w:sz w:val="22"/>
              </w:rPr>
            </w:pPr>
            <w:r>
              <w:rPr>
                <w:rFonts w:hint="eastAsia" w:ascii="宋体" w:hAnsi="宋体"/>
                <w:color w:val="000000" w:themeColor="text1"/>
                <w:szCs w:val="21"/>
              </w:rPr>
              <w:t>▲</w:t>
            </w:r>
            <w:r>
              <w:rPr>
                <w:rFonts w:hint="eastAsia"/>
                <w:color w:val="000000"/>
                <w:sz w:val="22"/>
              </w:rPr>
              <w:t>3U机架式16盘位嵌入式网络硬盘录像机，采用短机箱设计，搭载高性能ATX电源</w:t>
            </w:r>
            <w:r>
              <w:rPr>
                <w:rFonts w:hint="eastAsia"/>
                <w:color w:val="000000"/>
                <w:sz w:val="22"/>
              </w:rPr>
              <w:br w:type="textWrapping"/>
            </w:r>
            <w:r>
              <w:rPr>
                <w:rFonts w:hint="eastAsia"/>
                <w:color w:val="000000"/>
                <w:sz w:val="22"/>
              </w:rPr>
              <w:t>【硬件规格】</w:t>
            </w:r>
            <w:r>
              <w:rPr>
                <w:rFonts w:hint="eastAsia"/>
                <w:color w:val="000000"/>
                <w:sz w:val="22"/>
              </w:rPr>
              <w:br w:type="textWrapping"/>
            </w:r>
            <w:r>
              <w:rPr>
                <w:rFonts w:hint="eastAsia" w:ascii="宋体" w:hAnsi="宋体"/>
                <w:color w:val="000000" w:themeColor="text1"/>
                <w:szCs w:val="21"/>
              </w:rPr>
              <w:t>▲</w:t>
            </w:r>
            <w:r>
              <w:rPr>
                <w:rFonts w:hint="eastAsia"/>
                <w:color w:val="000000"/>
                <w:sz w:val="22"/>
              </w:rPr>
              <w:t>存储接口：16个SATA接口，可满配8TB硬盘</w:t>
            </w:r>
            <w:r>
              <w:rPr>
                <w:rFonts w:hint="eastAsia"/>
                <w:color w:val="000000"/>
                <w:sz w:val="22"/>
              </w:rPr>
              <w:br w:type="textWrapping"/>
            </w:r>
            <w:r>
              <w:rPr>
                <w:rFonts w:hint="eastAsia"/>
                <w:color w:val="000000"/>
                <w:sz w:val="22"/>
              </w:rPr>
              <w:t>视频接口：2×HDMI，2×VGA</w:t>
            </w:r>
            <w:r>
              <w:rPr>
                <w:rFonts w:hint="eastAsia"/>
                <w:color w:val="000000"/>
                <w:sz w:val="22"/>
              </w:rPr>
              <w:br w:type="textWrapping"/>
            </w:r>
            <w:r>
              <w:rPr>
                <w:rFonts w:hint="eastAsia"/>
                <w:color w:val="000000"/>
                <w:sz w:val="22"/>
              </w:rPr>
              <w:t>网络接口：2×RJ45 10/100/1000Mbps自适应以太网口</w:t>
            </w:r>
            <w:r>
              <w:rPr>
                <w:rFonts w:hint="eastAsia"/>
                <w:color w:val="000000"/>
                <w:sz w:val="22"/>
              </w:rPr>
              <w:br w:type="textWrapping"/>
            </w:r>
            <w:r>
              <w:rPr>
                <w:rFonts w:hint="eastAsia"/>
                <w:color w:val="000000"/>
                <w:sz w:val="22"/>
              </w:rPr>
              <w:t>报警接口：16路报警输入，9路报警输出（其中第9路支持CTRL 12V）</w:t>
            </w:r>
            <w:r>
              <w:rPr>
                <w:rFonts w:hint="eastAsia"/>
                <w:color w:val="000000"/>
                <w:sz w:val="22"/>
              </w:rPr>
              <w:br w:type="textWrapping"/>
            </w:r>
            <w:r>
              <w:rPr>
                <w:rFonts w:hint="eastAsia"/>
                <w:color w:val="000000"/>
                <w:sz w:val="22"/>
              </w:rPr>
              <w:t>反向供电：1路DC12V 1A</w:t>
            </w:r>
            <w:r>
              <w:rPr>
                <w:rFonts w:hint="eastAsia"/>
                <w:color w:val="000000"/>
                <w:sz w:val="22"/>
              </w:rPr>
              <w:br w:type="textWrapping"/>
            </w:r>
            <w:r>
              <w:rPr>
                <w:rFonts w:hint="eastAsia"/>
                <w:color w:val="000000"/>
                <w:sz w:val="22"/>
              </w:rPr>
              <w:t>串行接口：1路RS-232接口，1路半双工RS-485接口</w:t>
            </w:r>
            <w:r>
              <w:rPr>
                <w:rFonts w:hint="eastAsia"/>
                <w:color w:val="000000"/>
                <w:sz w:val="22"/>
              </w:rPr>
              <w:br w:type="textWrapping"/>
            </w:r>
            <w:r>
              <w:rPr>
                <w:rFonts w:hint="eastAsia"/>
                <w:color w:val="000000"/>
                <w:sz w:val="22"/>
              </w:rPr>
              <w:t>USB接口：2×USB 2.0，2×USB 3.0</w:t>
            </w:r>
            <w:r>
              <w:rPr>
                <w:rFonts w:hint="eastAsia"/>
                <w:color w:val="000000"/>
                <w:sz w:val="22"/>
              </w:rPr>
              <w:br w:type="textWrapping"/>
            </w:r>
            <w:r>
              <w:rPr>
                <w:rFonts w:hint="eastAsia"/>
                <w:color w:val="000000"/>
                <w:sz w:val="22"/>
              </w:rPr>
              <w:t>【产品性能】</w:t>
            </w:r>
            <w:r>
              <w:rPr>
                <w:rFonts w:hint="eastAsia"/>
                <w:color w:val="000000"/>
                <w:sz w:val="22"/>
              </w:rPr>
              <w:br w:type="textWrapping"/>
            </w:r>
            <w:r>
              <w:rPr>
                <w:rFonts w:hint="eastAsia"/>
                <w:color w:val="000000"/>
                <w:sz w:val="22"/>
              </w:rPr>
              <w:t>输入带宽：320Mbps</w:t>
            </w:r>
            <w:r>
              <w:rPr>
                <w:rFonts w:hint="eastAsia"/>
                <w:color w:val="000000"/>
                <w:sz w:val="22"/>
              </w:rPr>
              <w:br w:type="textWrapping"/>
            </w:r>
            <w:r>
              <w:rPr>
                <w:rFonts w:hint="eastAsia"/>
                <w:color w:val="000000"/>
                <w:sz w:val="22"/>
              </w:rPr>
              <w:t>输出带宽：256Mbps</w:t>
            </w:r>
            <w:r>
              <w:rPr>
                <w:rFonts w:hint="eastAsia"/>
                <w:color w:val="000000"/>
                <w:sz w:val="22"/>
              </w:rPr>
              <w:br w:type="textWrapping"/>
            </w:r>
            <w:r>
              <w:rPr>
                <w:rFonts w:hint="eastAsia"/>
                <w:color w:val="000000"/>
                <w:sz w:val="22"/>
              </w:rPr>
              <w:t>接入能力：64路H.264、H.265格式高清码流接入</w:t>
            </w:r>
            <w:r>
              <w:rPr>
                <w:rFonts w:hint="eastAsia"/>
                <w:color w:val="000000"/>
                <w:sz w:val="22"/>
              </w:rPr>
              <w:br w:type="textWrapping"/>
            </w:r>
            <w:r>
              <w:rPr>
                <w:rFonts w:hint="eastAsia"/>
                <w:color w:val="000000"/>
                <w:sz w:val="22"/>
              </w:rPr>
              <w:t>解码能力：最大支持12×1080P</w:t>
            </w:r>
            <w:r>
              <w:rPr>
                <w:rFonts w:hint="eastAsia"/>
                <w:color w:val="000000"/>
                <w:sz w:val="22"/>
              </w:rPr>
              <w:br w:type="textWrapping"/>
            </w:r>
            <w:r>
              <w:rPr>
                <w:rFonts w:hint="eastAsia"/>
                <w:color w:val="000000"/>
                <w:sz w:val="22"/>
              </w:rPr>
              <w:t>显示能力：最大支持4K+1080P异源输出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6</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32U机柜</w:t>
            </w:r>
          </w:p>
        </w:tc>
        <w:tc>
          <w:tcPr>
            <w:tcW w:w="7146" w:type="dxa"/>
          </w:tcPr>
          <w:p>
            <w:pPr>
              <w:spacing w:line="360" w:lineRule="auto"/>
              <w:jc w:val="center"/>
              <w:rPr>
                <w:rFonts w:ascii="宋体" w:hAnsi="宋体" w:eastAsia="宋体"/>
                <w:szCs w:val="21"/>
              </w:rPr>
            </w:pPr>
            <w:r>
              <w:rPr>
                <w:rFonts w:hint="eastAsia" w:ascii="仿宋" w:hAnsi="仿宋" w:eastAsia="仿宋"/>
                <w:b/>
                <w:bCs/>
                <w:color w:val="000000"/>
                <w:sz w:val="28"/>
                <w:szCs w:val="28"/>
              </w:rPr>
              <w:t>32U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7</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6U机柜</w:t>
            </w:r>
          </w:p>
        </w:tc>
        <w:tc>
          <w:tcPr>
            <w:tcW w:w="7146" w:type="dxa"/>
          </w:tcPr>
          <w:p>
            <w:pPr>
              <w:spacing w:line="360" w:lineRule="auto"/>
              <w:jc w:val="center"/>
              <w:rPr>
                <w:rFonts w:ascii="宋体" w:hAnsi="宋体" w:eastAsia="宋体"/>
                <w:szCs w:val="21"/>
              </w:rPr>
            </w:pPr>
            <w:r>
              <w:rPr>
                <w:rFonts w:hint="eastAsia" w:ascii="仿宋" w:hAnsi="仿宋" w:eastAsia="仿宋"/>
                <w:b/>
                <w:bCs/>
                <w:color w:val="000000"/>
                <w:sz w:val="28"/>
                <w:szCs w:val="28"/>
              </w:rPr>
              <w:t>6U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8</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24口POE交换机</w:t>
            </w:r>
          </w:p>
        </w:tc>
        <w:tc>
          <w:tcPr>
            <w:tcW w:w="7146" w:type="dxa"/>
            <w:vAlign w:val="center"/>
          </w:tcPr>
          <w:p>
            <w:pPr>
              <w:rPr>
                <w:rFonts w:ascii="宋体" w:hAnsi="宋体"/>
                <w:sz w:val="20"/>
                <w:szCs w:val="20"/>
              </w:rPr>
            </w:pPr>
            <w:r>
              <w:rPr>
                <w:rFonts w:hint="eastAsia" w:ascii="宋体" w:hAnsi="宋体" w:cs="宋体"/>
                <w:kern w:val="0"/>
              </w:rPr>
              <w:t>▲</w:t>
            </w:r>
            <w:r>
              <w:rPr>
                <w:rFonts w:hint="eastAsia" w:ascii="宋体" w:hAnsi="宋体"/>
                <w:sz w:val="20"/>
                <w:szCs w:val="20"/>
              </w:rPr>
              <w:t>提供24个千兆PoE电口、2个千兆光口。</w:t>
            </w:r>
          </w:p>
          <w:p>
            <w:pPr>
              <w:rPr>
                <w:rFonts w:ascii="宋体" w:hAnsi="宋体"/>
                <w:sz w:val="20"/>
                <w:szCs w:val="20"/>
              </w:rPr>
            </w:pPr>
            <w:r>
              <w:rPr>
                <w:rFonts w:hint="eastAsia" w:ascii="宋体" w:hAnsi="宋体"/>
                <w:sz w:val="20"/>
                <w:szCs w:val="20"/>
              </w:rPr>
              <w:t>交换容量：52 Gbps。</w:t>
            </w:r>
          </w:p>
          <w:p>
            <w:pPr>
              <w:rPr>
                <w:rFonts w:ascii="宋体" w:hAnsi="宋体"/>
                <w:sz w:val="20"/>
                <w:szCs w:val="20"/>
              </w:rPr>
            </w:pPr>
            <w:r>
              <w:rPr>
                <w:rFonts w:hint="eastAsia" w:ascii="宋体" w:hAnsi="宋体"/>
                <w:sz w:val="20"/>
                <w:szCs w:val="20"/>
              </w:rPr>
              <w:t>包转发率：36.688 Mpps。</w:t>
            </w:r>
          </w:p>
          <w:p>
            <w:pPr>
              <w:rPr>
                <w:rFonts w:ascii="宋体" w:hAnsi="宋体"/>
                <w:sz w:val="20"/>
                <w:szCs w:val="20"/>
              </w:rPr>
            </w:pPr>
            <w:r>
              <w:rPr>
                <w:rFonts w:hint="eastAsia" w:ascii="宋体" w:hAnsi="宋体"/>
                <w:sz w:val="20"/>
                <w:szCs w:val="20"/>
              </w:rPr>
              <w:t>支持IEEE 802.3at/af标准。</w:t>
            </w:r>
          </w:p>
          <w:p>
            <w:pPr>
              <w:rPr>
                <w:rFonts w:ascii="宋体" w:hAnsi="宋体"/>
                <w:sz w:val="20"/>
                <w:szCs w:val="20"/>
              </w:rPr>
            </w:pPr>
            <w:r>
              <w:rPr>
                <w:rFonts w:hint="eastAsia" w:ascii="宋体" w:hAnsi="宋体"/>
                <w:sz w:val="20"/>
                <w:szCs w:val="20"/>
              </w:rPr>
              <w:t>端口最大供电功率：30 W。</w:t>
            </w:r>
          </w:p>
          <w:p>
            <w:pPr>
              <w:rPr>
                <w:rFonts w:ascii="宋体" w:hAnsi="宋体"/>
                <w:sz w:val="20"/>
                <w:szCs w:val="20"/>
              </w:rPr>
            </w:pPr>
            <w:r>
              <w:rPr>
                <w:rFonts w:hint="eastAsia" w:ascii="宋体" w:hAnsi="宋体"/>
                <w:sz w:val="20"/>
                <w:szCs w:val="20"/>
              </w:rPr>
              <w:t>整机最大供电功率：370 W。</w:t>
            </w:r>
          </w:p>
          <w:p>
            <w:pPr>
              <w:rPr>
                <w:rFonts w:ascii="宋体" w:hAnsi="宋体"/>
                <w:sz w:val="20"/>
                <w:szCs w:val="20"/>
              </w:rPr>
            </w:pPr>
            <w:r>
              <w:rPr>
                <w:rFonts w:hint="eastAsia" w:ascii="宋体" w:hAnsi="宋体"/>
                <w:sz w:val="20"/>
                <w:szCs w:val="20"/>
              </w:rPr>
              <w:t>支持PoE看门狗。</w:t>
            </w:r>
          </w:p>
          <w:p>
            <w:pPr>
              <w:rPr>
                <w:rFonts w:ascii="宋体" w:hAnsi="宋体"/>
                <w:sz w:val="20"/>
                <w:szCs w:val="20"/>
              </w:rPr>
            </w:pPr>
            <w:r>
              <w:rPr>
                <w:rFonts w:hint="eastAsia" w:ascii="宋体" w:hAnsi="宋体"/>
                <w:sz w:val="20"/>
                <w:szCs w:val="20"/>
              </w:rPr>
              <w:t>支持6 KV防浪涌（PoE口）。</w:t>
            </w:r>
          </w:p>
          <w:p>
            <w:pPr>
              <w:rPr>
                <w:rFonts w:ascii="宋体" w:hAnsi="宋体"/>
                <w:sz w:val="20"/>
                <w:szCs w:val="20"/>
              </w:rPr>
            </w:pPr>
            <w:r>
              <w:rPr>
                <w:rFonts w:hint="eastAsia" w:ascii="宋体" w:hAnsi="宋体"/>
                <w:sz w:val="20"/>
                <w:szCs w:val="20"/>
              </w:rPr>
              <w:t>支持IEEE 802.3、IEEE 802.3u、IEEE 802.3x、IEEE 802.3ab、IEEE 802.3z标准。</w:t>
            </w:r>
          </w:p>
          <w:p>
            <w:pPr>
              <w:rPr>
                <w:rFonts w:ascii="宋体" w:hAnsi="宋体"/>
                <w:sz w:val="20"/>
                <w:szCs w:val="20"/>
              </w:rPr>
            </w:pPr>
            <w:r>
              <w:rPr>
                <w:rFonts w:hint="eastAsia" w:ascii="宋体" w:hAnsi="宋体"/>
                <w:sz w:val="20"/>
                <w:szCs w:val="20"/>
              </w:rPr>
              <w:t>支持管理平台管理。</w:t>
            </w:r>
          </w:p>
          <w:p>
            <w:pPr>
              <w:rPr>
                <w:rFonts w:ascii="宋体" w:hAnsi="宋体"/>
                <w:sz w:val="20"/>
                <w:szCs w:val="20"/>
              </w:rPr>
            </w:pPr>
            <w:r>
              <w:rPr>
                <w:rFonts w:hint="eastAsia" w:ascii="宋体" w:hAnsi="宋体"/>
                <w:sz w:val="20"/>
                <w:szCs w:val="20"/>
              </w:rPr>
              <w:t>支持手机APP管理。</w:t>
            </w:r>
          </w:p>
          <w:p>
            <w:pPr>
              <w:rPr>
                <w:rFonts w:ascii="宋体" w:hAnsi="宋体"/>
                <w:sz w:val="20"/>
                <w:szCs w:val="20"/>
              </w:rPr>
            </w:pPr>
            <w:r>
              <w:rPr>
                <w:rFonts w:hint="eastAsia" w:ascii="宋体" w:hAnsi="宋体"/>
                <w:sz w:val="20"/>
                <w:szCs w:val="20"/>
              </w:rPr>
              <w:t>支持安防网络拓扑管理、链路聚合、端口管理。</w:t>
            </w:r>
          </w:p>
          <w:p>
            <w:pPr>
              <w:rPr>
                <w:rFonts w:ascii="宋体" w:hAnsi="宋体"/>
                <w:sz w:val="20"/>
                <w:szCs w:val="20"/>
              </w:rPr>
            </w:pPr>
            <w:r>
              <w:rPr>
                <w:rFonts w:hint="eastAsia" w:ascii="宋体" w:hAnsi="宋体"/>
                <w:sz w:val="20"/>
                <w:szCs w:val="20"/>
              </w:rPr>
              <w:t>支持远程升级。</w:t>
            </w:r>
          </w:p>
          <w:p>
            <w:pPr>
              <w:rPr>
                <w:rFonts w:ascii="宋体" w:hAnsi="宋体"/>
                <w:sz w:val="20"/>
                <w:szCs w:val="20"/>
              </w:rPr>
            </w:pPr>
            <w:r>
              <w:rPr>
                <w:rFonts w:hint="eastAsia" w:ascii="宋体" w:hAnsi="宋体"/>
                <w:sz w:val="20"/>
                <w:szCs w:val="20"/>
              </w:rPr>
              <w:t>支持PoE输出功率管理。</w:t>
            </w:r>
          </w:p>
          <w:p>
            <w:pPr>
              <w:rPr>
                <w:rFonts w:ascii="宋体" w:hAnsi="宋体"/>
                <w:sz w:val="20"/>
                <w:szCs w:val="20"/>
              </w:rPr>
            </w:pPr>
            <w:r>
              <w:rPr>
                <w:rFonts w:hint="eastAsia" w:ascii="宋体" w:hAnsi="宋体"/>
                <w:sz w:val="20"/>
                <w:szCs w:val="20"/>
              </w:rPr>
              <w:t>支持VLAN。</w:t>
            </w:r>
          </w:p>
          <w:p>
            <w:pPr>
              <w:rPr>
                <w:rFonts w:ascii="宋体" w:hAnsi="宋体"/>
                <w:sz w:val="20"/>
                <w:szCs w:val="20"/>
              </w:rPr>
            </w:pPr>
            <w:r>
              <w:rPr>
                <w:rFonts w:hint="eastAsia" w:ascii="宋体" w:hAnsi="宋体"/>
                <w:sz w:val="20"/>
                <w:szCs w:val="20"/>
              </w:rPr>
              <w:t>支持SNMPv1/v2c协议。</w:t>
            </w:r>
          </w:p>
          <w:p>
            <w:pPr>
              <w:rPr>
                <w:rFonts w:ascii="宋体" w:hAnsi="宋体"/>
                <w:sz w:val="20"/>
                <w:szCs w:val="20"/>
              </w:rPr>
            </w:pPr>
            <w:r>
              <w:rPr>
                <w:rFonts w:hint="eastAsia" w:ascii="宋体" w:hAnsi="宋体"/>
                <w:sz w:val="20"/>
                <w:szCs w:val="20"/>
              </w:rPr>
              <w:t>支持DHCP Snooping。</w:t>
            </w:r>
          </w:p>
          <w:p>
            <w:pPr>
              <w:rPr>
                <w:rFonts w:ascii="宋体" w:hAnsi="宋体"/>
                <w:sz w:val="20"/>
                <w:szCs w:val="20"/>
              </w:rPr>
            </w:pPr>
            <w:r>
              <w:rPr>
                <w:rFonts w:hint="eastAsia" w:ascii="宋体" w:hAnsi="宋体"/>
                <w:sz w:val="20"/>
                <w:szCs w:val="20"/>
              </w:rPr>
              <w:t>支持终端安全防护。</w:t>
            </w:r>
          </w:p>
          <w:p>
            <w:pPr>
              <w:rPr>
                <w:rFonts w:ascii="宋体" w:hAnsi="宋体"/>
                <w:sz w:val="20"/>
                <w:szCs w:val="20"/>
              </w:rPr>
            </w:pPr>
            <w:r>
              <w:rPr>
                <w:rFonts w:hint="eastAsia" w:ascii="宋体" w:hAnsi="宋体"/>
                <w:sz w:val="20"/>
                <w:szCs w:val="20"/>
              </w:rPr>
              <w:t>坚固式高强度金属外壳。</w:t>
            </w:r>
          </w:p>
          <w:p>
            <w:pPr>
              <w:rPr>
                <w:rFonts w:ascii="宋体" w:hAnsi="宋体"/>
                <w:sz w:val="20"/>
                <w:szCs w:val="20"/>
              </w:rPr>
            </w:pPr>
            <w:r>
              <w:rPr>
                <w:rFonts w:hint="eastAsia" w:ascii="宋体" w:hAnsi="宋体"/>
                <w:sz w:val="20"/>
                <w:szCs w:val="20"/>
              </w:rPr>
              <w:t>安装方式：机架式。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9</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9口POE交换机</w:t>
            </w:r>
          </w:p>
        </w:tc>
        <w:tc>
          <w:tcPr>
            <w:tcW w:w="7146" w:type="dxa"/>
          </w:tcPr>
          <w:p>
            <w:pPr>
              <w:spacing w:line="360" w:lineRule="auto"/>
              <w:rPr>
                <w:sz w:val="24"/>
              </w:rPr>
            </w:pPr>
            <w:r>
              <w:rPr>
                <w:rFonts w:hint="eastAsia"/>
                <w:sz w:val="24"/>
              </w:rPr>
              <w:t>提供10个千兆PoE电口</w:t>
            </w:r>
            <w:r>
              <w:rPr>
                <w:sz w:val="24"/>
              </w:rPr>
              <w:t xml:space="preserve"> </w:t>
            </w:r>
          </w:p>
          <w:p>
            <w:pPr>
              <w:spacing w:line="360" w:lineRule="auto"/>
              <w:rPr>
                <w:sz w:val="24"/>
              </w:rPr>
            </w:pPr>
            <w:r>
              <w:rPr>
                <w:rFonts w:hint="eastAsia"/>
                <w:sz w:val="24"/>
              </w:rPr>
              <w:t xml:space="preserve">交换容量：36 Gbps。 </w:t>
            </w:r>
          </w:p>
          <w:p>
            <w:pPr>
              <w:spacing w:line="360" w:lineRule="auto"/>
              <w:rPr>
                <w:sz w:val="24"/>
              </w:rPr>
            </w:pPr>
            <w:r>
              <w:rPr>
                <w:rFonts w:hint="eastAsia"/>
                <w:sz w:val="24"/>
              </w:rPr>
              <w:t>包转发率：26.784 Mpps。</w:t>
            </w:r>
          </w:p>
          <w:p>
            <w:pPr>
              <w:spacing w:line="360" w:lineRule="auto"/>
              <w:rPr>
                <w:sz w:val="24"/>
              </w:rPr>
            </w:pPr>
            <w:r>
              <w:rPr>
                <w:rFonts w:hint="eastAsia"/>
                <w:sz w:val="24"/>
              </w:rPr>
              <w:t>支持IEEE 802.3at/af。</w:t>
            </w:r>
          </w:p>
          <w:p>
            <w:pPr>
              <w:spacing w:line="360" w:lineRule="auto"/>
              <w:rPr>
                <w:sz w:val="24"/>
              </w:rPr>
            </w:pPr>
            <w:r>
              <w:rPr>
                <w:rFonts w:hint="eastAsia"/>
                <w:sz w:val="24"/>
              </w:rPr>
              <w:t>端口最大供电功率：30 W。</w:t>
            </w:r>
          </w:p>
          <w:p>
            <w:pPr>
              <w:spacing w:line="360" w:lineRule="auto"/>
              <w:rPr>
                <w:sz w:val="24"/>
              </w:rPr>
            </w:pPr>
            <w:r>
              <w:rPr>
                <w:rFonts w:hint="eastAsia"/>
                <w:sz w:val="24"/>
              </w:rPr>
              <w:t>整机最大供电功率：225 W。</w:t>
            </w:r>
          </w:p>
          <w:p>
            <w:pPr>
              <w:spacing w:line="360" w:lineRule="auto"/>
              <w:rPr>
                <w:sz w:val="24"/>
              </w:rPr>
            </w:pPr>
            <w:r>
              <w:rPr>
                <w:rFonts w:hint="eastAsia"/>
                <w:sz w:val="24"/>
              </w:rPr>
              <w:t>支持IEEE 802.3、IEEE 802.3u、IEEE 802.3x。</w:t>
            </w:r>
          </w:p>
          <w:p>
            <w:pPr>
              <w:spacing w:line="360" w:lineRule="auto"/>
              <w:rPr>
                <w:sz w:val="24"/>
              </w:rPr>
            </w:pPr>
            <w:r>
              <w:rPr>
                <w:rFonts w:hint="eastAsia"/>
                <w:sz w:val="24"/>
              </w:rPr>
              <w:t>支持6 KV防浪涌（PoE口）。</w:t>
            </w:r>
          </w:p>
          <w:p>
            <w:pPr>
              <w:spacing w:line="360" w:lineRule="auto"/>
              <w:rPr>
                <w:sz w:val="24"/>
              </w:rPr>
            </w:pPr>
            <w:r>
              <w:rPr>
                <w:rFonts w:hint="eastAsia" w:ascii="宋体" w:hAnsi="宋体"/>
                <w:color w:val="000000" w:themeColor="text1"/>
                <w:szCs w:val="21"/>
              </w:rPr>
              <w:t>▲</w:t>
            </w:r>
            <w:r>
              <w:rPr>
                <w:rFonts w:hint="eastAsia"/>
                <w:sz w:val="24"/>
              </w:rPr>
              <w:t>支持PoE输出功率管理。</w:t>
            </w:r>
          </w:p>
          <w:p>
            <w:pPr>
              <w:spacing w:line="360" w:lineRule="auto"/>
              <w:rPr>
                <w:sz w:val="24"/>
              </w:rPr>
            </w:pPr>
            <w:r>
              <w:rPr>
                <w:rFonts w:hint="eastAsia"/>
                <w:sz w:val="24"/>
              </w:rPr>
              <w:t>千兆网络接入设计。</w:t>
            </w:r>
          </w:p>
          <w:p>
            <w:pPr>
              <w:spacing w:line="360" w:lineRule="auto"/>
              <w:rPr>
                <w:sz w:val="24"/>
              </w:rPr>
            </w:pPr>
            <w:r>
              <w:rPr>
                <w:rFonts w:hint="eastAsia"/>
                <w:sz w:val="24"/>
              </w:rPr>
              <w:t>线速转发、无阻塞设计。</w:t>
            </w:r>
          </w:p>
          <w:p>
            <w:pPr>
              <w:spacing w:line="360" w:lineRule="auto"/>
              <w:rPr>
                <w:sz w:val="24"/>
              </w:rPr>
            </w:pPr>
            <w:r>
              <w:rPr>
                <w:rFonts w:hint="eastAsia"/>
                <w:sz w:val="24"/>
              </w:rPr>
              <w:t>存储转发交换方式。</w:t>
            </w:r>
          </w:p>
          <w:p>
            <w:pPr>
              <w:spacing w:line="360" w:lineRule="auto"/>
              <w:rPr>
                <w:sz w:val="24"/>
              </w:rPr>
            </w:pPr>
            <w:r>
              <w:rPr>
                <w:rFonts w:hint="eastAsia"/>
                <w:sz w:val="24"/>
              </w:rPr>
              <w:t>坚固式高强度金属外壳。</w:t>
            </w:r>
          </w:p>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10</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5口POE交换机</w:t>
            </w:r>
          </w:p>
        </w:tc>
        <w:tc>
          <w:tcPr>
            <w:tcW w:w="7146" w:type="dxa"/>
          </w:tcPr>
          <w:p>
            <w:pPr>
              <w:spacing w:line="360" w:lineRule="auto"/>
              <w:rPr>
                <w:sz w:val="24"/>
              </w:rPr>
            </w:pPr>
            <w:r>
              <w:rPr>
                <w:rFonts w:hint="eastAsia"/>
                <w:sz w:val="24"/>
              </w:rPr>
              <w:t>提供6个千兆PoE电口</w:t>
            </w:r>
          </w:p>
          <w:p>
            <w:pPr>
              <w:spacing w:line="360" w:lineRule="auto"/>
              <w:rPr>
                <w:sz w:val="24"/>
              </w:rPr>
            </w:pPr>
            <w:r>
              <w:rPr>
                <w:rFonts w:hint="eastAsia"/>
                <w:sz w:val="24"/>
              </w:rPr>
              <w:t xml:space="preserve">交换容量：36 Gbps。 </w:t>
            </w:r>
          </w:p>
          <w:p>
            <w:pPr>
              <w:spacing w:line="360" w:lineRule="auto"/>
              <w:rPr>
                <w:sz w:val="24"/>
              </w:rPr>
            </w:pPr>
            <w:r>
              <w:rPr>
                <w:rFonts w:hint="eastAsia"/>
                <w:sz w:val="24"/>
              </w:rPr>
              <w:t>包转发率：26.784 Mpps。</w:t>
            </w:r>
          </w:p>
          <w:p>
            <w:pPr>
              <w:spacing w:line="360" w:lineRule="auto"/>
              <w:rPr>
                <w:sz w:val="24"/>
              </w:rPr>
            </w:pPr>
            <w:r>
              <w:rPr>
                <w:rFonts w:hint="eastAsia"/>
                <w:sz w:val="24"/>
              </w:rPr>
              <w:t>支持IEEE 802.3at/af。</w:t>
            </w:r>
          </w:p>
          <w:p>
            <w:pPr>
              <w:spacing w:line="360" w:lineRule="auto"/>
              <w:rPr>
                <w:sz w:val="24"/>
              </w:rPr>
            </w:pPr>
            <w:r>
              <w:rPr>
                <w:rFonts w:hint="eastAsia"/>
                <w:sz w:val="24"/>
              </w:rPr>
              <w:t>端口最大供电功率：30 W。</w:t>
            </w:r>
          </w:p>
          <w:p>
            <w:pPr>
              <w:spacing w:line="360" w:lineRule="auto"/>
              <w:rPr>
                <w:sz w:val="24"/>
              </w:rPr>
            </w:pPr>
            <w:r>
              <w:rPr>
                <w:rFonts w:hint="eastAsia"/>
                <w:sz w:val="24"/>
              </w:rPr>
              <w:t>整机最大供电功率：225 W。</w:t>
            </w:r>
          </w:p>
          <w:p>
            <w:pPr>
              <w:spacing w:line="360" w:lineRule="auto"/>
              <w:rPr>
                <w:sz w:val="24"/>
              </w:rPr>
            </w:pPr>
            <w:r>
              <w:rPr>
                <w:rFonts w:hint="eastAsia"/>
                <w:sz w:val="24"/>
              </w:rPr>
              <w:t>支持IEEE 802.3、IEEE 802.3u、IEEE 802.3x。</w:t>
            </w:r>
          </w:p>
          <w:p>
            <w:pPr>
              <w:spacing w:line="360" w:lineRule="auto"/>
              <w:rPr>
                <w:sz w:val="24"/>
              </w:rPr>
            </w:pPr>
            <w:r>
              <w:rPr>
                <w:rFonts w:hint="eastAsia"/>
                <w:sz w:val="24"/>
              </w:rPr>
              <w:t>支持6 KV防浪涌（PoE口）。</w:t>
            </w:r>
          </w:p>
          <w:p>
            <w:pPr>
              <w:spacing w:line="360" w:lineRule="auto"/>
              <w:rPr>
                <w:sz w:val="24"/>
              </w:rPr>
            </w:pPr>
            <w:r>
              <w:rPr>
                <w:rFonts w:hint="eastAsia" w:ascii="宋体" w:hAnsi="宋体"/>
                <w:color w:val="000000" w:themeColor="text1"/>
                <w:szCs w:val="21"/>
              </w:rPr>
              <w:t>▲</w:t>
            </w:r>
            <w:r>
              <w:rPr>
                <w:rFonts w:hint="eastAsia"/>
                <w:sz w:val="24"/>
              </w:rPr>
              <w:t>支持PoE输出功率管理。</w:t>
            </w:r>
          </w:p>
          <w:p>
            <w:pPr>
              <w:spacing w:line="360" w:lineRule="auto"/>
              <w:rPr>
                <w:sz w:val="24"/>
              </w:rPr>
            </w:pPr>
            <w:r>
              <w:rPr>
                <w:rFonts w:hint="eastAsia"/>
                <w:sz w:val="24"/>
              </w:rPr>
              <w:t>千兆网络接入设计。</w:t>
            </w:r>
          </w:p>
          <w:p>
            <w:pPr>
              <w:spacing w:line="360" w:lineRule="auto"/>
              <w:rPr>
                <w:sz w:val="24"/>
              </w:rPr>
            </w:pPr>
            <w:r>
              <w:rPr>
                <w:rFonts w:hint="eastAsia"/>
                <w:sz w:val="24"/>
              </w:rPr>
              <w:t>线速转发、无阻塞设计。</w:t>
            </w:r>
          </w:p>
          <w:p>
            <w:pPr>
              <w:spacing w:line="360" w:lineRule="auto"/>
              <w:rPr>
                <w:sz w:val="24"/>
              </w:rPr>
            </w:pPr>
            <w:r>
              <w:rPr>
                <w:rFonts w:hint="eastAsia"/>
                <w:sz w:val="24"/>
              </w:rPr>
              <w:t>存储转发交换方式。</w:t>
            </w:r>
          </w:p>
          <w:p>
            <w:pPr>
              <w:spacing w:line="360" w:lineRule="auto"/>
              <w:rPr>
                <w:sz w:val="24"/>
              </w:rPr>
            </w:pPr>
            <w:r>
              <w:rPr>
                <w:rFonts w:hint="eastAsia"/>
                <w:sz w:val="24"/>
              </w:rPr>
              <w:t>坚固式高强度金属外壳。</w:t>
            </w:r>
          </w:p>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11</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网线/箱</w:t>
            </w:r>
          </w:p>
        </w:tc>
        <w:tc>
          <w:tcPr>
            <w:tcW w:w="7146" w:type="dxa"/>
          </w:tcPr>
          <w:p>
            <w:pPr>
              <w:spacing w:line="360" w:lineRule="auto"/>
              <w:jc w:val="center"/>
              <w:rPr>
                <w:rFonts w:ascii="宋体" w:hAnsi="宋体" w:eastAsia="宋体"/>
                <w:szCs w:val="21"/>
              </w:rPr>
            </w:pPr>
            <w:r>
              <w:rPr>
                <w:rFonts w:hint="eastAsia" w:ascii="宋体" w:hAnsi="宋体" w:eastAsia="宋体"/>
                <w:szCs w:val="21"/>
              </w:rPr>
              <w:t>超五类国标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14</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警戒摄像头</w:t>
            </w:r>
          </w:p>
        </w:tc>
        <w:tc>
          <w:tcPr>
            <w:tcW w:w="7146" w:type="dxa"/>
          </w:tcPr>
          <w:p>
            <w:pPr>
              <w:jc w:val="left"/>
              <w:rPr>
                <w:rFonts w:ascii="宋体" w:hAnsi="宋体" w:eastAsia="宋体" w:cs="宋体"/>
                <w:color w:val="000000"/>
                <w:sz w:val="22"/>
              </w:rPr>
            </w:pPr>
            <w:r>
              <w:rPr>
                <w:rFonts w:hint="eastAsia"/>
                <w:color w:val="000000"/>
                <w:sz w:val="22"/>
              </w:rPr>
              <w:t>视频最大图像尺寸：2560 × 1440</w:t>
            </w:r>
            <w:r>
              <w:rPr>
                <w:rFonts w:hint="eastAsia"/>
                <w:color w:val="000000"/>
                <w:sz w:val="22"/>
              </w:rPr>
              <w:br w:type="textWrapping"/>
            </w:r>
            <w:r>
              <w:rPr>
                <w:rFonts w:hint="eastAsia"/>
                <w:color w:val="000000"/>
                <w:sz w:val="22"/>
              </w:rPr>
              <w:t>主码流帧率分辨率：50 Hz：25 fps（2560 × 1440，1920 × 1080，1280 × 720）子码流帧率分辨率：50 Hz：25 fps（1280 × 720，640 × 480，640 × 360）视频压缩标准：主码流：H.265/H.264 子码流：H.265/H.264/MJPEG视频压缩码率：32 Kbps~8 MbpsH.264编码类型：BaseLine Profile/Main Profile/High ProfileH.265编码类型：Main ProfileSmart264编码：主码流支持Smart265编码：主码流支持码率控制：定码率，变码率SVC：支持ROI：支持主码流设置1个固定区域事件报警触发：移动侦测，遮挡报警，异常音频音频压缩标准：G.711ulaw/G.711alaw/G.722.1/G.726/MP2L2/PCM/AAC-LC/MP3</w:t>
            </w:r>
            <w:r>
              <w:rPr>
                <w:rFonts w:hint="eastAsia"/>
                <w:color w:val="000000"/>
                <w:sz w:val="22"/>
              </w:rPr>
              <w:br w:type="textWrapping"/>
            </w:r>
            <w:r>
              <w:rPr>
                <w:rFonts w:hint="eastAsia"/>
                <w:color w:val="000000"/>
                <w:sz w:val="22"/>
              </w:rPr>
              <w:t>音频压缩码率：64 Kbps（G.711 ulaw/G.711 alaw）/16 Kbps（G.722.1）/16 Kbps（G.726）/32~160 Kbps（MP2L2）/16~64 Kbps（AAC-LC）/8~160kbps（MP3）音频采样率：8 kHz/16 kHz音频环境噪声过滤：支持网络网络协议：TCP/IP，ICMP，HTTP，HTTPS，FTP，DHCP，DNS，DDNS，RTP，RTSP，NTP，UPnP，SMTP，IGMP，802.1X，QoS，IPv6，UDP，Bonjour，SSL/TLS，WebSocket，WebSockets同时预览路数：</w:t>
            </w:r>
            <w:r>
              <w:rPr>
                <w:rFonts w:hint="eastAsia"/>
                <w:color w:val="000000"/>
                <w:sz w:val="22"/>
              </w:rPr>
              <w:br w:type="textWrapping"/>
            </w:r>
            <w:r>
              <w:rPr>
                <w:rFonts w:hint="eastAsia"/>
                <w:color w:val="000000"/>
                <w:sz w:val="22"/>
              </w:rPr>
              <w:t>最多6路接口协议（API）：开放型网络视频接口，ISAPI，SDK，GB28181</w:t>
            </w:r>
            <w:r>
              <w:rPr>
                <w:rFonts w:hint="eastAsia"/>
                <w:color w:val="000000"/>
                <w:sz w:val="22"/>
              </w:rPr>
              <w:br w:type="textWrapping"/>
            </w:r>
            <w:r>
              <w:rPr>
                <w:rFonts w:hint="eastAsia"/>
                <w:color w:val="000000"/>
                <w:sz w:val="22"/>
              </w:rPr>
              <w:t>用户管理：最多32个用户，可分3级用户权限管理：管理员，操作员，普通用户网络存储：NAS（NFS，SMB/CIFS均支持）客户端：</w:t>
            </w:r>
            <w:r>
              <w:rPr>
                <w:rFonts w:hint="eastAsia"/>
                <w:color w:val="000000"/>
                <w:sz w:val="22"/>
              </w:rPr>
              <w:br w:type="textWrapping"/>
            </w:r>
            <w:r>
              <w:rPr>
                <w:rFonts w:hint="eastAsia"/>
                <w:color w:val="000000"/>
                <w:sz w:val="22"/>
              </w:rPr>
              <w:t>iVMS-4200浏览器：使用插件预览：IE10、IE11； 使用本地服务预览：Chrome 57.0+、Firefox 52.0+、Safari12+图像图像设置：镜像，视频遮盖，饱和度，亮度，对比度，锐度，AGC，白平衡通过客户端或者浏览器可调日夜转换模式：白天，夜晚，自动，定时切换图像增强：背光补偿，强光抑制，3D数字降噪</w:t>
            </w:r>
            <w:r>
              <w:rPr>
                <w:rFonts w:hint="eastAsia"/>
                <w:color w:val="000000"/>
                <w:sz w:val="22"/>
              </w:rPr>
              <w:br w:type="textWrapping"/>
            </w:r>
            <w:r>
              <w:rPr>
                <w:rFonts w:hint="eastAsia"/>
                <w:color w:val="000000"/>
                <w:sz w:val="22"/>
              </w:rPr>
              <w:t>接口网络：1个RJ45 10 M/100 M自适应以太网口音频：1个内置麦克风，1个内置扬声器摄像机传感器类型：1/3" Progressive Scan CMOS</w:t>
            </w:r>
            <w:r>
              <w:rPr>
                <w:rFonts w:hint="eastAsia"/>
                <w:color w:val="000000"/>
                <w:sz w:val="22"/>
              </w:rPr>
              <w:br w:type="textWrapping"/>
            </w:r>
            <w:r>
              <w:rPr>
                <w:rFonts w:hint="eastAsia"/>
                <w:color w:val="000000"/>
                <w:sz w:val="22"/>
              </w:rPr>
              <w:t>最低照度：彩色：0.005 Lux @（F1.2，AGC ON），0 Lux with IR快门：</w:t>
            </w:r>
            <w:r>
              <w:rPr>
                <w:rFonts w:hint="eastAsia"/>
                <w:color w:val="000000"/>
                <w:sz w:val="22"/>
              </w:rPr>
              <w:br w:type="textWrapping"/>
            </w:r>
            <w:r>
              <w:rPr>
                <w:rFonts w:hint="eastAsia"/>
                <w:color w:val="000000"/>
                <w:sz w:val="22"/>
              </w:rPr>
              <w:t>1/3 s~1/100,000 s</w:t>
            </w:r>
            <w:r>
              <w:rPr>
                <w:rFonts w:hint="eastAsia"/>
                <w:color w:val="000000"/>
                <w:sz w:val="22"/>
              </w:rPr>
              <w:br w:type="textWrapping"/>
            </w:r>
            <w:r>
              <w:rPr>
                <w:rFonts w:hint="eastAsia"/>
                <w:color w:val="000000"/>
                <w:sz w:val="22"/>
              </w:rPr>
              <w:t>宽动态：120 dB日夜切换模式：ICR红外滤片式镜头焦距&amp;视场角：</w:t>
            </w:r>
            <w:r>
              <w:rPr>
                <w:rFonts w:hint="eastAsia"/>
                <w:color w:val="000000"/>
                <w:sz w:val="22"/>
              </w:rPr>
              <w:br w:type="textWrapping"/>
            </w:r>
            <w:r>
              <w:rPr>
                <w:rFonts w:hint="eastAsia"/>
                <w:color w:val="000000"/>
                <w:sz w:val="22"/>
              </w:rPr>
              <w:t>4 mm，水平视场角：78.3°，垂直视场角：42.9°，对角视场角：91.2° 6 mm，水平视场角：49.1°，垂直视场角：26.3°，对角视场角：57.2° 8 mm，水平视场角：37.5°，垂直视场角：20.7°，对角视场角：43.3° 12 mm，水平视场角：23.4°，垂直视场角：13.3°，对角视场角：26.8°镜头接口尺寸：M12最大光圈数：</w:t>
            </w:r>
            <w:r>
              <w:rPr>
                <w:rFonts w:hint="eastAsia"/>
                <w:color w:val="000000"/>
                <w:sz w:val="22"/>
              </w:rPr>
              <w:br w:type="textWrapping"/>
            </w:r>
            <w:r>
              <w:rPr>
                <w:rFonts w:hint="eastAsia"/>
                <w:color w:val="000000"/>
                <w:sz w:val="22"/>
              </w:rPr>
              <w:t>F1.6补光补光灯类型：智能补光，可切换白光灯、红外灯补光距离：红外光最远可达50 m，白光最远可达30 m防补光过曝：支持认证</w:t>
            </w:r>
            <w:r>
              <w:rPr>
                <w:rFonts w:hint="eastAsia"/>
                <w:color w:val="000000"/>
                <w:sz w:val="22"/>
              </w:rPr>
              <w:br w:type="textWrapping"/>
            </w:r>
            <w:r>
              <w:rPr>
                <w:rFonts w:hint="eastAsia"/>
                <w:color w:val="000000"/>
                <w:sz w:val="22"/>
              </w:rPr>
              <w:t>防护：IP66一般规范联动方式：上传FTP/NAS，上传中心，邮件，录像，抓图，声音报警产品尺寸：186.6 × 92.7 × 87.6 mm包装尺寸：235 × 120 × 125 mm设备重量：WDA4-L型号：565 g DWDA4-L型号：550 g带包装重量：WDA4-L型号：785 g DWDA4-L型号：760 g存储温湿度：-30 ℃~60 ℃，湿度小于95%（无凝结）</w:t>
            </w:r>
            <w:r>
              <w:rPr>
                <w:rFonts w:hint="eastAsia"/>
                <w:color w:val="000000"/>
                <w:sz w:val="22"/>
              </w:rPr>
              <w:br w:type="textWrapping"/>
            </w:r>
            <w:r>
              <w:rPr>
                <w:rFonts w:hint="eastAsia"/>
                <w:color w:val="000000"/>
                <w:sz w:val="22"/>
              </w:rPr>
              <w:t>启动及工作温湿度-30 ℃~60 ℃，湿度小于95%（无凝结）</w:t>
            </w:r>
            <w:r>
              <w:rPr>
                <w:rFonts w:hint="eastAsia"/>
                <w:color w:val="000000"/>
                <w:sz w:val="22"/>
              </w:rPr>
              <w:br w:type="textWrapping"/>
            </w:r>
            <w:r>
              <w:rPr>
                <w:rFonts w:hint="eastAsia"/>
                <w:color w:val="000000"/>
                <w:sz w:val="22"/>
              </w:rPr>
              <w:t>通用功能：心跳，密码保护，水印，IP地址过滤，像素计算器</w:t>
            </w:r>
            <w:r>
              <w:rPr>
                <w:rFonts w:hint="eastAsia"/>
                <w:color w:val="000000"/>
                <w:sz w:val="22"/>
              </w:rPr>
              <w:br w:type="textWrapping"/>
            </w:r>
            <w:r>
              <w:rPr>
                <w:rFonts w:hint="eastAsia"/>
                <w:color w:val="000000"/>
                <w:sz w:val="22"/>
              </w:rPr>
              <w:t>恢复出厂设置：支持客户端或浏览器恢复电流及功耗：DC：12 V，0.84 A，最大功耗：10 W PoE：802.3af，36 V~57 V，0.32 A~0.20 A最大功耗：11.5W *WDA4型号支持PoE供电方式：DC：12 V ± 25%，支持防反接保护 PoE：802.3af，Class 3 *WDA4型号支持PoE电源接口类型：Ø5.5 mm圆口专业智能（深度学习算法）人脸抓拍：支持</w:t>
            </w:r>
            <w:r>
              <w:rPr>
                <w:rFonts w:hint="eastAsia"/>
                <w:color w:val="000000"/>
                <w:sz w:val="22"/>
              </w:rPr>
              <w:br w:type="textWrapping"/>
            </w:r>
            <w:r>
              <w:rPr>
                <w:rFonts w:hint="eastAsia"/>
                <w:color w:val="000000"/>
                <w:sz w:val="22"/>
              </w:rPr>
              <w:t>智能警戒：区域入侵侦测，越界侦测，进入区域侦测，离开区域侦测产品执行标准(具体版本号以标签为准)：Q/BFW 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15</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立杆支架</w:t>
            </w:r>
          </w:p>
        </w:tc>
        <w:tc>
          <w:tcPr>
            <w:tcW w:w="7146" w:type="dxa"/>
          </w:tcPr>
          <w:p>
            <w:pPr>
              <w:spacing w:line="360" w:lineRule="auto"/>
              <w:jc w:val="center"/>
              <w:rPr>
                <w:rFonts w:ascii="宋体" w:hAnsi="宋体" w:eastAsia="宋体"/>
                <w:szCs w:val="21"/>
              </w:rPr>
            </w:pPr>
            <w:r>
              <w:rPr>
                <w:rFonts w:ascii="仿宋" w:hAnsi="仿宋" w:eastAsia="仿宋"/>
                <w:color w:val="000000"/>
                <w:sz w:val="22"/>
              </w:rPr>
              <w:t>根据现场情况合理配置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16</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超脑录像机</w:t>
            </w:r>
          </w:p>
        </w:tc>
        <w:tc>
          <w:tcPr>
            <w:tcW w:w="7146" w:type="dxa"/>
          </w:tcPr>
          <w:p>
            <w:pPr>
              <w:jc w:val="left"/>
              <w:rPr>
                <w:rFonts w:ascii="仿宋" w:hAnsi="仿宋" w:eastAsia="仿宋" w:cs="宋体"/>
                <w:color w:val="000000"/>
                <w:sz w:val="22"/>
              </w:rPr>
            </w:pPr>
            <w:r>
              <w:rPr>
                <w:rFonts w:hint="eastAsia" w:ascii="仿宋" w:hAnsi="仿宋" w:eastAsia="仿宋"/>
                <w:color w:val="000000"/>
                <w:sz w:val="22"/>
              </w:rPr>
              <w:t>主控单元音频参数音频解码格G.711ulaw;G.711alaw;G.722;G.726;AAC音频输出：1路，RCA接口（线性电平，阻抗：1KΩ）语音对讲输入：1个，RCA接口（电平：2.0Vp-p，阻抗：1KΩ）硬盘管理盘位：8个SATA接口单盘容量：最大支持10TB录像管理录像/抓图模式：定时录像、事件录像、移动侦测录像、报警录像、动测或报警录 像、动测且报警录像回放模式：即时回放、常规回放、事件回放、标签回放、智能回放、外部文件回放、日志回放备份模式：常规备份、事件备份、录像剪辑备份网络管理网络协议：UPnP（即插即用）、NTP（网络校时）、SADP（自动搜索IP 地址）、 PPPoE（拨号上网）、DHCP（自动获取IP 地址）外部接口网络接口：</w:t>
            </w:r>
            <w:r>
              <w:rPr>
                <w:rFonts w:hint="eastAsia" w:ascii="仿宋" w:hAnsi="仿宋" w:eastAsia="仿宋"/>
                <w:color w:val="000000"/>
                <w:sz w:val="22"/>
              </w:rPr>
              <w:br w:type="textWrapping"/>
            </w:r>
            <w:r>
              <w:rPr>
                <w:rFonts w:hint="eastAsia" w:ascii="仿宋" w:hAnsi="仿宋" w:eastAsia="仿宋"/>
                <w:color w:val="000000"/>
                <w:sz w:val="22"/>
              </w:rPr>
              <w:t>2个，RJ45 10M/100M/1000M自适应以太网口串行接口：2个，RS-485半双工串行接口 1个，标准RS-232串行接口USB接口：2个USB 2.0（前置），1个USB 3.0（后置）报警输入：16报警输出：4一般规范电源规格：AC 220V 150W功耗（不含硬盘）：≤30W工作温度：-10℃～＋55℃工作湿度：10％～90％机箱：2U机箱≤8Kg其他主板型号系统参数视频接入路数：</w:t>
            </w:r>
            <w:r>
              <w:rPr>
                <w:rFonts w:hint="eastAsia" w:ascii="仿宋" w:hAnsi="仿宋" w:eastAsia="仿宋"/>
                <w:color w:val="000000"/>
                <w:sz w:val="22"/>
              </w:rPr>
              <w:br w:type="textWrapping"/>
            </w:r>
            <w:r>
              <w:rPr>
                <w:rFonts w:hint="eastAsia" w:ascii="仿宋" w:hAnsi="仿宋" w:eastAsia="仿宋"/>
                <w:color w:val="000000"/>
                <w:sz w:val="22"/>
              </w:rPr>
              <w:t>64网络输入带宽：320Mbps网络输出带宽：160Mps录像分辨率：</w:t>
            </w:r>
            <w:r>
              <w:rPr>
                <w:rFonts w:hint="eastAsia" w:ascii="仿宋" w:hAnsi="仿宋" w:eastAsia="仿宋"/>
                <w:color w:val="000000"/>
                <w:sz w:val="22"/>
              </w:rPr>
              <w:br w:type="textWrapping"/>
            </w:r>
            <w:r>
              <w:rPr>
                <w:rFonts w:hint="eastAsia" w:ascii="仿宋" w:hAnsi="仿宋" w:eastAsia="仿宋"/>
                <w:color w:val="000000"/>
                <w:sz w:val="22"/>
              </w:rPr>
              <w:t>8MP/6MP/5MP/4MP/3MP/1080p/UXGA/720p/VGA/4CIF/DCIF/2CIF/CIF/QCIF</w:t>
            </w:r>
            <w:r>
              <w:rPr>
                <w:rFonts w:hint="eastAsia" w:ascii="仿宋" w:hAnsi="仿宋" w:eastAsia="仿宋"/>
                <w:color w:val="000000"/>
                <w:sz w:val="22"/>
              </w:rPr>
              <w:br w:type="textWrapping"/>
            </w:r>
            <w:r>
              <w:rPr>
                <w:rFonts w:hint="eastAsia" w:ascii="仿宋" w:hAnsi="仿宋" w:eastAsia="仿宋"/>
                <w:color w:val="000000"/>
                <w:sz w:val="22"/>
              </w:rPr>
              <w:t>视频参数视频输出：1路HDMI，1路VGAHDMI输出：4K（3840*2160）/30Hz, 2K（2560*1440）/60Hz， 1920*1080/60Hz，1600*1200/60Hz，1280*1024/60Hz，1280*720/60HzVGA输出：默认和HDMI同源，支持可配异源， 1920*1080/60Hz，1600*1200/60Hz，1280*1024/60Hz，1280*720/60HzCVBS输出：预览分屏：1/2/4/6/8/9/16/25/36/64画面视频解码格式：H.265;H.264;Smart264;Smart265解码能力：12×1080P（开启SVC增强模式后，支持16×1080P）同步回放：16</w:t>
            </w:r>
            <w:r>
              <w:rPr>
                <w:rFonts w:hint="eastAsia" w:ascii="仿宋" w:hAnsi="仿宋" w:eastAsia="仿宋"/>
                <w:color w:val="000000"/>
                <w:sz w:val="22"/>
              </w:rPr>
              <w:br w:type="textWrapping"/>
            </w:r>
            <w:r>
              <w:rPr>
                <w:rFonts w:hint="eastAsia" w:ascii="仿宋" w:hAnsi="仿宋" w:eastAsia="仿宋"/>
                <w:color w:val="000000"/>
                <w:sz w:val="22"/>
              </w:rPr>
              <w:t>产品执行标准(具体版本号以标签为准)：Q/BFW 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17</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立杆</w:t>
            </w:r>
          </w:p>
        </w:tc>
        <w:tc>
          <w:tcPr>
            <w:tcW w:w="7146" w:type="dxa"/>
          </w:tcPr>
          <w:p>
            <w:pPr>
              <w:spacing w:line="360" w:lineRule="auto"/>
              <w:jc w:val="center"/>
              <w:rPr>
                <w:rFonts w:ascii="仿宋" w:hAnsi="仿宋" w:eastAsia="仿宋"/>
                <w:color w:val="000000"/>
                <w:sz w:val="22"/>
              </w:rPr>
            </w:pPr>
            <w:r>
              <w:rPr>
                <w:rFonts w:ascii="仿宋" w:hAnsi="仿宋" w:eastAsia="仿宋"/>
                <w:color w:val="000000"/>
                <w:sz w:val="22"/>
              </w:rPr>
              <w:t>根据现场情况合理配置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18</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显示器</w:t>
            </w:r>
          </w:p>
        </w:tc>
        <w:tc>
          <w:tcPr>
            <w:tcW w:w="7146" w:type="dxa"/>
          </w:tcPr>
          <w:p>
            <w:pPr>
              <w:spacing w:line="360" w:lineRule="auto"/>
              <w:jc w:val="center"/>
              <w:rPr>
                <w:rFonts w:ascii="仿宋" w:hAnsi="仿宋" w:eastAsia="仿宋"/>
                <w:color w:val="000000"/>
                <w:sz w:val="22"/>
              </w:rPr>
            </w:pPr>
            <w:r>
              <w:rPr>
                <w:rFonts w:hint="eastAsia" w:ascii="仿宋" w:hAnsi="仿宋" w:eastAsia="仿宋"/>
                <w:color w:val="000000"/>
                <w:sz w:val="22"/>
              </w:rPr>
              <w:t>24寸</w:t>
            </w:r>
            <w:r>
              <w:rPr>
                <w:rFonts w:ascii="仿宋" w:hAnsi="仿宋" w:eastAsia="仿宋"/>
                <w:color w:val="000000"/>
                <w:sz w:val="22"/>
              </w:rPr>
              <w:t>屏幕分辨率：1920x1080像素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jc w:val="center"/>
        </w:trPr>
        <w:tc>
          <w:tcPr>
            <w:tcW w:w="564" w:type="dxa"/>
            <w:vAlign w:val="center"/>
          </w:tcPr>
          <w:p>
            <w:pPr>
              <w:spacing w:line="360" w:lineRule="auto"/>
              <w:jc w:val="center"/>
              <w:rPr>
                <w:rFonts w:ascii="宋体" w:hAnsi="宋体" w:eastAsia="宋体"/>
                <w:szCs w:val="21"/>
              </w:rPr>
            </w:pPr>
            <w:r>
              <w:rPr>
                <w:rFonts w:hint="eastAsia" w:ascii="宋体" w:hAnsi="宋体" w:eastAsia="宋体"/>
                <w:szCs w:val="21"/>
              </w:rPr>
              <w:t>19</w:t>
            </w:r>
          </w:p>
        </w:tc>
        <w:tc>
          <w:tcPr>
            <w:tcW w:w="1914" w:type="dxa"/>
            <w:vAlign w:val="center"/>
          </w:tcPr>
          <w:p>
            <w:pPr>
              <w:jc w:val="center"/>
              <w:rPr>
                <w:rFonts w:ascii="仿宋" w:hAnsi="仿宋" w:eastAsia="仿宋" w:cs="宋体"/>
                <w:b/>
                <w:bCs/>
                <w:color w:val="000000"/>
                <w:sz w:val="28"/>
                <w:szCs w:val="28"/>
              </w:rPr>
            </w:pPr>
            <w:r>
              <w:rPr>
                <w:rFonts w:hint="eastAsia" w:ascii="仿宋" w:hAnsi="仿宋" w:eastAsia="仿宋"/>
                <w:b/>
                <w:bCs/>
                <w:color w:val="000000"/>
                <w:sz w:val="28"/>
                <w:szCs w:val="28"/>
              </w:rPr>
              <w:t>其他辅材</w:t>
            </w:r>
          </w:p>
        </w:tc>
        <w:tc>
          <w:tcPr>
            <w:tcW w:w="7146" w:type="dxa"/>
          </w:tcPr>
          <w:p>
            <w:pPr>
              <w:spacing w:line="360" w:lineRule="auto"/>
              <w:jc w:val="center"/>
              <w:rPr>
                <w:rFonts w:ascii="宋体" w:hAnsi="宋体" w:eastAsia="宋体"/>
                <w:szCs w:val="21"/>
              </w:rPr>
            </w:pPr>
            <w:r>
              <w:rPr>
                <w:rFonts w:ascii="宋体" w:hAnsi="宋体" w:eastAsia="宋体"/>
                <w:szCs w:val="21"/>
              </w:rPr>
              <w:t>根据学校实际需求提供一切项目过程中需要用到的国家标准辅材。</w:t>
            </w:r>
          </w:p>
        </w:tc>
      </w:tr>
    </w:tbl>
    <w:p/>
    <w:p/>
    <w:p/>
    <w:p/>
    <w:p/>
    <w:p/>
    <w:p/>
    <w:p/>
    <w:p/>
    <w:p/>
    <w:p/>
    <w:p/>
    <w:p/>
    <w:p/>
    <w:p/>
    <w:p/>
    <w:p/>
    <w:p/>
    <w:p/>
    <w:p/>
    <w:p/>
    <w:p/>
    <w:p/>
    <w:tbl>
      <w:tblPr>
        <w:tblStyle w:val="8"/>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60"/>
        <w:gridCol w:w="7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156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指标项</w:t>
            </w:r>
          </w:p>
        </w:tc>
        <w:tc>
          <w:tcPr>
            <w:tcW w:w="7828"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招标技术规格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1560" w:type="dxa"/>
            <w:vMerge w:val="restart"/>
            <w:vAlign w:val="center"/>
          </w:tcPr>
          <w:p>
            <w:pPr>
              <w:spacing w:line="360" w:lineRule="auto"/>
              <w:jc w:val="center"/>
              <w:rPr>
                <w:rFonts w:cs="宋体" w:asciiTheme="minorEastAsia" w:hAnsiTheme="minorEastAsia"/>
                <w:color w:val="000000"/>
                <w:szCs w:val="21"/>
              </w:rPr>
            </w:pPr>
            <w:r>
              <w:rPr>
                <w:rFonts w:hint="eastAsia" w:ascii="宋体" w:hAnsi="宋体"/>
                <w:color w:val="000000" w:themeColor="text1"/>
                <w:szCs w:val="21"/>
              </w:rPr>
              <w:t>▲</w:t>
            </w:r>
            <w:r>
              <w:rPr>
                <w:rFonts w:hint="eastAsia" w:cs="宋体" w:asciiTheme="minorEastAsia" w:hAnsiTheme="minorEastAsia"/>
                <w:color w:val="000000"/>
                <w:szCs w:val="21"/>
              </w:rPr>
              <w:t>实施内容</w:t>
            </w:r>
          </w:p>
        </w:tc>
        <w:tc>
          <w:tcPr>
            <w:tcW w:w="7828" w:type="dxa"/>
            <w:vAlign w:val="center"/>
          </w:tcPr>
          <w:p>
            <w:pPr>
              <w:spacing w:line="360" w:lineRule="auto"/>
              <w:jc w:val="left"/>
              <w:rPr>
                <w:rFonts w:cs="宋体" w:asciiTheme="minorEastAsia" w:hAnsiTheme="minorEastAsia"/>
                <w:color w:val="000000"/>
                <w:szCs w:val="21"/>
              </w:rPr>
            </w:pPr>
            <w:r>
              <w:rPr>
                <w:rFonts w:hint="eastAsia" w:ascii="宋体" w:hAnsi="宋体" w:cs="宋体"/>
                <w:color w:val="000000"/>
                <w:kern w:val="0"/>
                <w:szCs w:val="21"/>
              </w:rPr>
              <w:t>投标单位报价金额须：提供包括完成业主当前环境下设备的拆除、搬迁、安装等相关工作，保证系统及所有设备正常运行所需的全部工程实施相关工作；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1560" w:type="dxa"/>
            <w:vMerge w:val="continue"/>
            <w:vAlign w:val="center"/>
          </w:tcPr>
          <w:p>
            <w:pPr>
              <w:spacing w:line="360" w:lineRule="auto"/>
              <w:jc w:val="center"/>
              <w:rPr>
                <w:rFonts w:cs="宋体" w:asciiTheme="minorEastAsia" w:hAnsiTheme="minorEastAsia"/>
                <w:color w:val="000000"/>
                <w:szCs w:val="21"/>
              </w:rPr>
            </w:pPr>
          </w:p>
        </w:tc>
        <w:tc>
          <w:tcPr>
            <w:tcW w:w="7828" w:type="dxa"/>
            <w:vAlign w:val="center"/>
          </w:tcPr>
          <w:p>
            <w:pPr>
              <w:spacing w:line="360" w:lineRule="auto"/>
              <w:jc w:val="left"/>
              <w:rPr>
                <w:rFonts w:ascii="宋体" w:hAnsi="宋体" w:cs="宋体"/>
                <w:color w:val="000000"/>
                <w:kern w:val="0"/>
                <w:szCs w:val="21"/>
              </w:rPr>
            </w:pPr>
            <w:r>
              <w:rPr>
                <w:rFonts w:hint="eastAsia" w:ascii="宋体" w:hAnsi="宋体" w:cs="宋体"/>
                <w:color w:val="000000"/>
                <w:kern w:val="0"/>
                <w:szCs w:val="21"/>
              </w:rPr>
              <w:t>投标单位须提供在本次设备安装过程中所涉及的所有弱电系统整合等相关工作，并需要与原有弱电环境进行无缝对接；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asciiTheme="minorEastAsia" w:hAnsiTheme="minorEastAsia"/>
                <w:szCs w:val="21"/>
              </w:rPr>
              <w:t>3</w:t>
            </w:r>
          </w:p>
        </w:tc>
        <w:tc>
          <w:tcPr>
            <w:tcW w:w="1560" w:type="dxa"/>
            <w:vMerge w:val="continue"/>
            <w:vAlign w:val="center"/>
          </w:tcPr>
          <w:p>
            <w:pPr>
              <w:spacing w:line="360" w:lineRule="auto"/>
              <w:jc w:val="center"/>
              <w:rPr>
                <w:rFonts w:cs="宋体" w:asciiTheme="minorEastAsia" w:hAnsiTheme="minorEastAsia"/>
                <w:color w:val="000000"/>
                <w:szCs w:val="21"/>
              </w:rPr>
            </w:pPr>
          </w:p>
        </w:tc>
        <w:tc>
          <w:tcPr>
            <w:tcW w:w="7828" w:type="dxa"/>
            <w:vAlign w:val="center"/>
          </w:tcPr>
          <w:p>
            <w:pPr>
              <w:spacing w:line="360" w:lineRule="auto"/>
              <w:jc w:val="left"/>
              <w:rPr>
                <w:rFonts w:ascii="宋体" w:hAnsi="宋体" w:cs="宋体"/>
                <w:color w:val="000000"/>
                <w:kern w:val="0"/>
                <w:szCs w:val="21"/>
              </w:rPr>
            </w:pPr>
            <w:r>
              <w:rPr>
                <w:rFonts w:hint="eastAsia" w:cs="宋体" w:asciiTheme="minorEastAsia" w:hAnsiTheme="minorEastAsia"/>
                <w:color w:val="000000"/>
                <w:szCs w:val="21"/>
              </w:rPr>
              <w:t>投标单位包含对设备的运输、安装、人工以及在安装过程中所需的线材和配件等一切费用；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4</w:t>
            </w:r>
          </w:p>
        </w:tc>
        <w:tc>
          <w:tcPr>
            <w:tcW w:w="1560" w:type="dxa"/>
            <w:vMerge w:val="continue"/>
            <w:vAlign w:val="center"/>
          </w:tcPr>
          <w:p>
            <w:pPr>
              <w:spacing w:line="360" w:lineRule="auto"/>
              <w:jc w:val="center"/>
              <w:rPr>
                <w:rFonts w:cs="宋体" w:asciiTheme="minorEastAsia" w:hAnsiTheme="minorEastAsia"/>
                <w:color w:val="000000"/>
                <w:szCs w:val="21"/>
              </w:rPr>
            </w:pPr>
          </w:p>
        </w:tc>
        <w:tc>
          <w:tcPr>
            <w:tcW w:w="7828" w:type="dxa"/>
            <w:vAlign w:val="center"/>
          </w:tcPr>
          <w:p>
            <w:pPr>
              <w:spacing w:line="360" w:lineRule="auto"/>
              <w:jc w:val="left"/>
              <w:rPr>
                <w:rFonts w:cs="宋体" w:asciiTheme="minorEastAsia" w:hAnsiTheme="minorEastAsia"/>
                <w:color w:val="000000"/>
                <w:szCs w:val="21"/>
              </w:rPr>
            </w:pPr>
            <w:r>
              <w:rPr>
                <w:rFonts w:cs="宋体" w:asciiTheme="minorEastAsia" w:hAnsiTheme="minorEastAsia"/>
                <w:color w:val="000000"/>
                <w:szCs w:val="21"/>
              </w:rPr>
              <w:t>签订合同后在学校要求内</w:t>
            </w:r>
            <w:r>
              <w:rPr>
                <w:rFonts w:hint="eastAsia" w:cs="宋体" w:asciiTheme="minorEastAsia" w:hAnsiTheme="minorEastAsia"/>
                <w:color w:val="000000"/>
                <w:szCs w:val="21"/>
              </w:rPr>
              <w:t>完成施工工作。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1560" w:type="dxa"/>
            <w:vMerge w:val="restart"/>
            <w:vAlign w:val="center"/>
          </w:tcPr>
          <w:p>
            <w:pPr>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实施要求</w:t>
            </w:r>
          </w:p>
        </w:tc>
        <w:tc>
          <w:tcPr>
            <w:tcW w:w="7828" w:type="dxa"/>
            <w:vAlign w:val="center"/>
          </w:tcPr>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 xml:space="preserve">中标人应在在合同约定施工日起，至少指派1名项目经理（有证）对项目的总体实施进行施工现场管控；配置相应的实施团队驻守项目现场负责项目实施工作，确保项目正常运行，直至服务周期满。期间应服从采购人管理人员管理，并遵守现场的各项规章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1560" w:type="dxa"/>
            <w:vMerge w:val="continue"/>
            <w:vAlign w:val="center"/>
          </w:tcPr>
          <w:p>
            <w:pPr>
              <w:spacing w:line="360" w:lineRule="auto"/>
              <w:jc w:val="center"/>
              <w:rPr>
                <w:rFonts w:cs="宋体" w:asciiTheme="minorEastAsia" w:hAnsiTheme="minorEastAsia"/>
                <w:color w:val="000000"/>
                <w:szCs w:val="21"/>
              </w:rPr>
            </w:pPr>
          </w:p>
        </w:tc>
        <w:tc>
          <w:tcPr>
            <w:tcW w:w="7828" w:type="dxa"/>
            <w:vAlign w:val="center"/>
          </w:tcPr>
          <w:p>
            <w:pPr>
              <w:spacing w:line="360" w:lineRule="auto"/>
              <w:jc w:val="left"/>
              <w:rPr>
                <w:rFonts w:cs="宋体" w:asciiTheme="minorEastAsia" w:hAnsiTheme="minorEastAsia"/>
                <w:color w:val="000000"/>
                <w:szCs w:val="21"/>
              </w:rPr>
            </w:pPr>
            <w:r>
              <w:rPr>
                <w:rFonts w:hint="eastAsia" w:cs="宋体" w:asciiTheme="minorEastAsia" w:hAnsiTheme="minorEastAsia"/>
                <w:color w:val="000000"/>
                <w:szCs w:val="21"/>
              </w:rPr>
              <w:t>系统设备安装（包括所使用的设备、材料、布线方法、安装工艺、调试开通等）必须符合国家、行业法规和规范要求。在施工中应做好对其他设施的保护，凡造成其它设施设备损坏的，一律由施工单位负责赔偿。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1</w:t>
            </w:r>
          </w:p>
        </w:tc>
        <w:tc>
          <w:tcPr>
            <w:tcW w:w="1560" w:type="dxa"/>
            <w:vMerge w:val="restart"/>
            <w:vAlign w:val="center"/>
          </w:tcPr>
          <w:p>
            <w:pPr>
              <w:spacing w:line="360" w:lineRule="auto"/>
              <w:jc w:val="center"/>
              <w:rPr>
                <w:rFonts w:cs="宋体" w:asciiTheme="minorEastAsia" w:hAnsiTheme="minorEastAsia"/>
                <w:color w:val="000000"/>
                <w:szCs w:val="21"/>
              </w:rPr>
            </w:pPr>
            <w:r>
              <w:rPr>
                <w:rFonts w:hint="eastAsia" w:cs="宋体" w:asciiTheme="minorEastAsia" w:hAnsiTheme="minorEastAsia"/>
                <w:color w:val="000000"/>
                <w:szCs w:val="21"/>
              </w:rPr>
              <w:t>售后服务</w:t>
            </w:r>
          </w:p>
        </w:tc>
        <w:tc>
          <w:tcPr>
            <w:tcW w:w="7828" w:type="dxa"/>
            <w:vAlign w:val="center"/>
          </w:tcPr>
          <w:p>
            <w:pPr>
              <w:spacing w:line="360" w:lineRule="auto"/>
              <w:jc w:val="left"/>
              <w:rPr>
                <w:rFonts w:cs="宋体" w:asciiTheme="minorEastAsia" w:hAnsiTheme="minorEastAsia"/>
                <w:color w:val="000000"/>
                <w:szCs w:val="21"/>
              </w:rPr>
            </w:pPr>
            <w:r>
              <w:rPr>
                <w:rFonts w:hint="eastAsia" w:ascii="宋体" w:hAnsi="宋体" w:eastAsia="宋体" w:cs="宋体"/>
                <w:szCs w:val="21"/>
              </w:rPr>
              <w:t>投标单位须提供7*24技术支持，对于影响系统正常运行的严重故障（包括由系统软硬件等原因引起的）工程师及其它相关技术人员必须在1小时内赶到现场，查找原因，提出解决方案，并工作直至故障修妥完全恢复正常服务为止，要求保证系统在8小时之内修复；</w:t>
            </w:r>
            <w:r>
              <w:rPr>
                <w:rFonts w:cs="宋体" w:asciiTheme="minorEastAsia" w:hAnsi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2</w:t>
            </w:r>
          </w:p>
        </w:tc>
        <w:tc>
          <w:tcPr>
            <w:tcW w:w="1560" w:type="dxa"/>
            <w:vMerge w:val="continue"/>
            <w:vAlign w:val="center"/>
          </w:tcPr>
          <w:p>
            <w:pPr>
              <w:spacing w:line="360" w:lineRule="auto"/>
              <w:jc w:val="center"/>
              <w:rPr>
                <w:rFonts w:cs="宋体" w:asciiTheme="minorEastAsia" w:hAnsiTheme="minorEastAsia"/>
                <w:color w:val="000000"/>
                <w:szCs w:val="21"/>
              </w:rPr>
            </w:pPr>
          </w:p>
        </w:tc>
        <w:tc>
          <w:tcPr>
            <w:tcW w:w="7828" w:type="dxa"/>
            <w:vAlign w:val="center"/>
          </w:tcPr>
          <w:p>
            <w:pPr>
              <w:spacing w:line="360" w:lineRule="auto"/>
              <w:jc w:val="left"/>
              <w:rPr>
                <w:rFonts w:ascii="宋体" w:hAnsi="宋体" w:eastAsia="宋体" w:cs="宋体"/>
                <w:szCs w:val="21"/>
              </w:rPr>
            </w:pPr>
            <w:r>
              <w:rPr>
                <w:rFonts w:hint="eastAsia" w:ascii="宋体" w:hAnsi="宋体" w:eastAsia="宋体" w:cs="宋体"/>
                <w:szCs w:val="21"/>
              </w:rPr>
              <w:t>中标人根据投标承诺落实相应培训计划。中标人需提供的培训方式，包括：集中技术理论课程培训和现场实践技能培训。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spacing w:line="360" w:lineRule="auto"/>
              <w:jc w:val="center"/>
              <w:rPr>
                <w:rFonts w:asciiTheme="minorEastAsia" w:hAnsiTheme="minorEastAsia"/>
                <w:szCs w:val="21"/>
              </w:rPr>
            </w:pPr>
            <w:r>
              <w:rPr>
                <w:rFonts w:hint="eastAsia" w:asciiTheme="minorEastAsia" w:hAnsiTheme="minorEastAsia"/>
                <w:szCs w:val="21"/>
              </w:rPr>
              <w:t>3</w:t>
            </w:r>
          </w:p>
        </w:tc>
        <w:tc>
          <w:tcPr>
            <w:tcW w:w="1560" w:type="dxa"/>
            <w:vMerge w:val="continue"/>
            <w:vAlign w:val="center"/>
          </w:tcPr>
          <w:p>
            <w:pPr>
              <w:spacing w:line="360" w:lineRule="auto"/>
              <w:jc w:val="center"/>
              <w:rPr>
                <w:rFonts w:cs="宋体" w:asciiTheme="minorEastAsia" w:hAnsiTheme="minorEastAsia"/>
                <w:color w:val="000000"/>
                <w:szCs w:val="21"/>
              </w:rPr>
            </w:pPr>
          </w:p>
        </w:tc>
        <w:tc>
          <w:tcPr>
            <w:tcW w:w="7828" w:type="dxa"/>
            <w:vAlign w:val="center"/>
          </w:tcPr>
          <w:p>
            <w:pPr>
              <w:spacing w:line="360" w:lineRule="auto"/>
              <w:jc w:val="left"/>
              <w:rPr>
                <w:rFonts w:ascii="宋体" w:hAnsi="宋体" w:eastAsia="宋体" w:cs="宋体"/>
                <w:szCs w:val="21"/>
              </w:rPr>
            </w:pPr>
            <w:r>
              <w:rPr>
                <w:rFonts w:hint="eastAsia" w:ascii="宋体" w:hAnsi="宋体"/>
                <w:color w:val="000000" w:themeColor="text1"/>
                <w:szCs w:val="21"/>
              </w:rPr>
              <w:t>合同签订时须提供原厂三年服务书面承诺函，以及校方现有平台的对接报告。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56C8D"/>
    <w:multiLevelType w:val="multilevel"/>
    <w:tmpl w:val="5C156C8D"/>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mMWQwY2NlYjcwYmJiN2JlNTY3NTQ4OTdlODEzZmMifQ=="/>
  </w:docVars>
  <w:rsids>
    <w:rsidRoot w:val="009F5137"/>
    <w:rsid w:val="0007401E"/>
    <w:rsid w:val="00097002"/>
    <w:rsid w:val="000B506C"/>
    <w:rsid w:val="000B733C"/>
    <w:rsid w:val="000B7DE1"/>
    <w:rsid w:val="000D374A"/>
    <w:rsid w:val="000F5EC2"/>
    <w:rsid w:val="00110F15"/>
    <w:rsid w:val="001228B8"/>
    <w:rsid w:val="00126181"/>
    <w:rsid w:val="00151D8D"/>
    <w:rsid w:val="0015774E"/>
    <w:rsid w:val="00163434"/>
    <w:rsid w:val="00163F8E"/>
    <w:rsid w:val="0016687E"/>
    <w:rsid w:val="001831EE"/>
    <w:rsid w:val="00197A9C"/>
    <w:rsid w:val="001B7EC0"/>
    <w:rsid w:val="001C2BA5"/>
    <w:rsid w:val="001D57C4"/>
    <w:rsid w:val="001E1737"/>
    <w:rsid w:val="001E1781"/>
    <w:rsid w:val="00216634"/>
    <w:rsid w:val="00251F44"/>
    <w:rsid w:val="00285A02"/>
    <w:rsid w:val="00291DBF"/>
    <w:rsid w:val="00292D88"/>
    <w:rsid w:val="002D0BB0"/>
    <w:rsid w:val="002F1799"/>
    <w:rsid w:val="002F3635"/>
    <w:rsid w:val="00311FCD"/>
    <w:rsid w:val="00314192"/>
    <w:rsid w:val="003207D1"/>
    <w:rsid w:val="00323BE0"/>
    <w:rsid w:val="00323C65"/>
    <w:rsid w:val="003320F1"/>
    <w:rsid w:val="00334B95"/>
    <w:rsid w:val="00371C98"/>
    <w:rsid w:val="003A1709"/>
    <w:rsid w:val="003B5498"/>
    <w:rsid w:val="003E0815"/>
    <w:rsid w:val="004066BA"/>
    <w:rsid w:val="00410B65"/>
    <w:rsid w:val="00464251"/>
    <w:rsid w:val="00465079"/>
    <w:rsid w:val="00470F17"/>
    <w:rsid w:val="00472D97"/>
    <w:rsid w:val="004B5888"/>
    <w:rsid w:val="004C3C8F"/>
    <w:rsid w:val="004D02C7"/>
    <w:rsid w:val="004D29FF"/>
    <w:rsid w:val="004D2F9E"/>
    <w:rsid w:val="004E03FD"/>
    <w:rsid w:val="00502C6D"/>
    <w:rsid w:val="005418B1"/>
    <w:rsid w:val="005439DF"/>
    <w:rsid w:val="00550F34"/>
    <w:rsid w:val="005652D7"/>
    <w:rsid w:val="00566BFA"/>
    <w:rsid w:val="00574E68"/>
    <w:rsid w:val="00576264"/>
    <w:rsid w:val="00590512"/>
    <w:rsid w:val="005B6289"/>
    <w:rsid w:val="005D2F9E"/>
    <w:rsid w:val="005E6D4D"/>
    <w:rsid w:val="00600EA7"/>
    <w:rsid w:val="0060150A"/>
    <w:rsid w:val="00604560"/>
    <w:rsid w:val="00607440"/>
    <w:rsid w:val="006171D6"/>
    <w:rsid w:val="00641647"/>
    <w:rsid w:val="00643EF6"/>
    <w:rsid w:val="00683F44"/>
    <w:rsid w:val="00686678"/>
    <w:rsid w:val="00687A0D"/>
    <w:rsid w:val="006B2402"/>
    <w:rsid w:val="006C3E5F"/>
    <w:rsid w:val="006D678C"/>
    <w:rsid w:val="006E2959"/>
    <w:rsid w:val="007009E5"/>
    <w:rsid w:val="00723189"/>
    <w:rsid w:val="0073780E"/>
    <w:rsid w:val="0074277F"/>
    <w:rsid w:val="00750A65"/>
    <w:rsid w:val="00760CFB"/>
    <w:rsid w:val="0076518D"/>
    <w:rsid w:val="007669AE"/>
    <w:rsid w:val="00774315"/>
    <w:rsid w:val="007767DE"/>
    <w:rsid w:val="00780428"/>
    <w:rsid w:val="007B1DBB"/>
    <w:rsid w:val="007B2248"/>
    <w:rsid w:val="007B5CDD"/>
    <w:rsid w:val="00823EBE"/>
    <w:rsid w:val="008244D5"/>
    <w:rsid w:val="008255D2"/>
    <w:rsid w:val="008318B6"/>
    <w:rsid w:val="00855DA9"/>
    <w:rsid w:val="00856C3C"/>
    <w:rsid w:val="008650D2"/>
    <w:rsid w:val="008E50E6"/>
    <w:rsid w:val="008E7A05"/>
    <w:rsid w:val="008F0435"/>
    <w:rsid w:val="00910864"/>
    <w:rsid w:val="0091605A"/>
    <w:rsid w:val="00924ADC"/>
    <w:rsid w:val="00925D50"/>
    <w:rsid w:val="0096049F"/>
    <w:rsid w:val="00963B92"/>
    <w:rsid w:val="009A4798"/>
    <w:rsid w:val="009A6706"/>
    <w:rsid w:val="009D1B86"/>
    <w:rsid w:val="009E15A4"/>
    <w:rsid w:val="009E6A7A"/>
    <w:rsid w:val="009F5137"/>
    <w:rsid w:val="009F7A6C"/>
    <w:rsid w:val="00A0297A"/>
    <w:rsid w:val="00A2460B"/>
    <w:rsid w:val="00A3196B"/>
    <w:rsid w:val="00A51BC9"/>
    <w:rsid w:val="00A73B62"/>
    <w:rsid w:val="00AB04A2"/>
    <w:rsid w:val="00AB1EE8"/>
    <w:rsid w:val="00AB378C"/>
    <w:rsid w:val="00AB43CE"/>
    <w:rsid w:val="00AC167D"/>
    <w:rsid w:val="00AC53F5"/>
    <w:rsid w:val="00AF5C06"/>
    <w:rsid w:val="00B04B8A"/>
    <w:rsid w:val="00B12B9A"/>
    <w:rsid w:val="00B20BB0"/>
    <w:rsid w:val="00B34423"/>
    <w:rsid w:val="00B34FC8"/>
    <w:rsid w:val="00B35069"/>
    <w:rsid w:val="00B51459"/>
    <w:rsid w:val="00B520BB"/>
    <w:rsid w:val="00B814F3"/>
    <w:rsid w:val="00B828DB"/>
    <w:rsid w:val="00B83E74"/>
    <w:rsid w:val="00B84E32"/>
    <w:rsid w:val="00B9007B"/>
    <w:rsid w:val="00B94A05"/>
    <w:rsid w:val="00BA3FBC"/>
    <w:rsid w:val="00BA6EE4"/>
    <w:rsid w:val="00BB2ACB"/>
    <w:rsid w:val="00BC426F"/>
    <w:rsid w:val="00BF2A4B"/>
    <w:rsid w:val="00BF2E6E"/>
    <w:rsid w:val="00C104D8"/>
    <w:rsid w:val="00C127AB"/>
    <w:rsid w:val="00C1533A"/>
    <w:rsid w:val="00C213AC"/>
    <w:rsid w:val="00C3153B"/>
    <w:rsid w:val="00C42667"/>
    <w:rsid w:val="00C4595B"/>
    <w:rsid w:val="00C53391"/>
    <w:rsid w:val="00C624E1"/>
    <w:rsid w:val="00C82DBC"/>
    <w:rsid w:val="00C9186F"/>
    <w:rsid w:val="00CB4F28"/>
    <w:rsid w:val="00CD1E38"/>
    <w:rsid w:val="00CE13A6"/>
    <w:rsid w:val="00CF0E25"/>
    <w:rsid w:val="00CF1589"/>
    <w:rsid w:val="00D05FC1"/>
    <w:rsid w:val="00D1524E"/>
    <w:rsid w:val="00D16068"/>
    <w:rsid w:val="00D43F83"/>
    <w:rsid w:val="00D46E41"/>
    <w:rsid w:val="00D6042D"/>
    <w:rsid w:val="00D82B88"/>
    <w:rsid w:val="00DA1FBE"/>
    <w:rsid w:val="00DC4886"/>
    <w:rsid w:val="00DC7177"/>
    <w:rsid w:val="00DE030A"/>
    <w:rsid w:val="00E00BD8"/>
    <w:rsid w:val="00E149AF"/>
    <w:rsid w:val="00E21191"/>
    <w:rsid w:val="00E37894"/>
    <w:rsid w:val="00E470BF"/>
    <w:rsid w:val="00E53720"/>
    <w:rsid w:val="00E609D7"/>
    <w:rsid w:val="00E82C52"/>
    <w:rsid w:val="00E94CCA"/>
    <w:rsid w:val="00E94ED3"/>
    <w:rsid w:val="00EB1C45"/>
    <w:rsid w:val="00EB4056"/>
    <w:rsid w:val="00EB7A2C"/>
    <w:rsid w:val="00EC7FDD"/>
    <w:rsid w:val="00ED26B7"/>
    <w:rsid w:val="00ED5679"/>
    <w:rsid w:val="00EF2D69"/>
    <w:rsid w:val="00EF5912"/>
    <w:rsid w:val="00EF6B33"/>
    <w:rsid w:val="00F1353F"/>
    <w:rsid w:val="00F25EF8"/>
    <w:rsid w:val="00F46F14"/>
    <w:rsid w:val="00F50A72"/>
    <w:rsid w:val="00F54BB6"/>
    <w:rsid w:val="00F75682"/>
    <w:rsid w:val="00F8186A"/>
    <w:rsid w:val="00F931AE"/>
    <w:rsid w:val="00F9602B"/>
    <w:rsid w:val="00FB7C8C"/>
    <w:rsid w:val="00FD3735"/>
    <w:rsid w:val="00FD64C0"/>
    <w:rsid w:val="00FE08A4"/>
    <w:rsid w:val="00FE0AF1"/>
    <w:rsid w:val="00FE77B9"/>
    <w:rsid w:val="2D55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32"/>
      <w:szCs w:val="32"/>
    </w:rPr>
  </w:style>
  <w:style w:type="paragraph" w:styleId="3">
    <w:name w:val="heading 2"/>
    <w:basedOn w:val="1"/>
    <w:next w:val="1"/>
    <w:link w:val="13"/>
    <w:unhideWhenUsed/>
    <w:qFormat/>
    <w:uiPriority w:val="9"/>
    <w:pPr>
      <w:keepNext/>
      <w:keepLines/>
      <w:spacing w:before="260" w:after="260" w:line="416" w:lineRule="auto"/>
      <w:jc w:val="center"/>
      <w:outlineLvl w:val="1"/>
    </w:pPr>
    <w:rPr>
      <w:rFonts w:asciiTheme="minorEastAsia" w:hAnsiTheme="minorEastAsia" w:cstheme="majorBidi"/>
      <w:b/>
      <w:bCs/>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unhideWhenUsed/>
    <w:qFormat/>
    <w:uiPriority w:val="99"/>
    <w:rPr>
      <w:rFonts w:ascii="宋体" w:eastAsia="宋体"/>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8"/>
    <w:qFormat/>
    <w:uiPriority w:val="11"/>
    <w:pPr>
      <w:spacing w:before="120" w:after="120" w:line="312" w:lineRule="auto"/>
      <w:jc w:val="center"/>
      <w:outlineLvl w:val="1"/>
    </w:pPr>
    <w:rPr>
      <w:rFonts w:eastAsia="仿宋" w:asciiTheme="majorHAnsi" w:hAnsiTheme="majorHAnsi" w:cstheme="majorBidi"/>
      <w:b/>
      <w:bCs/>
      <w:kern w:val="28"/>
      <w:sz w:val="24"/>
      <w:szCs w:val="32"/>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uiPriority w:val="9"/>
    <w:rPr>
      <w:b/>
      <w:bCs/>
      <w:kern w:val="44"/>
      <w:sz w:val="32"/>
      <w:szCs w:val="32"/>
    </w:rPr>
  </w:style>
  <w:style w:type="paragraph" w:styleId="12">
    <w:name w:val="List Paragraph"/>
    <w:basedOn w:val="1"/>
    <w:qFormat/>
    <w:uiPriority w:val="34"/>
    <w:pPr>
      <w:ind w:firstLine="420" w:firstLineChars="200"/>
    </w:pPr>
  </w:style>
  <w:style w:type="character" w:customStyle="1" w:styleId="13">
    <w:name w:val="标题 2 Char"/>
    <w:basedOn w:val="10"/>
    <w:link w:val="3"/>
    <w:uiPriority w:val="9"/>
    <w:rPr>
      <w:rFonts w:asciiTheme="minorEastAsia" w:hAnsiTheme="minorEastAsia" w:cstheme="majorBidi"/>
      <w:b/>
      <w:bCs/>
      <w:sz w:val="28"/>
      <w:szCs w:val="28"/>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paragraph" w:customStyle="1" w:styleId="16">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7">
    <w:name w:val="a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副标题 Char"/>
    <w:basedOn w:val="10"/>
    <w:link w:val="7"/>
    <w:qFormat/>
    <w:uiPriority w:val="11"/>
    <w:rPr>
      <w:rFonts w:eastAsia="仿宋" w:asciiTheme="majorHAnsi" w:hAnsiTheme="majorHAnsi" w:cstheme="majorBidi"/>
      <w:b/>
      <w:bCs/>
      <w:kern w:val="28"/>
      <w:sz w:val="24"/>
      <w:szCs w:val="32"/>
    </w:rPr>
  </w:style>
  <w:style w:type="paragraph" w:customStyle="1" w:styleId="19">
    <w:name w:val="正文1"/>
    <w:basedOn w:val="1"/>
    <w:next w:val="1"/>
    <w:qFormat/>
    <w:uiPriority w:val="0"/>
    <w:pPr>
      <w:spacing w:before="156"/>
      <w:ind w:firstLine="510" w:firstLineChars="200"/>
    </w:pPr>
    <w:rPr>
      <w:rFonts w:ascii="Times New Roman" w:hAnsi="Times New Roman" w:eastAsia="宋体" w:cs="Times New Roman"/>
      <w:szCs w:val="24"/>
    </w:rPr>
  </w:style>
  <w:style w:type="paragraph" w:customStyle="1" w:styleId="20">
    <w:name w:val="a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文档结构图 Char"/>
    <w:basedOn w:val="10"/>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5765</Words>
  <Characters>8545</Characters>
  <Lines>65</Lines>
  <Paragraphs>18</Paragraphs>
  <TotalTime>68</TotalTime>
  <ScaleCrop>false</ScaleCrop>
  <LinksUpToDate>false</LinksUpToDate>
  <CharactersWithSpaces>8873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2024-05-23T04:34:00Z</dcterms:created>
  <dc:creator>hero</dc:creator>
  <cp:lastModifiedBy>天天向上</cp:lastModifiedBy>
  <dcterms:modified xsi:type="dcterms:W3CDTF">2024-06-11T00:58:41Z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E7C1B1DB81184B53B4DD11EA4F3700F6_12</vt:lpwstr>
  </property>
</Properties>
</file>