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9CC29">
      <w:pPr>
        <w:pStyle w:val="2"/>
        <w:bidi w:val="0"/>
        <w:rPr>
          <w:rFonts w:hint="eastAsia"/>
          <w:lang w:val="en-US" w:eastAsia="zh-CN"/>
        </w:rPr>
      </w:pPr>
      <w:r>
        <w:rPr>
          <w:rFonts w:hint="eastAsia"/>
          <w:lang w:val="en-US" w:eastAsia="zh-CN"/>
        </w:rPr>
        <w:t>技术要求</w:t>
      </w:r>
    </w:p>
    <w:p w14:paraId="5EB32961">
      <w:pPr>
        <w:spacing w:line="360" w:lineRule="auto"/>
        <w:rPr>
          <w:rFonts w:hint="eastAsia"/>
          <w:sz w:val="24"/>
          <w:lang w:val="en-US" w:eastAsia="zh-CN"/>
        </w:rPr>
      </w:pPr>
      <w:r>
        <w:rPr>
          <w:rFonts w:hint="eastAsia"/>
          <w:sz w:val="24"/>
          <w:lang w:val="en-US" w:eastAsia="zh-CN"/>
        </w:rPr>
        <w:t>1、乙方（即供货方，下同）负责本次设备的安装、上架、配置及策略部署工作，完成医保网、政务网、农保/卫生网、移动5G、社区医院、社区PACS等出口链路的迁移部署工作，包括但不限于物理线路迁移、安全策略部署和调优、设备上线后的安全保障工作。</w:t>
      </w:r>
    </w:p>
    <w:p w14:paraId="74CF301F">
      <w:pPr>
        <w:spacing w:line="360" w:lineRule="auto"/>
        <w:rPr>
          <w:rFonts w:hint="default"/>
          <w:sz w:val="24"/>
          <w:lang w:val="en-US" w:eastAsia="zh-CN"/>
        </w:rPr>
      </w:pPr>
      <w:r>
        <w:rPr>
          <w:rFonts w:hint="eastAsia"/>
          <w:sz w:val="24"/>
          <w:lang w:val="en-US" w:eastAsia="zh-CN"/>
        </w:rPr>
        <w:t>2、详细参数要求如下：</w:t>
      </w:r>
      <w:bookmarkStart w:id="2" w:name="_GoBack"/>
      <w:bookmarkEnd w:id="2"/>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481"/>
        <w:gridCol w:w="5431"/>
      </w:tblGrid>
      <w:tr w14:paraId="1AC1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84" w:type="dxa"/>
          </w:tcPr>
          <w:p w14:paraId="3C0E17B0">
            <w:pPr>
              <w:jc w:val="center"/>
              <w:rPr>
                <w:b/>
                <w:bCs/>
              </w:rPr>
            </w:pPr>
            <w:r>
              <w:rPr>
                <w:rFonts w:hint="eastAsia"/>
                <w:b/>
                <w:bCs/>
              </w:rPr>
              <w:t>品牌、型号</w:t>
            </w:r>
          </w:p>
        </w:tc>
        <w:tc>
          <w:tcPr>
            <w:tcW w:w="1481" w:type="dxa"/>
          </w:tcPr>
          <w:p w14:paraId="7378A7E5">
            <w:pPr>
              <w:jc w:val="center"/>
              <w:rPr>
                <w:b/>
                <w:bCs/>
              </w:rPr>
            </w:pPr>
            <w:r>
              <w:rPr>
                <w:rFonts w:hint="eastAsia"/>
                <w:b/>
                <w:bCs/>
              </w:rPr>
              <w:t>功能及参数指标</w:t>
            </w:r>
          </w:p>
        </w:tc>
        <w:tc>
          <w:tcPr>
            <w:tcW w:w="5431" w:type="dxa"/>
          </w:tcPr>
          <w:p w14:paraId="52591361">
            <w:pPr>
              <w:jc w:val="center"/>
              <w:rPr>
                <w:b/>
                <w:bCs/>
              </w:rPr>
            </w:pPr>
            <w:r>
              <w:rPr>
                <w:rFonts w:hint="eastAsia"/>
                <w:b/>
                <w:bCs/>
              </w:rPr>
              <w:t>详细技术参数</w:t>
            </w:r>
          </w:p>
        </w:tc>
      </w:tr>
      <w:tr w14:paraId="1DF1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84" w:type="dxa"/>
            <w:vMerge w:val="restart"/>
          </w:tcPr>
          <w:p w14:paraId="7449F3BC">
            <w:r>
              <w:t>H3C、SecPath F1000-AI-80</w:t>
            </w:r>
          </w:p>
        </w:tc>
        <w:tc>
          <w:tcPr>
            <w:tcW w:w="1481" w:type="dxa"/>
          </w:tcPr>
          <w:p w14:paraId="500FC4A4">
            <w:r>
              <w:rPr>
                <w:rFonts w:hint="eastAsia"/>
              </w:rPr>
              <w:t>硬件架构</w:t>
            </w:r>
          </w:p>
        </w:tc>
        <w:tc>
          <w:tcPr>
            <w:tcW w:w="5431" w:type="dxa"/>
          </w:tcPr>
          <w:p w14:paraId="41EF7C47">
            <w:r>
              <w:rPr>
                <w:rFonts w:hint="eastAsia"/>
              </w:rPr>
              <w:t>1U机架式设备，具备热插拔冗余电源模块，冗余风扇模块</w:t>
            </w:r>
          </w:p>
        </w:tc>
      </w:tr>
      <w:tr w14:paraId="5D87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4" w:type="dxa"/>
            <w:vMerge w:val="continue"/>
          </w:tcPr>
          <w:p w14:paraId="53AD0CF0"/>
        </w:tc>
        <w:tc>
          <w:tcPr>
            <w:tcW w:w="1481" w:type="dxa"/>
          </w:tcPr>
          <w:p w14:paraId="690F4943">
            <w:r>
              <w:rPr>
                <w:rFonts w:hint="eastAsia"/>
              </w:rPr>
              <w:t>★性能要求</w:t>
            </w:r>
          </w:p>
        </w:tc>
        <w:tc>
          <w:tcPr>
            <w:tcW w:w="5431" w:type="dxa"/>
          </w:tcPr>
          <w:p w14:paraId="5380A270">
            <w:r>
              <w:rPr>
                <w:rFonts w:hint="eastAsia"/>
              </w:rPr>
              <w:t>吞吐量≥</w:t>
            </w:r>
            <w:r>
              <w:t>20</w:t>
            </w:r>
            <w:r>
              <w:rPr>
                <w:rFonts w:hint="eastAsia"/>
              </w:rPr>
              <w:t>Gbps，并发连接数≥</w:t>
            </w:r>
            <w:r>
              <w:t>10</w:t>
            </w:r>
            <w:r>
              <w:rPr>
                <w:rFonts w:hint="eastAsia"/>
              </w:rPr>
              <w:t>00万，新建连接数≥</w:t>
            </w:r>
            <w:r>
              <w:t>15</w:t>
            </w:r>
            <w:r>
              <w:rPr>
                <w:rFonts w:hint="eastAsia"/>
              </w:rPr>
              <w:t>万</w:t>
            </w:r>
          </w:p>
        </w:tc>
      </w:tr>
      <w:tr w14:paraId="1BB7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84" w:type="dxa"/>
            <w:vMerge w:val="continue"/>
          </w:tcPr>
          <w:p w14:paraId="082F4936"/>
        </w:tc>
        <w:tc>
          <w:tcPr>
            <w:tcW w:w="1481" w:type="dxa"/>
          </w:tcPr>
          <w:p w14:paraId="64302CB0">
            <w:r>
              <w:rPr>
                <w:rFonts w:hint="eastAsia"/>
              </w:rPr>
              <w:t>存储</w:t>
            </w:r>
          </w:p>
        </w:tc>
        <w:tc>
          <w:tcPr>
            <w:tcW w:w="5431" w:type="dxa"/>
          </w:tcPr>
          <w:p w14:paraId="2FF41DC5">
            <w:r>
              <w:rPr>
                <w:rFonts w:hint="eastAsia"/>
              </w:rPr>
              <w:t>支持硬盘不小于1T，最大存储支持2T，</w:t>
            </w:r>
          </w:p>
        </w:tc>
      </w:tr>
      <w:tr w14:paraId="7DAE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84" w:type="dxa"/>
            <w:vMerge w:val="continue"/>
          </w:tcPr>
          <w:p w14:paraId="125E9523"/>
        </w:tc>
        <w:tc>
          <w:tcPr>
            <w:tcW w:w="1481" w:type="dxa"/>
          </w:tcPr>
          <w:p w14:paraId="3AB53942">
            <w:r>
              <w:rPr>
                <w:rFonts w:hint="eastAsia"/>
              </w:rPr>
              <w:t>部署模式</w:t>
            </w:r>
          </w:p>
        </w:tc>
        <w:tc>
          <w:tcPr>
            <w:tcW w:w="5431" w:type="dxa"/>
          </w:tcPr>
          <w:p w14:paraId="73960765">
            <w:r>
              <w:rPr>
                <w:rFonts w:hint="eastAsia"/>
              </w:rPr>
              <w:t>支持路由模式、透明（网桥）模式、混合模式。</w:t>
            </w:r>
          </w:p>
        </w:tc>
      </w:tr>
      <w:tr w14:paraId="207A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84" w:type="dxa"/>
            <w:vMerge w:val="continue"/>
          </w:tcPr>
          <w:p w14:paraId="75AB2257"/>
        </w:tc>
        <w:tc>
          <w:tcPr>
            <w:tcW w:w="1481" w:type="dxa"/>
          </w:tcPr>
          <w:p w14:paraId="1398753E">
            <w:r>
              <w:rPr>
                <w:rFonts w:hint="eastAsia"/>
              </w:rPr>
              <w:t>路由实现</w:t>
            </w:r>
          </w:p>
        </w:tc>
        <w:tc>
          <w:tcPr>
            <w:tcW w:w="5431" w:type="dxa"/>
          </w:tcPr>
          <w:p w14:paraId="4E2389D9">
            <w:r>
              <w:rPr>
                <w:rFonts w:hint="eastAsia"/>
              </w:rPr>
              <w:t>实现静态路由、策略路由、RIP、OSPF、BGP等路由协议。</w:t>
            </w:r>
          </w:p>
        </w:tc>
      </w:tr>
      <w:tr w14:paraId="0F0A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4" w:type="dxa"/>
            <w:vMerge w:val="continue"/>
          </w:tcPr>
          <w:p w14:paraId="02706D8F"/>
        </w:tc>
        <w:tc>
          <w:tcPr>
            <w:tcW w:w="1481" w:type="dxa"/>
          </w:tcPr>
          <w:p w14:paraId="3CF8D50D">
            <w:r>
              <w:rPr>
                <w:rFonts w:hint="eastAsia"/>
              </w:rPr>
              <w:t>NAT功能</w:t>
            </w:r>
          </w:p>
        </w:tc>
        <w:tc>
          <w:tcPr>
            <w:tcW w:w="5431" w:type="dxa"/>
          </w:tcPr>
          <w:p w14:paraId="034AD1BB">
            <w:r>
              <w:rPr>
                <w:rFonts w:hint="eastAsia"/>
              </w:rPr>
              <w:t>实现一对一、多对一、多对多等多种形式的NAT，实现DNS、FTP、H.323等多种NAT ALG功能；支持NAT44、NAT46、NAT64、NAT66</w:t>
            </w:r>
          </w:p>
        </w:tc>
      </w:tr>
      <w:tr w14:paraId="699D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4" w:type="dxa"/>
            <w:vMerge w:val="continue"/>
          </w:tcPr>
          <w:p w14:paraId="2A6EB2D5"/>
        </w:tc>
        <w:tc>
          <w:tcPr>
            <w:tcW w:w="1481" w:type="dxa"/>
          </w:tcPr>
          <w:p w14:paraId="5AA91F13">
            <w:r>
              <w:rPr>
                <w:rFonts w:hint="eastAsia"/>
              </w:rPr>
              <w:t>VPN</w:t>
            </w:r>
          </w:p>
        </w:tc>
        <w:tc>
          <w:tcPr>
            <w:tcW w:w="5431" w:type="dxa"/>
          </w:tcPr>
          <w:p w14:paraId="10E03A77">
            <w:r>
              <w:rPr>
                <w:rFonts w:hint="eastAsia"/>
              </w:rPr>
              <w:t>支持IPsec VPN隧道自动建立，无需流量触发；SSL VPN支持IPv6接入方式，包括TCP/WEB接入和IP接入</w:t>
            </w:r>
          </w:p>
        </w:tc>
      </w:tr>
      <w:tr w14:paraId="4776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4" w:type="dxa"/>
            <w:vMerge w:val="continue"/>
          </w:tcPr>
          <w:p w14:paraId="72BB4870"/>
        </w:tc>
        <w:tc>
          <w:tcPr>
            <w:tcW w:w="1481" w:type="dxa"/>
          </w:tcPr>
          <w:p w14:paraId="53A14BEB">
            <w:r>
              <w:rPr>
                <w:rFonts w:hint="eastAsia"/>
              </w:rPr>
              <w:t>SSL VPN</w:t>
            </w:r>
          </w:p>
        </w:tc>
        <w:tc>
          <w:tcPr>
            <w:tcW w:w="5431" w:type="dxa"/>
          </w:tcPr>
          <w:p w14:paraId="498E11B1">
            <w:r>
              <w:rPr>
                <w:rFonts w:hint="eastAsia"/>
              </w:rPr>
              <w:t>SSL VPN支持页面定制功能特性，包括登录页面、交互信息、提示信息的定制功能； 防火墙在SSL VPN页面上修改用户密码</w:t>
            </w:r>
          </w:p>
        </w:tc>
      </w:tr>
      <w:tr w14:paraId="755F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4" w:type="dxa"/>
            <w:vMerge w:val="continue"/>
          </w:tcPr>
          <w:p w14:paraId="4F75F040"/>
        </w:tc>
        <w:tc>
          <w:tcPr>
            <w:tcW w:w="1481" w:type="dxa"/>
          </w:tcPr>
          <w:p w14:paraId="13A71F68">
            <w:r>
              <w:rPr>
                <w:rFonts w:hint="eastAsia"/>
              </w:rPr>
              <w:t>攻击防护</w:t>
            </w:r>
          </w:p>
        </w:tc>
        <w:tc>
          <w:tcPr>
            <w:tcW w:w="5431" w:type="dxa"/>
          </w:tcPr>
          <w:p w14:paraId="28190D76">
            <w:r>
              <w:rPr>
                <w:rFonts w:hint="eastAsia"/>
              </w:rPr>
              <w:t>实现安全区域划分，访问控制列表，配置对象及策略，动态包过滤，黑名单，MAC 和 IP 绑定功能，基于MAC的访问控制列表，802.1q VLAN 透传等功能</w:t>
            </w:r>
          </w:p>
        </w:tc>
      </w:tr>
      <w:tr w14:paraId="623F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4" w:type="dxa"/>
            <w:vMerge w:val="continue"/>
          </w:tcPr>
          <w:p w14:paraId="7E830ABA"/>
        </w:tc>
        <w:tc>
          <w:tcPr>
            <w:tcW w:w="1481" w:type="dxa"/>
            <w:vMerge w:val="restart"/>
          </w:tcPr>
          <w:p w14:paraId="792AB62F">
            <w:r>
              <w:rPr>
                <w:rFonts w:hint="eastAsia"/>
              </w:rPr>
              <w:t>安全策略</w:t>
            </w:r>
          </w:p>
        </w:tc>
        <w:tc>
          <w:tcPr>
            <w:tcW w:w="5431" w:type="dxa"/>
          </w:tcPr>
          <w:p w14:paraId="71A52344">
            <w:r>
              <w:rPr>
                <w:rFonts w:hint="eastAsia"/>
              </w:rPr>
              <w:t>支持基于时间、用户/用户组/安全组、应用层协议、地理位置、IP地址、端口、域名组、分类、接入类型、终端类型、设备组、内容安全统一界面进行安全策略配置</w:t>
            </w:r>
          </w:p>
        </w:tc>
      </w:tr>
      <w:tr w14:paraId="74F7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84" w:type="dxa"/>
            <w:vMerge w:val="continue"/>
          </w:tcPr>
          <w:p w14:paraId="092D06AF"/>
        </w:tc>
        <w:tc>
          <w:tcPr>
            <w:tcW w:w="1481" w:type="dxa"/>
            <w:vMerge w:val="continue"/>
          </w:tcPr>
          <w:p w14:paraId="5407BC03"/>
        </w:tc>
        <w:tc>
          <w:tcPr>
            <w:tcW w:w="5431" w:type="dxa"/>
          </w:tcPr>
          <w:p w14:paraId="04E9A1CC">
            <w:r>
              <w:rPr>
                <w:rFonts w:hint="eastAsia"/>
              </w:rPr>
              <w:t>支持策略风险调优，支持安全策略优化分析，支持策略数冗余及命中分析，支持基于应用风险的自动批量和手动逐条策略调优，可根据流量、应用、风险类型等细粒度展示，并给出总体安全评分，便于用户更好的管理安全策略；</w:t>
            </w:r>
          </w:p>
        </w:tc>
      </w:tr>
      <w:tr w14:paraId="49F4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84" w:type="dxa"/>
            <w:vMerge w:val="continue"/>
          </w:tcPr>
          <w:p w14:paraId="0CE3352E"/>
        </w:tc>
        <w:tc>
          <w:tcPr>
            <w:tcW w:w="1481" w:type="dxa"/>
          </w:tcPr>
          <w:p w14:paraId="374B885D">
            <w:r>
              <w:rPr>
                <w:rFonts w:hint="eastAsia"/>
              </w:rPr>
              <w:t>入侵防御</w:t>
            </w:r>
          </w:p>
        </w:tc>
        <w:tc>
          <w:tcPr>
            <w:tcW w:w="5431" w:type="dxa"/>
          </w:tcPr>
          <w:p w14:paraId="59EC6543">
            <w:r>
              <w:rPr>
                <w:rFonts w:hint="eastAsia"/>
              </w:rPr>
              <w:t>支持基于对包括但不限于操作系统、网络设备、办公软件、网页服务等保护对象的入侵防御策略</w:t>
            </w:r>
          </w:p>
        </w:tc>
      </w:tr>
      <w:tr w14:paraId="7EBF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4" w:type="dxa"/>
            <w:vMerge w:val="continue"/>
          </w:tcPr>
          <w:p w14:paraId="30BB3860"/>
        </w:tc>
        <w:tc>
          <w:tcPr>
            <w:tcW w:w="1481" w:type="dxa"/>
            <w:vMerge w:val="restart"/>
          </w:tcPr>
          <w:p w14:paraId="47DE19B3">
            <w:r>
              <w:rPr>
                <w:rFonts w:hint="eastAsia"/>
              </w:rPr>
              <w:t>防病毒</w:t>
            </w:r>
          </w:p>
        </w:tc>
        <w:tc>
          <w:tcPr>
            <w:tcW w:w="5431" w:type="dxa"/>
          </w:tcPr>
          <w:p w14:paraId="16B828DD">
            <w:r>
              <w:rPr>
                <w:rFonts w:hint="eastAsia"/>
              </w:rPr>
              <w:t>可基于病毒特征进行检测，实现病毒库手动和自动升级，实现病毒日志和报表；防病毒本地库数量600万+</w:t>
            </w:r>
          </w:p>
        </w:tc>
      </w:tr>
      <w:tr w14:paraId="5829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84" w:type="dxa"/>
            <w:vMerge w:val="continue"/>
          </w:tcPr>
          <w:p w14:paraId="65613C9D"/>
        </w:tc>
        <w:tc>
          <w:tcPr>
            <w:tcW w:w="1481" w:type="dxa"/>
            <w:vMerge w:val="continue"/>
          </w:tcPr>
          <w:p w14:paraId="0FA57250"/>
        </w:tc>
        <w:tc>
          <w:tcPr>
            <w:tcW w:w="5431" w:type="dxa"/>
          </w:tcPr>
          <w:p w14:paraId="7BAB4647">
            <w:r>
              <w:rPr>
                <w:rFonts w:hint="eastAsia"/>
              </w:rPr>
              <w:t>发现病毒发送的告警信息，支持用户编辑告警内容；</w:t>
            </w:r>
          </w:p>
        </w:tc>
      </w:tr>
      <w:tr w14:paraId="4742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4" w:type="dxa"/>
            <w:vMerge w:val="continue"/>
          </w:tcPr>
          <w:p w14:paraId="1D43559B"/>
        </w:tc>
        <w:tc>
          <w:tcPr>
            <w:tcW w:w="1481" w:type="dxa"/>
          </w:tcPr>
          <w:p w14:paraId="736B48EA">
            <w:r>
              <w:rPr>
                <w:rFonts w:hint="eastAsia"/>
              </w:rPr>
              <w:t>可靠性</w:t>
            </w:r>
          </w:p>
        </w:tc>
        <w:tc>
          <w:tcPr>
            <w:tcW w:w="5431" w:type="dxa"/>
          </w:tcPr>
          <w:p w14:paraId="4402919F">
            <w:r>
              <w:rPr>
                <w:rFonts w:hint="eastAsia"/>
              </w:rPr>
              <w:t>支持BFD和NQA网络协议，支持基于接口状态和路由状态等多种类型的探测机制来及时触发链路切换或主备切换，保障业务连续性</w:t>
            </w:r>
          </w:p>
        </w:tc>
      </w:tr>
      <w:tr w14:paraId="0B64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4" w:type="dxa"/>
            <w:vMerge w:val="continue"/>
          </w:tcPr>
          <w:p w14:paraId="4941C8E4"/>
        </w:tc>
        <w:tc>
          <w:tcPr>
            <w:tcW w:w="1481" w:type="dxa"/>
          </w:tcPr>
          <w:p w14:paraId="0107DF94">
            <w:r>
              <w:rPr>
                <w:rFonts w:hint="eastAsia"/>
              </w:rPr>
              <w:t>数据安全</w:t>
            </w:r>
          </w:p>
        </w:tc>
        <w:tc>
          <w:tcPr>
            <w:tcW w:w="5431" w:type="dxa"/>
          </w:tcPr>
          <w:p w14:paraId="659779BA">
            <w:r>
              <w:rPr>
                <w:rFonts w:hint="eastAsia"/>
              </w:rPr>
              <w:t>支持数据防泄露，对传输的文件和内容进行识别过滤，对内容与身份证号、信用卡号、银行卡号、手机号等类型进行匹配</w:t>
            </w:r>
          </w:p>
        </w:tc>
      </w:tr>
      <w:tr w14:paraId="4468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4" w:type="dxa"/>
            <w:vMerge w:val="continue"/>
          </w:tcPr>
          <w:p w14:paraId="5FC3E14F"/>
        </w:tc>
        <w:tc>
          <w:tcPr>
            <w:tcW w:w="1481" w:type="dxa"/>
          </w:tcPr>
          <w:p w14:paraId="46F82310">
            <w:r>
              <w:rPr>
                <w:rFonts w:hint="eastAsia"/>
              </w:rPr>
              <w:t>流量控制</w:t>
            </w:r>
          </w:p>
        </w:tc>
        <w:tc>
          <w:tcPr>
            <w:tcW w:w="5431" w:type="dxa"/>
          </w:tcPr>
          <w:p w14:paraId="00579F06">
            <w:r>
              <w:rPr>
                <w:rFonts w:hint="eastAsia"/>
              </w:rPr>
              <w:t>可支持基于应用层协议设置流控策略，包括设置最大带宽、保证带宽、协议流量优先级等。要求支持带宽通道独占以及共享管理模式,支持父子带宽策略。</w:t>
            </w:r>
          </w:p>
        </w:tc>
      </w:tr>
      <w:tr w14:paraId="6F69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84" w:type="dxa"/>
            <w:vMerge w:val="continue"/>
          </w:tcPr>
          <w:p w14:paraId="47C4DE1F"/>
        </w:tc>
        <w:tc>
          <w:tcPr>
            <w:tcW w:w="1481" w:type="dxa"/>
          </w:tcPr>
          <w:p w14:paraId="65C345F3">
            <w:r>
              <w:rPr>
                <w:rFonts w:hint="eastAsia"/>
              </w:rPr>
              <w:t>IPv6</w:t>
            </w:r>
          </w:p>
        </w:tc>
        <w:tc>
          <w:tcPr>
            <w:tcW w:w="5431" w:type="dxa"/>
          </w:tcPr>
          <w:p w14:paraId="3C6780EA">
            <w:r>
              <w:rPr>
                <w:rFonts w:hint="eastAsia"/>
              </w:rPr>
              <w:t>支持IPv6路由协议（静态路由，BGP4+，OSPFv3，RIPng）、IPv6对象及策略、IPv6状态防火墙、IPv6攻击防范、IPv6 GRE/IPsec VPN、IPv6日志审计、IPv6会话热备等功能。</w:t>
            </w:r>
          </w:p>
        </w:tc>
      </w:tr>
      <w:tr w14:paraId="6B4D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84" w:type="dxa"/>
            <w:vMerge w:val="continue"/>
          </w:tcPr>
          <w:p w14:paraId="2CEFD92E"/>
        </w:tc>
        <w:tc>
          <w:tcPr>
            <w:tcW w:w="1481" w:type="dxa"/>
          </w:tcPr>
          <w:p w14:paraId="6C853DF8">
            <w:r>
              <w:rPr>
                <w:rFonts w:hint="eastAsia"/>
              </w:rPr>
              <w:t>负载均衡</w:t>
            </w:r>
          </w:p>
        </w:tc>
        <w:tc>
          <w:tcPr>
            <w:tcW w:w="5431" w:type="dxa"/>
          </w:tcPr>
          <w:p w14:paraId="3A8472E1">
            <w:r>
              <w:rPr>
                <w:rFonts w:hint="eastAsia"/>
              </w:rPr>
              <w:t>支持DNS透明代理功能，可基于负载均衡算法代理内网用户进行DNS请求转发，避免单运营商DNS解析出现单一链路流量过载，平衡多条运营商线路的带宽利用率；</w:t>
            </w:r>
          </w:p>
        </w:tc>
      </w:tr>
      <w:tr w14:paraId="204E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84" w:type="dxa"/>
            <w:vMerge w:val="continue"/>
          </w:tcPr>
          <w:p w14:paraId="0EA0C960"/>
        </w:tc>
        <w:tc>
          <w:tcPr>
            <w:tcW w:w="1481" w:type="dxa"/>
          </w:tcPr>
          <w:p w14:paraId="0B24473E">
            <w:r>
              <w:rPr>
                <w:rFonts w:hint="eastAsia"/>
              </w:rPr>
              <w:t>DDoS防护</w:t>
            </w:r>
          </w:p>
        </w:tc>
        <w:tc>
          <w:tcPr>
            <w:tcW w:w="5431" w:type="dxa"/>
          </w:tcPr>
          <w:p w14:paraId="505455E8">
            <w:r>
              <w:rPr>
                <w:rFonts w:hint="eastAsia"/>
              </w:rPr>
              <w:t>支持流量自学习功能，可设置自学习时间，并自动生成DDoS防范策略；</w:t>
            </w:r>
          </w:p>
        </w:tc>
      </w:tr>
      <w:tr w14:paraId="3DBE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84" w:type="dxa"/>
            <w:vMerge w:val="continue"/>
          </w:tcPr>
          <w:p w14:paraId="4E6D3213"/>
        </w:tc>
        <w:tc>
          <w:tcPr>
            <w:tcW w:w="1481" w:type="dxa"/>
          </w:tcPr>
          <w:p w14:paraId="40A73AC8">
            <w:r>
              <w:rPr>
                <w:rFonts w:hint="eastAsia"/>
              </w:rPr>
              <w:t>诊断中心</w:t>
            </w:r>
          </w:p>
        </w:tc>
        <w:tc>
          <w:tcPr>
            <w:tcW w:w="5431" w:type="dxa"/>
          </w:tcPr>
          <w:p w14:paraId="32B5C4BD">
            <w:r>
              <w:rPr>
                <w:rFonts w:hint="eastAsia"/>
              </w:rPr>
              <w:t>支持报文示踪功能，支持真实流量、导入报文、构造报文等方式，用于分析和追踪设备中各个安全业务模块（如：攻击防范、uRPF、会话管理和连接数限制等）对报文的处理过程，通过查看报文示踪记录的详细信息，有利于管理员对网络故障的快速排查和定位；</w:t>
            </w:r>
          </w:p>
        </w:tc>
      </w:tr>
      <w:tr w14:paraId="4974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84" w:type="dxa"/>
            <w:vMerge w:val="continue"/>
          </w:tcPr>
          <w:p w14:paraId="574417F8"/>
        </w:tc>
        <w:tc>
          <w:tcPr>
            <w:tcW w:w="1481" w:type="dxa"/>
          </w:tcPr>
          <w:p w14:paraId="0DB00C93">
            <w:r>
              <w:rPr>
                <w:rFonts w:hint="eastAsia"/>
              </w:rPr>
              <w:t>虚拟化能力</w:t>
            </w:r>
          </w:p>
        </w:tc>
        <w:tc>
          <w:tcPr>
            <w:tcW w:w="5431" w:type="dxa"/>
          </w:tcPr>
          <w:p w14:paraId="0E680637">
            <w:r>
              <w:rPr>
                <w:rFonts w:hint="eastAsia"/>
              </w:rPr>
              <w:t>支持虚拟防火墙功能：支持虚拟防火墙的创建、启动、关闭、删除功能；可独立分配CPU/内存等计算资源；虚拟防火墙可独立管理，独立保存配置；虚拟防火墙具备独立会话管理、NAT、路由等功能；</w:t>
            </w:r>
          </w:p>
        </w:tc>
      </w:tr>
      <w:tr w14:paraId="251F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4" w:type="dxa"/>
            <w:vMerge w:val="continue"/>
          </w:tcPr>
          <w:p w14:paraId="721F7912"/>
        </w:tc>
        <w:tc>
          <w:tcPr>
            <w:tcW w:w="1481" w:type="dxa"/>
          </w:tcPr>
          <w:p w14:paraId="5DA33BAF">
            <w:bookmarkStart w:id="0" w:name="OLE_LINK1"/>
            <w:bookmarkStart w:id="1" w:name="OLE_LINK2"/>
            <w:r>
              <w:rPr>
                <w:rFonts w:hint="eastAsia"/>
              </w:rPr>
              <w:t>▲</w:t>
            </w:r>
            <w:bookmarkEnd w:id="0"/>
            <w:bookmarkEnd w:id="1"/>
            <w:r>
              <w:rPr>
                <w:rFonts w:hint="eastAsia"/>
              </w:rPr>
              <w:t>配置要求</w:t>
            </w:r>
          </w:p>
        </w:tc>
        <w:tc>
          <w:tcPr>
            <w:tcW w:w="5431" w:type="dxa"/>
          </w:tcPr>
          <w:p w14:paraId="61D1D9D4">
            <w:r>
              <w:rPr>
                <w:rFonts w:hint="eastAsia"/>
              </w:rPr>
              <w:t>实配≥1</w:t>
            </w:r>
            <w:r>
              <w:t>4</w:t>
            </w:r>
            <w:r>
              <w:rPr>
                <w:rFonts w:hint="eastAsia"/>
              </w:rPr>
              <w:t>个千兆电接口，≥</w:t>
            </w:r>
            <w:r>
              <w:t>8</w:t>
            </w:r>
            <w:r>
              <w:rPr>
                <w:rFonts w:hint="eastAsia"/>
              </w:rPr>
              <w:t>个千兆光接口，≥</w:t>
            </w:r>
            <w:r>
              <w:t>8</w:t>
            </w:r>
            <w:r>
              <w:rPr>
                <w:rFonts w:hint="eastAsia"/>
              </w:rPr>
              <w:t>个万兆光接口，配置双电源、≥1块4</w:t>
            </w:r>
            <w:r>
              <w:t>80G SSD</w:t>
            </w:r>
            <w:r>
              <w:rPr>
                <w:rFonts w:hint="eastAsia"/>
              </w:rPr>
              <w:t>硬盘，三年IPS-AV特征库升级服务</w:t>
            </w:r>
          </w:p>
        </w:tc>
      </w:tr>
      <w:tr w14:paraId="49F7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4" w:type="dxa"/>
            <w:vMerge w:val="continue"/>
          </w:tcPr>
          <w:p w14:paraId="070E107B"/>
        </w:tc>
        <w:tc>
          <w:tcPr>
            <w:tcW w:w="1481" w:type="dxa"/>
          </w:tcPr>
          <w:p w14:paraId="099BF040">
            <w:r>
              <w:rPr>
                <w:rFonts w:hint="eastAsia"/>
              </w:rPr>
              <w:t>▲服务要求</w:t>
            </w:r>
          </w:p>
        </w:tc>
        <w:tc>
          <w:tcPr>
            <w:tcW w:w="5431" w:type="dxa"/>
          </w:tcPr>
          <w:p w14:paraId="0DE1D3A2">
            <w:r>
              <w:rPr>
                <w:rFonts w:hint="eastAsia"/>
              </w:rPr>
              <w:t>原厂三年技术支持服务</w:t>
            </w:r>
          </w:p>
        </w:tc>
      </w:tr>
    </w:tbl>
    <w:p w14:paraId="71F5A09D">
      <w:pPr>
        <w:pStyle w:val="2"/>
        <w:bidi w:val="0"/>
        <w:rPr>
          <w:rFonts w:hint="default"/>
          <w:lang w:val="en-US" w:eastAsia="zh-CN"/>
        </w:rPr>
      </w:pPr>
      <w:r>
        <w:rPr>
          <w:rFonts w:hint="eastAsia"/>
          <w:lang w:val="en-US" w:eastAsia="zh-CN"/>
        </w:rPr>
        <w:t>商务要求</w:t>
      </w:r>
    </w:p>
    <w:p w14:paraId="7F6E8643">
      <w:pPr>
        <w:spacing w:line="360" w:lineRule="auto"/>
        <w:rPr>
          <w:rFonts w:hint="default" w:eastAsiaTheme="minorEastAsia"/>
          <w:sz w:val="24"/>
          <w:lang w:val="en-US" w:eastAsia="zh-CN"/>
        </w:rPr>
      </w:pPr>
      <w:r>
        <w:rPr>
          <w:rFonts w:hint="eastAsia"/>
          <w:sz w:val="24"/>
          <w:lang w:val="en-US" w:eastAsia="zh-CN"/>
        </w:rPr>
        <w:t>1</w:t>
      </w:r>
      <w:r>
        <w:rPr>
          <w:rFonts w:hint="eastAsia"/>
          <w:sz w:val="24"/>
        </w:rPr>
        <w:t xml:space="preserve">、交货日期：合同签定后10个工作日送货上门、安装调试完毕。 (1) </w:t>
      </w:r>
      <w:r>
        <w:rPr>
          <w:rFonts w:hint="eastAsia"/>
          <w:sz w:val="24"/>
          <w:lang w:val="en-US" w:eastAsia="zh-CN"/>
        </w:rPr>
        <w:t>乙方</w:t>
      </w:r>
      <w:r>
        <w:rPr>
          <w:rFonts w:hint="eastAsia"/>
          <w:sz w:val="24"/>
        </w:rPr>
        <w:t>需保证投标设备均为原厂原货，均是全新未使用过的。生产日期均需晚于招标日期，如验收过程中发现相关配置非原厂出厂配置，院方有权拒绝接收。（2）质保期：设备原厂免费质保三年，原厂保修服务内容必须是其标准的产品服务和投标承诺的服务，且在原厂官网可查</w:t>
      </w:r>
      <w:r>
        <w:rPr>
          <w:rFonts w:hint="eastAsia"/>
          <w:sz w:val="24"/>
          <w:lang w:eastAsia="zh-CN"/>
        </w:rPr>
        <w:t>，</w:t>
      </w:r>
      <w:r>
        <w:rPr>
          <w:rFonts w:hint="eastAsia"/>
          <w:sz w:val="24"/>
          <w:lang w:val="en-US" w:eastAsia="zh-CN"/>
        </w:rPr>
        <w:t>最终用户为舟山市普陀区人民医院。</w:t>
      </w:r>
    </w:p>
    <w:p w14:paraId="4CAB9E99">
      <w:pPr>
        <w:spacing w:line="360" w:lineRule="auto"/>
        <w:rPr>
          <w:rFonts w:hint="default" w:eastAsiaTheme="minorEastAsia"/>
          <w:b/>
          <w:bCs/>
          <w:sz w:val="24"/>
          <w:lang w:val="en-US" w:eastAsia="zh-CN"/>
        </w:rPr>
      </w:pPr>
      <w:r>
        <w:rPr>
          <w:rFonts w:hint="eastAsia"/>
          <w:b/>
          <w:bCs/>
          <w:sz w:val="24"/>
          <w:lang w:val="en-US" w:eastAsia="zh-CN"/>
        </w:rPr>
        <w:t>2</w:t>
      </w:r>
      <w:r>
        <w:rPr>
          <w:rFonts w:hint="eastAsia"/>
          <w:b/>
          <w:bCs/>
          <w:sz w:val="24"/>
        </w:rPr>
        <w:t>、整机原厂免费保修3年，签订合同前</w:t>
      </w:r>
      <w:r>
        <w:rPr>
          <w:rFonts w:hint="eastAsia"/>
          <w:b/>
          <w:bCs/>
          <w:sz w:val="24"/>
          <w:lang w:val="en-US" w:eastAsia="zh-CN"/>
        </w:rPr>
        <w:t>需</w:t>
      </w:r>
      <w:r>
        <w:rPr>
          <w:rFonts w:hint="eastAsia"/>
          <w:b/>
          <w:bCs/>
          <w:sz w:val="24"/>
        </w:rPr>
        <w:t>提供原厂3年质保函原件</w:t>
      </w:r>
      <w:r>
        <w:rPr>
          <w:rFonts w:hint="eastAsia"/>
          <w:b/>
          <w:bCs/>
          <w:sz w:val="24"/>
          <w:lang w:eastAsia="zh-CN"/>
        </w:rPr>
        <w:t>，</w:t>
      </w:r>
      <w:r>
        <w:rPr>
          <w:rFonts w:hint="eastAsia"/>
          <w:b/>
          <w:bCs/>
          <w:sz w:val="24"/>
          <w:lang w:val="en-US" w:eastAsia="zh-CN"/>
        </w:rPr>
        <w:t>本次项目的反向竞价结果公布后，乙方需出示相关设备的原厂商质保函，如乙方无法提供院方有权利拒绝签订合同。</w:t>
      </w:r>
    </w:p>
    <w:p w14:paraId="1AFE8610">
      <w:pPr>
        <w:spacing w:line="360" w:lineRule="auto"/>
        <w:rPr>
          <w:rFonts w:hint="default"/>
          <w:sz w:val="24"/>
          <w:lang w:val="en-US" w:eastAsia="zh-CN"/>
        </w:rPr>
      </w:pPr>
      <w:r>
        <w:rPr>
          <w:rFonts w:hint="eastAsia"/>
          <w:sz w:val="24"/>
          <w:lang w:val="en-US" w:eastAsia="zh-CN"/>
        </w:rPr>
        <w:t>3、乙方需提供其单位的营业执照，ISO9001 质量管理体系、ISO20000 信息技术服务管理体系、ISO27001 信息安全管理体系认证证书，证明其技术、管理水平足以高质量完成本项目的建设。</w:t>
      </w:r>
    </w:p>
    <w:p w14:paraId="198339C6">
      <w:pPr>
        <w:pStyle w:val="6"/>
        <w:spacing w:line="360" w:lineRule="auto"/>
        <w:ind w:left="0" w:right="0" w:firstLine="0"/>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4、乙方需组建结构合理的项目团队（3 人及以上），保证高质量完成本项目的建设。项目团队所有成员近6月内需在乙方单位缴纳社保。其中3人成员均需拥有人力资源和社会保障部、工业和信息化部颁发的计算机技术与软件专业技术资格证书（中级及以上）。</w:t>
      </w:r>
    </w:p>
    <w:p w14:paraId="3AD82C09">
      <w:pPr>
        <w:pStyle w:val="6"/>
        <w:spacing w:line="360" w:lineRule="auto"/>
        <w:ind w:left="0" w:right="0" w:firstLine="0"/>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5、培训：（1）乙方应对甲方的操作人员、维修人员免费进行培训；（2）乙方应提供相应的培训计划；（3）乙方应对上述内容的实现方式、地点、人数、时间在响应文件中详细说明。</w:t>
      </w:r>
    </w:p>
    <w:p w14:paraId="0621920D">
      <w:pPr>
        <w:pStyle w:val="6"/>
        <w:spacing w:line="360" w:lineRule="auto"/>
        <w:ind w:left="0" w:right="0" w:firstLine="0"/>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6、巡检：提供每季度一次例行巡检即预防性维护并提供例行巡检报告。提供每季度一次的系统运行性能诊断并提供性能分析报告。</w:t>
      </w:r>
    </w:p>
    <w:p w14:paraId="79C1639F">
      <w:pPr>
        <w:pStyle w:val="6"/>
        <w:spacing w:line="360" w:lineRule="auto"/>
        <w:ind w:left="0" w:right="0" w:firstLine="0"/>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7、变更：若项目中设备需要更改放置地点，提供技术专家和工程师到院方指定现场，配合提供该项目维护范围内设备的搬迁技术支持服务和必要的现场配合。</w:t>
      </w:r>
    </w:p>
    <w:p w14:paraId="163B7086">
      <w:pPr>
        <w:pStyle w:val="6"/>
        <w:spacing w:line="360" w:lineRule="auto"/>
        <w:ind w:left="0" w:right="0" w:firstLine="0"/>
        <w:rPr>
          <w:rFonts w:hint="eastAsia" w:asciiTheme="minorHAnsi" w:hAnsiTheme="minorHAnsi" w:eastAsiaTheme="minorEastAsia" w:cstheme="minorBidi"/>
          <w:kern w:val="2"/>
          <w:sz w:val="24"/>
          <w:szCs w:val="22"/>
          <w:lang w:val="en-US" w:eastAsia="zh-CN" w:bidi="ar-SA"/>
        </w:rPr>
      </w:pPr>
    </w:p>
    <w:p w14:paraId="7ED76FED">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汉仪大黑简">
    <w:panose1 w:val="02010600000101010101"/>
    <w:charset w:val="86"/>
    <w:family w:val="auto"/>
    <w:pitch w:val="default"/>
    <w:sig w:usb0="00000001" w:usb1="080E0800" w:usb2="00000002"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pStyle w:val="24"/>
      <w:suff w:val="space"/>
      <w:lvlText w:val="%1. "/>
      <w:lvlJc w:val="left"/>
      <w:pPr>
        <w:ind w:left="1179" w:hanging="907"/>
      </w:pPr>
    </w:lvl>
    <w:lvl w:ilvl="1" w:tentative="0">
      <w:start w:val="1"/>
      <w:numFmt w:val="decimal"/>
      <w:pStyle w:val="25"/>
      <w:isLgl/>
      <w:suff w:val="space"/>
      <w:lvlText w:val="%1.%2 "/>
      <w:lvlJc w:val="left"/>
      <w:pPr>
        <w:ind w:left="1362" w:hanging="794"/>
      </w:pPr>
    </w:lvl>
    <w:lvl w:ilvl="2" w:tentative="0">
      <w:start w:val="1"/>
      <w:numFmt w:val="decimal"/>
      <w:pStyle w:val="26"/>
      <w:isLgl/>
      <w:suff w:val="space"/>
      <w:lvlText w:val="%1.%2.%3 "/>
      <w:lvlJc w:val="left"/>
      <w:pPr>
        <w:ind w:left="907" w:hanging="907"/>
      </w:pPr>
    </w:lvl>
    <w:lvl w:ilvl="3" w:tentative="0">
      <w:start w:val="1"/>
      <w:numFmt w:val="decimal"/>
      <w:pStyle w:val="28"/>
      <w:isLgl/>
      <w:suff w:val="space"/>
      <w:lvlText w:val="%1.%2.%3.%4 "/>
      <w:lvlJc w:val="left"/>
      <w:pPr>
        <w:ind w:left="1021" w:hanging="1021"/>
      </w:pPr>
    </w:lvl>
    <w:lvl w:ilvl="4" w:tentative="0">
      <w:start w:val="1"/>
      <w:numFmt w:val="decimal"/>
      <w:pStyle w:val="29"/>
      <w:isLgl/>
      <w:suff w:val="space"/>
      <w:lvlText w:val="%1.%2.%3.%4.%5 "/>
      <w:lvlJc w:val="left"/>
      <w:pPr>
        <w:ind w:left="1134" w:hanging="1134"/>
      </w:pPr>
    </w:lvl>
    <w:lvl w:ilvl="5" w:tentative="0">
      <w:start w:val="1"/>
      <w:numFmt w:val="decimal"/>
      <w:pStyle w:val="30"/>
      <w:isLgl/>
      <w:suff w:val="space"/>
      <w:lvlText w:val="%1.%2.%3.%4.%5.%6 "/>
      <w:lvlJc w:val="left"/>
      <w:pPr>
        <w:ind w:left="1247" w:hanging="1247"/>
      </w:pPr>
    </w:lvl>
    <w:lvl w:ilvl="6" w:tentative="0">
      <w:start w:val="1"/>
      <w:numFmt w:val="decimal"/>
      <w:lvlRestart w:val="1"/>
      <w:isLgl/>
      <w:suff w:val="space"/>
      <w:lvlText w:val="图 %1.%7 "/>
      <w:lvlJc w:val="left"/>
      <w:pPr>
        <w:ind w:left="0" w:firstLine="0"/>
      </w:pPr>
    </w:lvl>
    <w:lvl w:ilvl="7" w:tentative="0">
      <w:start w:val="1"/>
      <w:numFmt w:val="decimal"/>
      <w:lvlRestart w:val="1"/>
      <w:isLgl/>
      <w:suff w:val="space"/>
      <w:lvlText w:val="表 %1.%8 "/>
      <w:lvlJc w:val="left"/>
      <w:pPr>
        <w:ind w:left="0" w:firstLine="0"/>
      </w:pPr>
    </w:lvl>
    <w:lvl w:ilvl="8" w:tentative="0">
      <w:start w:val="1"/>
      <w:numFmt w:val="none"/>
      <w:suff w:val="nothing"/>
      <w:lvlText w:val=""/>
      <w:lvlJc w:val="left"/>
      <w:pPr>
        <w:ind w:left="0" w:firstLine="0"/>
      </w:pPr>
    </w:lvl>
  </w:abstractNum>
  <w:abstractNum w:abstractNumId="1">
    <w:nsid w:val="66BECC5C"/>
    <w:multiLevelType w:val="singleLevel"/>
    <w:tmpl w:val="66BECC5C"/>
    <w:lvl w:ilvl="0" w:tentative="0">
      <w:start w:val="1"/>
      <w:numFmt w:val="decimal"/>
      <w:pStyle w:val="2"/>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42"/>
    <w:rsid w:val="000E3814"/>
    <w:rsid w:val="001B5313"/>
    <w:rsid w:val="002621A4"/>
    <w:rsid w:val="00277E11"/>
    <w:rsid w:val="002F4027"/>
    <w:rsid w:val="00452F90"/>
    <w:rsid w:val="00492479"/>
    <w:rsid w:val="0051396E"/>
    <w:rsid w:val="0073240C"/>
    <w:rsid w:val="007A008F"/>
    <w:rsid w:val="00834688"/>
    <w:rsid w:val="00895D1A"/>
    <w:rsid w:val="008A4C42"/>
    <w:rsid w:val="00902568"/>
    <w:rsid w:val="00906616"/>
    <w:rsid w:val="00A00020"/>
    <w:rsid w:val="00B03E3B"/>
    <w:rsid w:val="00B21904"/>
    <w:rsid w:val="00BB6E4C"/>
    <w:rsid w:val="00BD2B1F"/>
    <w:rsid w:val="00D20E97"/>
    <w:rsid w:val="00DD1FC8"/>
    <w:rsid w:val="00DF3937"/>
    <w:rsid w:val="00F6150F"/>
    <w:rsid w:val="00F718AA"/>
    <w:rsid w:val="041601FC"/>
    <w:rsid w:val="05937A34"/>
    <w:rsid w:val="1A1B5E24"/>
    <w:rsid w:val="1F2A2C2F"/>
    <w:rsid w:val="3B541FE4"/>
    <w:rsid w:val="4EF17B47"/>
    <w:rsid w:val="55187D50"/>
    <w:rsid w:val="56A75E3B"/>
    <w:rsid w:val="64AA19B4"/>
    <w:rsid w:val="6F7C56F5"/>
    <w:rsid w:val="7F9A6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numPr>
        <w:ilvl w:val="0"/>
        <w:numId w:val="1"/>
      </w:numPr>
      <w:spacing w:before="340" w:after="330" w:line="578" w:lineRule="auto"/>
      <w:outlineLvl w:val="0"/>
    </w:pPr>
    <w:rPr>
      <w:rFonts w:asciiTheme="minorAscii" w:hAnsiTheme="minorAscii"/>
      <w:b/>
      <w:bCs/>
      <w:kern w:val="44"/>
      <w:sz w:val="44"/>
      <w:szCs w:val="44"/>
    </w:rPr>
  </w:style>
  <w:style w:type="paragraph" w:styleId="3">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6">
    <w:name w:val="Body Text"/>
    <w:basedOn w:val="1"/>
    <w:semiHidden/>
    <w:qFormat/>
    <w:uiPriority w:val="0"/>
    <w:rPr>
      <w:rFonts w:ascii="宋体" w:hAnsi="宋体" w:eastAsia="宋体" w:cs="宋体"/>
      <w:sz w:val="20"/>
      <w:szCs w:val="20"/>
      <w:lang w:val="en-US" w:eastAsia="en-US" w:bidi="ar-SA"/>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标题 1（洛）"/>
    <w:basedOn w:val="2"/>
    <w:next w:val="11"/>
    <w:autoRedefine/>
    <w:qFormat/>
    <w:uiPriority w:val="0"/>
    <w:pPr>
      <w:pageBreakBefore/>
      <w:spacing w:before="600" w:line="360" w:lineRule="auto"/>
      <w:jc w:val="left"/>
    </w:pPr>
    <w:rPr>
      <w:rFonts w:ascii="Arial" w:hAnsi="Arial" w:eastAsia="汉仪大黑简" w:cs="Times New Roman"/>
      <w:color w:val="000000" w:themeColor="text1"/>
      <w:sz w:val="36"/>
      <w14:textFill>
        <w14:solidFill>
          <w14:schemeClr w14:val="tx1"/>
        </w14:solidFill>
      </w14:textFill>
    </w:rPr>
  </w:style>
  <w:style w:type="paragraph" w:customStyle="1" w:styleId="11">
    <w:name w:val="正文（洛）"/>
    <w:basedOn w:val="1"/>
    <w:qFormat/>
    <w:uiPriority w:val="0"/>
    <w:pPr>
      <w:widowControl/>
      <w:spacing w:after="160" w:line="360" w:lineRule="auto"/>
      <w:ind w:firstLine="480" w:firstLineChars="200"/>
      <w:jc w:val="left"/>
    </w:pPr>
    <w:rPr>
      <w:rFonts w:ascii="Times New Roman" w:hAnsi="Times New Roman" w:eastAsia="仿宋" w:cs="Times New Roman"/>
      <w:color w:val="000000"/>
      <w:kern w:val="0"/>
      <w:sz w:val="24"/>
      <w:szCs w:val="24"/>
    </w:rPr>
  </w:style>
  <w:style w:type="character" w:customStyle="1" w:styleId="12">
    <w:name w:val="标题 1 Char"/>
    <w:basedOn w:val="9"/>
    <w:link w:val="2"/>
    <w:qFormat/>
    <w:uiPriority w:val="9"/>
    <w:rPr>
      <w:rFonts w:asciiTheme="minorAscii" w:hAnsiTheme="minorAscii" w:eastAsiaTheme="minorEastAsia"/>
      <w:b/>
      <w:bCs/>
      <w:kern w:val="44"/>
      <w:sz w:val="44"/>
      <w:szCs w:val="44"/>
    </w:rPr>
  </w:style>
  <w:style w:type="paragraph" w:customStyle="1" w:styleId="13">
    <w:name w:val="标题 2（洛）"/>
    <w:basedOn w:val="3"/>
    <w:next w:val="11"/>
    <w:autoRedefine/>
    <w:qFormat/>
    <w:uiPriority w:val="0"/>
    <w:pPr>
      <w:spacing w:line="413" w:lineRule="auto"/>
      <w:ind w:right="100" w:rightChars="100"/>
      <w:jc w:val="left"/>
    </w:pPr>
    <w:rPr>
      <w:rFonts w:ascii="Arial" w:hAnsi="Arial" w:eastAsia="黑体" w:cs="Times New Roman"/>
      <w:bCs w:val="0"/>
    </w:rPr>
  </w:style>
  <w:style w:type="character" w:customStyle="1" w:styleId="14">
    <w:name w:val="标题 2 Char"/>
    <w:basedOn w:val="9"/>
    <w:link w:val="3"/>
    <w:semiHidden/>
    <w:uiPriority w:val="9"/>
    <w:rPr>
      <w:rFonts w:asciiTheme="majorHAnsi" w:hAnsiTheme="majorHAnsi" w:eastAsiaTheme="majorEastAsia" w:cstheme="majorBidi"/>
      <w:b/>
      <w:bCs/>
      <w:sz w:val="32"/>
      <w:szCs w:val="32"/>
    </w:rPr>
  </w:style>
  <w:style w:type="paragraph" w:customStyle="1" w:styleId="15">
    <w:name w:val="标题 3（洛）"/>
    <w:basedOn w:val="4"/>
    <w:next w:val="11"/>
    <w:link w:val="16"/>
    <w:autoRedefine/>
    <w:qFormat/>
    <w:uiPriority w:val="0"/>
    <w:pPr>
      <w:tabs>
        <w:tab w:val="left" w:pos="960"/>
      </w:tabs>
      <w:spacing w:line="412" w:lineRule="auto"/>
      <w:jc w:val="left"/>
    </w:pPr>
    <w:rPr>
      <w:rFonts w:ascii="Arial" w:hAnsi="Arial" w:eastAsia="黑体" w:cs="Times New Roman"/>
      <w:bCs w:val="0"/>
      <w:kern w:val="0"/>
      <w:sz w:val="30"/>
      <w:szCs w:val="30"/>
    </w:rPr>
  </w:style>
  <w:style w:type="character" w:customStyle="1" w:styleId="16">
    <w:name w:val="标题 3（洛） Char"/>
    <w:link w:val="15"/>
    <w:qFormat/>
    <w:uiPriority w:val="0"/>
    <w:rPr>
      <w:rFonts w:ascii="Arial" w:hAnsi="Arial" w:eastAsia="黑体" w:cs="Times New Roman"/>
      <w:b/>
      <w:kern w:val="0"/>
      <w:sz w:val="30"/>
      <w:szCs w:val="30"/>
    </w:rPr>
  </w:style>
  <w:style w:type="character" w:customStyle="1" w:styleId="17">
    <w:name w:val="标题 3 Char"/>
    <w:basedOn w:val="9"/>
    <w:link w:val="4"/>
    <w:semiHidden/>
    <w:uiPriority w:val="9"/>
    <w:rPr>
      <w:b/>
      <w:bCs/>
      <w:sz w:val="32"/>
      <w:szCs w:val="32"/>
    </w:rPr>
  </w:style>
  <w:style w:type="paragraph" w:customStyle="1" w:styleId="18">
    <w:name w:val="标题 4（洛）"/>
    <w:basedOn w:val="5"/>
    <w:next w:val="11"/>
    <w:autoRedefine/>
    <w:qFormat/>
    <w:uiPriority w:val="0"/>
    <w:pPr>
      <w:widowControl/>
      <w:spacing w:after="156" w:line="374" w:lineRule="auto"/>
      <w:jc w:val="left"/>
    </w:pPr>
    <w:rPr>
      <w:rFonts w:ascii="Arial" w:hAnsi="Arial" w:eastAsia="黑体" w:cs="Times New Roman"/>
      <w:bCs w:val="0"/>
      <w:kern w:val="0"/>
    </w:rPr>
  </w:style>
  <w:style w:type="character" w:customStyle="1" w:styleId="19">
    <w:name w:val="标题 4 Char"/>
    <w:basedOn w:val="9"/>
    <w:link w:val="5"/>
    <w:semiHidden/>
    <w:qFormat/>
    <w:uiPriority w:val="9"/>
    <w:rPr>
      <w:rFonts w:asciiTheme="majorHAnsi" w:hAnsiTheme="majorHAnsi" w:eastAsiaTheme="majorEastAsia" w:cstheme="majorBidi"/>
      <w:b/>
      <w:bCs/>
      <w:sz w:val="28"/>
      <w:szCs w:val="28"/>
    </w:rPr>
  </w:style>
  <w:style w:type="paragraph" w:customStyle="1" w:styleId="20">
    <w:name w:val="标题 5（洛）"/>
    <w:basedOn w:val="1"/>
    <w:next w:val="11"/>
    <w:autoRedefine/>
    <w:qFormat/>
    <w:uiPriority w:val="0"/>
    <w:pPr>
      <w:keepNext/>
      <w:keepLines/>
      <w:spacing w:before="280" w:after="156" w:line="376" w:lineRule="auto"/>
      <w:jc w:val="left"/>
      <w:outlineLvl w:val="4"/>
    </w:pPr>
    <w:rPr>
      <w:rFonts w:ascii="Arial" w:hAnsi="Arial" w:eastAsia="黑体" w:cs="Times New Roman"/>
      <w:b/>
      <w:kern w:val="0"/>
      <w:sz w:val="24"/>
      <w:szCs w:val="28"/>
    </w:rPr>
  </w:style>
  <w:style w:type="paragraph" w:customStyle="1" w:styleId="21">
    <w:name w:val="标题 6（洛）"/>
    <w:basedOn w:val="1"/>
    <w:next w:val="11"/>
    <w:autoRedefine/>
    <w:qFormat/>
    <w:uiPriority w:val="0"/>
    <w:pPr>
      <w:keepNext/>
      <w:keepLines/>
      <w:spacing w:before="240" w:after="64" w:line="316" w:lineRule="auto"/>
      <w:jc w:val="left"/>
      <w:outlineLvl w:val="5"/>
    </w:pPr>
    <w:rPr>
      <w:rFonts w:ascii="Arial" w:hAnsi="Arial" w:eastAsia="黑体" w:cs="Times New Roman"/>
      <w:b/>
      <w:kern w:val="0"/>
      <w:szCs w:val="24"/>
    </w:rPr>
  </w:style>
  <w:style w:type="paragraph" w:customStyle="1" w:styleId="22">
    <w:name w:val="图表（洛）"/>
    <w:basedOn w:val="1"/>
    <w:link w:val="23"/>
    <w:autoRedefine/>
    <w:qFormat/>
    <w:uiPriority w:val="0"/>
    <w:pPr>
      <w:spacing w:line="360" w:lineRule="auto"/>
      <w:jc w:val="center"/>
    </w:pPr>
    <w:rPr>
      <w:sz w:val="18"/>
    </w:rPr>
  </w:style>
  <w:style w:type="character" w:customStyle="1" w:styleId="23">
    <w:name w:val="图表（洛） Char"/>
    <w:basedOn w:val="9"/>
    <w:link w:val="22"/>
    <w:qFormat/>
    <w:uiPriority w:val="0"/>
    <w:rPr>
      <w:sz w:val="18"/>
    </w:rPr>
  </w:style>
  <w:style w:type="paragraph" w:customStyle="1" w:styleId="24">
    <w:name w:val="标1洛"/>
    <w:basedOn w:val="2"/>
    <w:next w:val="11"/>
    <w:qFormat/>
    <w:uiPriority w:val="0"/>
    <w:pPr>
      <w:pageBreakBefore/>
      <w:widowControl/>
      <w:numPr>
        <w:ilvl w:val="0"/>
        <w:numId w:val="2"/>
      </w:numPr>
      <w:spacing w:before="600" w:line="360" w:lineRule="auto"/>
      <w:jc w:val="left"/>
    </w:pPr>
    <w:rPr>
      <w:rFonts w:ascii="Arial" w:hAnsi="Arial" w:eastAsia="汉仪大黑简" w:cs="Times New Roman"/>
      <w:color w:val="000000" w:themeColor="text1"/>
      <w:sz w:val="36"/>
      <w14:textFill>
        <w14:solidFill>
          <w14:schemeClr w14:val="tx1"/>
        </w14:solidFill>
      </w14:textFill>
    </w:rPr>
  </w:style>
  <w:style w:type="paragraph" w:customStyle="1" w:styleId="25">
    <w:name w:val="标2洛"/>
    <w:basedOn w:val="3"/>
    <w:next w:val="11"/>
    <w:qFormat/>
    <w:uiPriority w:val="0"/>
    <w:pPr>
      <w:widowControl/>
      <w:numPr>
        <w:ilvl w:val="1"/>
        <w:numId w:val="2"/>
      </w:numPr>
      <w:spacing w:line="413" w:lineRule="auto"/>
      <w:ind w:right="100" w:rightChars="100"/>
      <w:jc w:val="left"/>
    </w:pPr>
    <w:rPr>
      <w:rFonts w:ascii="Arial" w:hAnsi="Arial" w:eastAsia="黑体" w:cs="Times New Roman"/>
      <w:bCs w:val="0"/>
    </w:rPr>
  </w:style>
  <w:style w:type="paragraph" w:customStyle="1" w:styleId="26">
    <w:name w:val="标3洛"/>
    <w:basedOn w:val="4"/>
    <w:next w:val="11"/>
    <w:link w:val="27"/>
    <w:qFormat/>
    <w:uiPriority w:val="0"/>
    <w:pPr>
      <w:widowControl/>
      <w:numPr>
        <w:ilvl w:val="2"/>
        <w:numId w:val="2"/>
      </w:numPr>
      <w:tabs>
        <w:tab w:val="left" w:pos="960"/>
      </w:tabs>
      <w:spacing w:line="412" w:lineRule="auto"/>
      <w:jc w:val="left"/>
    </w:pPr>
    <w:rPr>
      <w:rFonts w:ascii="Arial" w:hAnsi="Arial" w:eastAsia="黑体" w:cs="Times New Roman"/>
      <w:bCs w:val="0"/>
      <w:kern w:val="0"/>
      <w:sz w:val="30"/>
      <w:szCs w:val="30"/>
    </w:rPr>
  </w:style>
  <w:style w:type="character" w:customStyle="1" w:styleId="27">
    <w:name w:val="标3洛 Char"/>
    <w:link w:val="26"/>
    <w:qFormat/>
    <w:uiPriority w:val="0"/>
    <w:rPr>
      <w:rFonts w:ascii="Arial" w:hAnsi="Arial" w:eastAsia="黑体" w:cs="Times New Roman"/>
      <w:b/>
      <w:kern w:val="0"/>
      <w:sz w:val="30"/>
      <w:szCs w:val="30"/>
    </w:rPr>
  </w:style>
  <w:style w:type="paragraph" w:customStyle="1" w:styleId="28">
    <w:name w:val="标4洛"/>
    <w:basedOn w:val="5"/>
    <w:next w:val="11"/>
    <w:qFormat/>
    <w:uiPriority w:val="0"/>
    <w:pPr>
      <w:widowControl/>
      <w:numPr>
        <w:ilvl w:val="3"/>
        <w:numId w:val="2"/>
      </w:numPr>
      <w:spacing w:after="156" w:line="374" w:lineRule="auto"/>
      <w:jc w:val="left"/>
    </w:pPr>
    <w:rPr>
      <w:rFonts w:ascii="Arial" w:hAnsi="Arial" w:eastAsia="黑体" w:cs="Times New Roman"/>
      <w:bCs w:val="0"/>
      <w:kern w:val="0"/>
    </w:rPr>
  </w:style>
  <w:style w:type="paragraph" w:customStyle="1" w:styleId="29">
    <w:name w:val="标5洛"/>
    <w:basedOn w:val="1"/>
    <w:next w:val="11"/>
    <w:qFormat/>
    <w:uiPriority w:val="0"/>
    <w:pPr>
      <w:keepNext/>
      <w:keepLines/>
      <w:widowControl/>
      <w:numPr>
        <w:ilvl w:val="4"/>
        <w:numId w:val="2"/>
      </w:numPr>
      <w:spacing w:before="280" w:after="156" w:line="376" w:lineRule="auto"/>
      <w:jc w:val="left"/>
      <w:outlineLvl w:val="4"/>
    </w:pPr>
    <w:rPr>
      <w:rFonts w:ascii="Arial" w:hAnsi="Arial" w:eastAsia="黑体" w:cs="Times New Roman"/>
      <w:b/>
      <w:kern w:val="0"/>
      <w:sz w:val="24"/>
      <w:szCs w:val="28"/>
    </w:rPr>
  </w:style>
  <w:style w:type="paragraph" w:customStyle="1" w:styleId="30">
    <w:name w:val="标6洛"/>
    <w:basedOn w:val="1"/>
    <w:next w:val="11"/>
    <w:qFormat/>
    <w:uiPriority w:val="0"/>
    <w:pPr>
      <w:keepNext/>
      <w:keepLines/>
      <w:widowControl/>
      <w:numPr>
        <w:ilvl w:val="5"/>
        <w:numId w:val="2"/>
      </w:numPr>
      <w:spacing w:before="240" w:after="64" w:line="316" w:lineRule="auto"/>
      <w:jc w:val="left"/>
      <w:outlineLvl w:val="5"/>
    </w:pPr>
    <w:rPr>
      <w:rFonts w:ascii="Arial" w:hAnsi="Arial" w:eastAsia="黑体" w:cs="Times New Roman"/>
      <w:b/>
      <w:kern w:val="0"/>
      <w:szCs w:val="24"/>
    </w:rPr>
  </w:style>
  <w:style w:type="paragraph" w:customStyle="1" w:styleId="31">
    <w:name w:val="图表洛"/>
    <w:basedOn w:val="1"/>
    <w:link w:val="32"/>
    <w:qFormat/>
    <w:uiPriority w:val="0"/>
    <w:pPr>
      <w:widowControl/>
      <w:spacing w:before="40" w:after="40"/>
      <w:jc w:val="center"/>
    </w:pPr>
    <w:rPr>
      <w:rFonts w:ascii="Arial" w:hAnsi="Arial" w:eastAsia="宋体" w:cs="Arial"/>
      <w:sz w:val="18"/>
      <w:szCs w:val="20"/>
    </w:rPr>
  </w:style>
  <w:style w:type="character" w:customStyle="1" w:styleId="32">
    <w:name w:val="图表洛 Char"/>
    <w:basedOn w:val="9"/>
    <w:link w:val="31"/>
    <w:qFormat/>
    <w:uiPriority w:val="0"/>
    <w:rPr>
      <w:rFonts w:ascii="Arial" w:hAnsi="Arial" w:eastAsia="宋体" w:cs="Arial"/>
      <w:sz w:val="18"/>
      <w:szCs w:val="20"/>
    </w:rPr>
  </w:style>
  <w:style w:type="paragraph" w:customStyle="1" w:styleId="33">
    <w:name w:val="正文洛"/>
    <w:basedOn w:val="1"/>
    <w:qFormat/>
    <w:uiPriority w:val="0"/>
    <w:pPr>
      <w:widowControl/>
      <w:spacing w:before="40" w:after="160" w:line="360" w:lineRule="auto"/>
      <w:ind w:left="210" w:leftChars="100" w:right="210" w:rightChars="100" w:firstLine="480" w:firstLineChars="200"/>
      <w:jc w:val="left"/>
    </w:pPr>
    <w:rPr>
      <w:rFonts w:ascii="Times New Roman" w:hAnsi="Times New Roman" w:eastAsia="仿宋" w:cs="Times New Roman"/>
      <w:color w:val="000000"/>
      <w:kern w:val="0"/>
      <w:sz w:val="24"/>
      <w:szCs w:val="24"/>
    </w:rPr>
  </w:style>
  <w:style w:type="paragraph" w:customStyle="1" w:styleId="34">
    <w:name w:val="图洛"/>
    <w:basedOn w:val="1"/>
    <w:link w:val="35"/>
    <w:autoRedefine/>
    <w:qFormat/>
    <w:uiPriority w:val="0"/>
    <w:pPr>
      <w:spacing w:line="360" w:lineRule="auto"/>
      <w:jc w:val="center"/>
    </w:pPr>
    <w:rPr>
      <w:rFonts w:ascii="Calibri" w:hAnsi="Calibri" w:eastAsia="宋体" w:cs="宋体"/>
      <w:sz w:val="18"/>
    </w:rPr>
  </w:style>
  <w:style w:type="character" w:customStyle="1" w:styleId="35">
    <w:name w:val="图洛 Char"/>
    <w:basedOn w:val="9"/>
    <w:link w:val="34"/>
    <w:qFormat/>
    <w:uiPriority w:val="0"/>
    <w:rPr>
      <w:rFonts w:ascii="Calibri" w:hAnsi="Calibri" w:eastAsia="宋体" w:cs="宋体"/>
      <w:sz w:val="18"/>
    </w:rPr>
  </w:style>
  <w:style w:type="paragraph" w:customStyle="1" w:styleId="36">
    <w:name w:val="表洛"/>
    <w:basedOn w:val="1"/>
    <w:link w:val="37"/>
    <w:autoRedefine/>
    <w:qFormat/>
    <w:uiPriority w:val="0"/>
    <w:pPr>
      <w:widowControl/>
      <w:snapToGrid w:val="0"/>
      <w:spacing w:line="0" w:lineRule="atLeast"/>
      <w:jc w:val="center"/>
    </w:pPr>
    <w:rPr>
      <w:rFonts w:ascii="Arial" w:hAnsi="Arial" w:eastAsia="宋体" w:cs="Arial"/>
      <w:sz w:val="18"/>
      <w:szCs w:val="20"/>
    </w:rPr>
  </w:style>
  <w:style w:type="character" w:customStyle="1" w:styleId="37">
    <w:name w:val="表洛 Char"/>
    <w:basedOn w:val="9"/>
    <w:link w:val="36"/>
    <w:qFormat/>
    <w:uiPriority w:val="0"/>
    <w:rPr>
      <w:rFonts w:ascii="Arial" w:hAnsi="Arial" w:eastAsia="宋体" w:cs="Arial"/>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2067</Words>
  <Characters>2295</Characters>
  <Lines>13</Lines>
  <Paragraphs>3</Paragraphs>
  <TotalTime>26</TotalTime>
  <ScaleCrop>false</ScaleCrop>
  <LinksUpToDate>false</LinksUpToDate>
  <CharactersWithSpaces>2317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2025-01-23T03:19:00Z</dcterms:created>
  <dc:creator>fumin (CHN-集团代表处)</dc:creator>
  <cp:lastModifiedBy>Y °</cp:lastModifiedBy>
  <dcterms:modified xsi:type="dcterms:W3CDTF">2025-03-06T01:33:49Z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eyJoZGlkIjoiYWNiNWM4OGFhMjU2NTNkMWFmNmEwYmUxZjczOWIyYzEiLCJ1c2VySWQiOiIxMDY1ODE4OTEzIn0=</vt:lpwstr>
  </property>
  <property fmtid="{D5CDD505-2E9C-101B-9397-08002B2CF9AE}" pid="3" name="KSOProductBuildVer">
    <vt:lpwstr>2052-12.1.0.19770</vt:lpwstr>
  </property>
  <property fmtid="{D5CDD505-2E9C-101B-9397-08002B2CF9AE}" pid="4" name="ICV">
    <vt:lpwstr>E0E296BE2AF045B4A0B7046C781D10D6_13</vt:lpwstr>
  </property>
</Properties>
</file>