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7686A">
      <w:pPr>
        <w:spacing w:line="400" w:lineRule="exact"/>
        <w:ind w:left="759" w:hanging="759" w:hangingChars="270"/>
        <w:rPr>
          <w:rStyle w:val="18"/>
          <w:rFonts w:ascii="宋体" w:hAnsi="宋体" w:eastAsia="宋体" w:cs="仿宋"/>
          <w:b/>
          <w:color w:val="000000"/>
          <w:sz w:val="28"/>
          <w:szCs w:val="28"/>
        </w:rPr>
      </w:pPr>
      <w:r>
        <w:rPr>
          <w:rStyle w:val="18"/>
          <w:rFonts w:hint="eastAsia" w:ascii="宋体" w:hAnsi="宋体" w:eastAsia="宋体" w:cs="仿宋"/>
          <w:b/>
          <w:color w:val="000000"/>
          <w:sz w:val="28"/>
          <w:szCs w:val="28"/>
        </w:rPr>
        <w:t>采购内容及要求</w:t>
      </w:r>
    </w:p>
    <w:p w14:paraId="42BEB752">
      <w:pPr>
        <w:spacing w:line="400" w:lineRule="exact"/>
        <w:ind w:left="596" w:hanging="596" w:hangingChars="270"/>
        <w:rPr>
          <w:rFonts w:ascii="宋体" w:hAnsi="宋体" w:eastAsia="宋体" w:cs="Arial"/>
          <w:b/>
          <w:snapToGrid w:val="0"/>
          <w:szCs w:val="21"/>
        </w:rPr>
      </w:pPr>
      <w:r>
        <w:rPr>
          <w:rFonts w:hint="eastAsia" w:ascii="宋体" w:hAnsi="宋体" w:eastAsia="宋体" w:cs="Arial"/>
          <w:b/>
          <w:snapToGrid w:val="0"/>
          <w:szCs w:val="21"/>
        </w:rPr>
        <w:t>一、采购货物清单</w:t>
      </w:r>
    </w:p>
    <w:tbl>
      <w:tblPr>
        <w:tblStyle w:val="9"/>
        <w:tblW w:w="114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9"/>
        <w:gridCol w:w="1134"/>
        <w:gridCol w:w="1092"/>
        <w:gridCol w:w="1050"/>
        <w:gridCol w:w="1237"/>
        <w:gridCol w:w="1208"/>
        <w:gridCol w:w="1042"/>
        <w:gridCol w:w="1013"/>
        <w:gridCol w:w="1013"/>
      </w:tblGrid>
      <w:tr w14:paraId="75471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436E6"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电梯名称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F9678"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提升高度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63B11"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有无机房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1978B"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载重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FFEB5"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速度</w:t>
            </w:r>
          </w:p>
          <w:p w14:paraId="0FC666CC"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m/s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D6476"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层/站/门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44497">
            <w:pPr>
              <w:spacing w:after="0"/>
              <w:jc w:val="center"/>
              <w:rPr>
                <w:rFonts w:hint="eastAsia" w:ascii="宋体" w:hAnsi="宋体" w:eastAsia="微软雅黑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空调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75F38C">
            <w:pPr>
              <w:spacing w:after="0"/>
              <w:jc w:val="center"/>
              <w:rPr>
                <w:rFonts w:hint="eastAsia" w:ascii="宋体" w:hAnsi="宋体" w:eastAsia="微软雅黑" w:cs="Times New Roman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FC3A2">
            <w:pPr>
              <w:spacing w:after="0"/>
              <w:jc w:val="center"/>
              <w:rPr>
                <w:rFonts w:hint="default" w:ascii="宋体" w:hAnsi="宋体" w:eastAsia="微软雅黑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预算价</w:t>
            </w:r>
          </w:p>
        </w:tc>
      </w:tr>
      <w:tr w14:paraId="05FBE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3E781"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1#教学楼无障碍乘客电梯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05C72"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AF6B6"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6C895"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kg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04B7B">
            <w:pPr>
              <w:spacing w:after="0"/>
              <w:jc w:val="center"/>
              <w:rPr>
                <w:rFonts w:hint="eastAsia" w:ascii="宋体" w:hAnsi="宋体" w:eastAsia="微软雅黑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28069">
            <w:pPr>
              <w:spacing w:after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5/5/5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DD1CC">
            <w:pPr>
              <w:spacing w:after="0"/>
              <w:jc w:val="center"/>
              <w:rPr>
                <w:rFonts w:hint="eastAsia" w:ascii="宋体" w:hAnsi="宋体" w:eastAsia="微软雅黑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BDACF">
            <w:pPr>
              <w:spacing w:after="0"/>
              <w:jc w:val="center"/>
              <w:rPr>
                <w:rFonts w:hint="eastAsia" w:ascii="宋体" w:hAnsi="宋体" w:eastAsia="微软雅黑" w:cs="Times New Roman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B6EA7">
            <w:pPr>
              <w:spacing w:after="0"/>
              <w:jc w:val="center"/>
              <w:rPr>
                <w:rFonts w:hint="default" w:ascii="宋体" w:hAnsi="宋体" w:eastAsia="微软雅黑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18.1万元</w:t>
            </w:r>
          </w:p>
        </w:tc>
      </w:tr>
    </w:tbl>
    <w:p w14:paraId="0319A121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★备注：1.井道尺寸、底坑深度等建筑尺寸最终以现场勘察为准。</w:t>
      </w:r>
    </w:p>
    <w:p w14:paraId="4305EE50">
      <w:pPr>
        <w:spacing w:line="400" w:lineRule="exact"/>
        <w:ind w:left="596" w:hanging="596" w:hangingChars="270"/>
        <w:rPr>
          <w:rFonts w:ascii="宋体" w:hAnsi="宋体" w:eastAsia="宋体" w:cs="Arial"/>
          <w:b/>
          <w:snapToGrid w:val="0"/>
          <w:szCs w:val="21"/>
        </w:rPr>
      </w:pPr>
      <w:r>
        <w:rPr>
          <w:rFonts w:hint="eastAsia" w:ascii="宋体" w:hAnsi="宋体" w:eastAsia="宋体" w:cs="Arial"/>
          <w:b/>
          <w:snapToGrid w:val="0"/>
          <w:szCs w:val="21"/>
        </w:rPr>
        <w:t>二、技术要求</w:t>
      </w:r>
      <w:bookmarkStart w:id="0" w:name="_GoBack"/>
      <w:bookmarkEnd w:id="0"/>
    </w:p>
    <w:tbl>
      <w:tblPr>
        <w:tblStyle w:val="9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7226"/>
      </w:tblGrid>
      <w:tr w14:paraId="3A7D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FACE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电梯类型内容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78AD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无机房客梯</w:t>
            </w:r>
          </w:p>
        </w:tc>
      </w:tr>
      <w:tr w14:paraId="4CD9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078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▲逻辑控制系统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E2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全集选</w:t>
            </w:r>
          </w:p>
        </w:tc>
      </w:tr>
      <w:tr w14:paraId="4487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4569">
            <w:pPr>
              <w:rPr>
                <w:szCs w:val="21"/>
              </w:rPr>
            </w:pP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925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32位及以上电脑微机控制系统或更优，并具有无司机操作功能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14:paraId="583B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CE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▲驱动系统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093F">
            <w:pPr>
              <w:rPr>
                <w:rFonts w:hint="eastAsia" w:eastAsia="微软雅黑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永磁同步无齿轮驱动，</w:t>
            </w:r>
            <w:r>
              <w:rPr>
                <w:rFonts w:hint="eastAsia"/>
                <w:b/>
                <w:bCs/>
                <w:szCs w:val="21"/>
              </w:rPr>
              <w:t>主机防护等级IP</w:t>
            </w:r>
            <w:r>
              <w:rPr>
                <w:b/>
                <w:bCs/>
                <w:szCs w:val="21"/>
              </w:rPr>
              <w:t>52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马达能耗达到1级能耗水平</w:t>
            </w:r>
          </w:p>
        </w:tc>
      </w:tr>
      <w:tr w14:paraId="0DBA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E35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▲曳引媒介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092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钢带</w:t>
            </w:r>
          </w:p>
        </w:tc>
      </w:tr>
      <w:tr w14:paraId="20AA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3B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▲调速系统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9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32位电脑微机控制，交流变频变压调速（VVVF）,逆变和整流部分均采用IGBT，频率≥10KHZ</w:t>
            </w:r>
          </w:p>
        </w:tc>
      </w:tr>
      <w:tr w14:paraId="7249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91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基站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AE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一层</w:t>
            </w:r>
          </w:p>
        </w:tc>
      </w:tr>
      <w:tr w14:paraId="3D3B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DD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机房位置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5215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顶层（设备隔噪，必须符合国家标准。具体隔噪措施及费用由投标人承担）</w:t>
            </w:r>
          </w:p>
        </w:tc>
      </w:tr>
      <w:tr w14:paraId="63F0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6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地坑深度（mm）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D5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150</w:t>
            </w:r>
            <w:r>
              <w:rPr>
                <w:rFonts w:hint="eastAsia"/>
                <w:szCs w:val="21"/>
              </w:rPr>
              <w:t>，详见技术规格表， 具体现场自行勘察为准。</w:t>
            </w:r>
          </w:p>
        </w:tc>
      </w:tr>
      <w:tr w14:paraId="67D4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5F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顶层高度（mm）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8086">
            <w:pPr>
              <w:rPr>
                <w:szCs w:val="21"/>
              </w:rPr>
            </w:pPr>
            <w:r>
              <w:rPr>
                <w:szCs w:val="21"/>
              </w:rPr>
              <w:t>1#</w:t>
            </w:r>
            <w:r>
              <w:rPr>
                <w:rFonts w:hint="eastAsia"/>
                <w:szCs w:val="21"/>
              </w:rPr>
              <w:t>教学楼电梯</w:t>
            </w:r>
            <w:r>
              <w:rPr>
                <w:rFonts w:hint="eastAsia"/>
                <w:szCs w:val="21"/>
                <w:lang w:val="en-US" w:eastAsia="zh-CN"/>
              </w:rPr>
              <w:t>4400</w:t>
            </w:r>
            <w:r>
              <w:rPr>
                <w:rFonts w:hint="eastAsia"/>
                <w:szCs w:val="21"/>
              </w:rPr>
              <w:t>，具体以设计图纸为准</w:t>
            </w:r>
          </w:p>
        </w:tc>
      </w:tr>
      <w:tr w14:paraId="242B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4D6D8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井道尺寸（mm）（净宽×净深）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C7B3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00*</w:t>
            </w:r>
            <w:r>
              <w:rPr>
                <w:rFonts w:hint="eastAsia"/>
                <w:szCs w:val="21"/>
                <w:lang w:val="en-US" w:eastAsia="zh-CN"/>
              </w:rPr>
              <w:t>175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，具体现场自行勘察，注意：做法和尺寸与标准尺寸有误差较大。</w:t>
            </w:r>
          </w:p>
        </w:tc>
      </w:tr>
      <w:tr w14:paraId="3BFC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F60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轿箱尺寸（mm）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A0F0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00*1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00*2500</w:t>
            </w:r>
            <w:r>
              <w:rPr>
                <w:rFonts w:hint="eastAsia"/>
                <w:szCs w:val="21"/>
              </w:rPr>
              <w:t>（▲轿内</w:t>
            </w:r>
            <w:r>
              <w:rPr>
                <w:rFonts w:hint="eastAsia"/>
                <w:szCs w:val="21"/>
                <w:lang w:val="en-US" w:eastAsia="zh-CN"/>
              </w:rPr>
              <w:t>净高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00，要求轿厢装修后净高不少于2400）</w:t>
            </w:r>
          </w:p>
        </w:tc>
      </w:tr>
      <w:tr w14:paraId="3866C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B0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开门尺寸（mm）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50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00*2100</w:t>
            </w:r>
          </w:p>
        </w:tc>
      </w:tr>
      <w:tr w14:paraId="09A1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69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开门方式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CB6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中分</w:t>
            </w:r>
          </w:p>
        </w:tc>
      </w:tr>
      <w:tr w14:paraId="78FA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35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▲门保护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DA3C">
            <w:pPr>
              <w:rPr>
                <w:szCs w:val="21"/>
              </w:rPr>
            </w:pP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束及以上光幕门保护</w:t>
            </w:r>
          </w:p>
        </w:tc>
      </w:tr>
      <w:tr w14:paraId="2CB9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D59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▲门机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4CD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采用变频门机，</w:t>
            </w:r>
            <w:r>
              <w:rPr>
                <w:rFonts w:hint="eastAsia"/>
                <w:b/>
                <w:bCs/>
                <w:szCs w:val="21"/>
              </w:rPr>
              <w:t>门电机防护等级IP</w:t>
            </w:r>
            <w:r>
              <w:rPr>
                <w:b/>
                <w:bCs/>
                <w:szCs w:val="21"/>
              </w:rPr>
              <w:t>65</w:t>
            </w:r>
          </w:p>
        </w:tc>
      </w:tr>
      <w:tr w14:paraId="0CDE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D7A5B">
            <w:pPr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通讯系统（井道内）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1A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采用串行通讯方式</w:t>
            </w:r>
          </w:p>
        </w:tc>
      </w:tr>
      <w:tr w14:paraId="4EBA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DC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主导轨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C845">
            <w:pPr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</w:t>
            </w:r>
            <w:r>
              <w:rPr>
                <w:rFonts w:hint="eastAsia"/>
                <w:szCs w:val="21"/>
              </w:rPr>
              <w:t>轨</w:t>
            </w:r>
            <w:r>
              <w:rPr>
                <w:rFonts w:hint="eastAsia"/>
                <w:szCs w:val="21"/>
                <w:lang w:val="en-US" w:eastAsia="zh-CN"/>
              </w:rPr>
              <w:t>实心</w:t>
            </w:r>
            <w:r>
              <w:rPr>
                <w:rFonts w:hint="eastAsia"/>
                <w:szCs w:val="21"/>
              </w:rPr>
              <w:t>导轨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副</w:t>
            </w:r>
            <w:r>
              <w:rPr>
                <w:rFonts w:hint="eastAsia"/>
                <w:szCs w:val="21"/>
              </w:rPr>
              <w:t>轨</w:t>
            </w:r>
            <w:r>
              <w:rPr>
                <w:rFonts w:hint="eastAsia"/>
                <w:szCs w:val="21"/>
                <w:lang w:val="en-US" w:eastAsia="zh-CN"/>
              </w:rPr>
              <w:t>空心导轨</w:t>
            </w:r>
          </w:p>
        </w:tc>
      </w:tr>
      <w:tr w14:paraId="5AAB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2658">
            <w:pPr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平层精度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BC6A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≤±3mm</w:t>
            </w:r>
          </w:p>
        </w:tc>
      </w:tr>
      <w:tr w14:paraId="6B78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A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噪声指标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990F">
            <w:pPr>
              <w:rPr>
                <w:szCs w:val="21"/>
              </w:rPr>
            </w:pPr>
            <w:r>
              <w:rPr>
                <w:rFonts w:hint="eastAsia"/>
                <w:color w:val="000000"/>
              </w:rPr>
              <w:t>符合或优于国家标准（并提供具体数据）</w:t>
            </w:r>
          </w:p>
        </w:tc>
      </w:tr>
      <w:tr w14:paraId="428D0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9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▲年故障次数/台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8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运行100000≤3次/台。如超出，每超出1次整机免费质保期一年，按次累计。</w:t>
            </w:r>
          </w:p>
        </w:tc>
      </w:tr>
      <w:tr w14:paraId="59F4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99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轿门/厅门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0579">
            <w:pPr>
              <w:spacing w:before="100" w:beforeAutospacing="1" w:after="100" w:afterAutospacing="1"/>
              <w:ind w:left="594" w:hanging="594" w:hangingChars="270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发纹不锈钢（不接受复合材质）</w:t>
            </w:r>
          </w:p>
        </w:tc>
      </w:tr>
      <w:tr w14:paraId="6CF4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C8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小门套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0ED9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发纹不锈钢（不接受复合材质）</w:t>
            </w:r>
          </w:p>
        </w:tc>
      </w:tr>
      <w:tr w14:paraId="41E2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24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轿顶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0F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轿顶为发纹不锈钢豪华轿顶（包括LED照明、低噪声通风扇，应急照明），</w:t>
            </w:r>
            <w:r>
              <w:rPr>
                <w:rFonts w:hint="eastAsia" w:cs="宋体"/>
                <w:color w:val="000000"/>
              </w:rPr>
              <w:t>轿顶需安装高清摄像头，</w:t>
            </w:r>
            <w:r>
              <w:rPr>
                <w:rFonts w:hint="eastAsia"/>
                <w:szCs w:val="21"/>
              </w:rPr>
              <w:t>随行电缆中应穿视频电缆。（中标后提供三种以上豪华轿顶供发包人选择，且价格不得调整）</w:t>
            </w:r>
            <w:r>
              <w:rPr>
                <w:rFonts w:hint="eastAsia" w:cs="宋体"/>
                <w:color w:val="000000"/>
              </w:rPr>
              <w:t>。</w:t>
            </w:r>
          </w:p>
        </w:tc>
      </w:tr>
      <w:tr w14:paraId="5DC8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70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轿厢壁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122C">
            <w:pPr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采用发纹不锈钢，（不接受复合材质）。轿厢后壁为镜面不锈钢。轿厢三面壁上应设扶手。</w:t>
            </w:r>
          </w:p>
        </w:tc>
      </w:tr>
      <w:tr w14:paraId="51AD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36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轿厢地面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AE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采用</w:t>
            </w:r>
            <w:r>
              <w:rPr>
                <w:szCs w:val="21"/>
              </w:rPr>
              <w:t>PVC</w:t>
            </w:r>
            <w:r>
              <w:rPr>
                <w:rFonts w:hint="eastAsia"/>
                <w:szCs w:val="21"/>
              </w:rPr>
              <w:t>耐磨地面，提供三种以上式样供招标人选择</w:t>
            </w:r>
          </w:p>
        </w:tc>
      </w:tr>
      <w:tr w14:paraId="541E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6C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轿厢操纵盘和层站显示器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4C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面板材料采用发纹不锈钢，楼层按钮为装有发光二极管显示的微动按钮，数码管显示楼层及运行方向</w:t>
            </w:r>
          </w:p>
        </w:tc>
      </w:tr>
      <w:tr w14:paraId="4E57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845F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厅外召唤按纽和层站显示器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B747F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面板材料采用发纹不锈钢，呼梯按钮为装有发光二极管显示的微动按钮，数码管显示楼层及运行方向</w:t>
            </w:r>
          </w:p>
        </w:tc>
      </w:tr>
      <w:tr w14:paraId="4452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55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地坎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21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铝合金</w:t>
            </w:r>
          </w:p>
        </w:tc>
      </w:tr>
      <w:tr w14:paraId="1BB4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4F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按扭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48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</w:t>
            </w:r>
          </w:p>
        </w:tc>
      </w:tr>
      <w:tr w14:paraId="5E5F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E1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扶手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E9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不锈钢</w:t>
            </w:r>
          </w:p>
        </w:tc>
      </w:tr>
      <w:tr w14:paraId="4296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23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功能要求</w:t>
            </w:r>
          </w:p>
        </w:tc>
        <w:tc>
          <w:tcPr>
            <w:tcW w:w="7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7235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1、物联网功能       </w:t>
            </w:r>
          </w:p>
          <w:p w14:paraId="39692FA3">
            <w:pPr>
              <w:pStyle w:val="5"/>
              <w:rPr>
                <w:rFonts w:hint="default" w:ascii="Tahoma" w:hAnsi="Tahoma" w:eastAsia="微软雅黑" w:cs="Times New Roman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ahoma" w:hAnsi="Tahoma" w:eastAsia="微软雅黑" w:cs="Times New Roman"/>
                <w:kern w:val="0"/>
                <w:sz w:val="22"/>
                <w:szCs w:val="21"/>
                <w:lang w:val="en-US" w:eastAsia="zh-CN" w:bidi="ar-SA"/>
              </w:rPr>
              <w:t>2</w:t>
            </w:r>
            <w:r>
              <w:rPr>
                <w:rFonts w:hint="eastAsia" w:ascii="Tahoma" w:hAnsi="Tahoma" w:eastAsia="微软雅黑" w:cs="Times New Roman"/>
                <w:kern w:val="0"/>
                <w:sz w:val="22"/>
                <w:szCs w:val="21"/>
                <w:lang w:val="en-US" w:eastAsia="zh-CN" w:bidi="ar-SA"/>
              </w:rPr>
              <w:t>、消防功能：假如火险发生，电梯自动回到设定层，消防电梯只听从轿厢内消防员的指令；投标人须提供一个对从安全中心传来信号可接收的条件。（按国家消防验收标准）</w:t>
            </w:r>
          </w:p>
          <w:p w14:paraId="627332A1">
            <w:pPr>
              <w:pStyle w:val="19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2"/>
                <w:szCs w:val="21"/>
                <w:lang w:val="en-US" w:eastAsia="zh-CN" w:bidi="ar-SA"/>
              </w:rPr>
              <w:t xml:space="preserve">3、五方对讲（1、电梯轿厢2、电梯机房3、电梯轿顶4、电梯轿底5、物业值班室） 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</w:p>
          <w:p w14:paraId="1138F114">
            <w:pPr>
              <w:spacing w:line="288" w:lineRule="auto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其他电梯标准功能：如超重警告、设置警铃、轿厢数字式位置指示器、厅和轿厢呼梯/登记、厅数字式位置指示器、设立独立的厅、轿门时间、开关门时间保护、全集选控制、称重启动、本层再开门、开关门按扭、自动调节开门时间、自动再平层、节能功能、自动轿厢照明、通风装置、满载不停、防捣乱功能、基站关机、控制柜故障显示、故障自动平层、红外线光幕装置、强迫关门、电动机过热保护、超速保护功能、极限保护功能、防坠落保护功能、电源缺相故障检测功能、安全设备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停电应急平层装置</w:t>
            </w:r>
            <w:r>
              <w:rPr>
                <w:rFonts w:hint="eastAsia"/>
                <w:szCs w:val="21"/>
              </w:rPr>
              <w:t>等。</w:t>
            </w:r>
          </w:p>
          <w:p w14:paraId="09689499">
            <w:pPr>
              <w:spacing w:line="288" w:lineRule="auto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、按制造安装维保验收标准执行。</w:t>
            </w:r>
          </w:p>
          <w:p w14:paraId="6460823A">
            <w:r>
              <w:t>6</w:t>
            </w:r>
            <w:r>
              <w:rPr>
                <w:rFonts w:hint="eastAsia"/>
              </w:rPr>
              <w:t>、在轿厢门开启的净宽度不应小于900MM，必须满足轮椅通过；</w:t>
            </w:r>
          </w:p>
          <w:p w14:paraId="31ADC1A4">
            <w:pPr>
              <w:rPr>
                <w:rFonts w:hint="default" w:eastAsia="微软雅黑"/>
                <w:lang w:val="en-US" w:eastAsia="zh-CN"/>
              </w:rPr>
            </w:pPr>
            <w:r>
              <w:t>7</w:t>
            </w:r>
            <w:r>
              <w:rPr>
                <w:rFonts w:hint="eastAsia"/>
              </w:rPr>
              <w:t>、在轿厢的侧壁上应设高0.9M-1.1M带盲文的选层按钮，盲文宜设置于按钮旁。</w:t>
            </w:r>
          </w:p>
        </w:tc>
      </w:tr>
      <w:tr w14:paraId="7D53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5" w:hRule="atLeast"/>
          <w:jc w:val="center"/>
        </w:trPr>
        <w:tc>
          <w:tcPr>
            <w:tcW w:w="99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F53E26">
            <w:pPr>
              <w:widowControl/>
              <w:rPr>
                <w:rFonts w:hint="eastAsia"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 xml:space="preserve">注：（1）土建尺寸仅供参考，以施工图、联系单和现场实际尺寸为准，投标人自行察看施工图纸和施工现场。出现不一致时，以现场实际尺寸为准。 </w:t>
            </w:r>
          </w:p>
          <w:p w14:paraId="0A560C21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宋体"/>
                <w:color w:val="000000"/>
                <w:kern w:val="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</w:rPr>
              <w:t>特殊长度井道支架须包含在总报价中，不得另行计取。</w:t>
            </w:r>
          </w:p>
          <w:p w14:paraId="14744ECB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宋体"/>
                <w:color w:val="000000"/>
                <w:kern w:val="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电梯符合无障碍验收要求，电梯免费三年质保。</w:t>
            </w:r>
          </w:p>
          <w:p w14:paraId="24808BA4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cs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/>
                <w:szCs w:val="21"/>
                <w:lang w:val="en-US" w:eastAsia="zh-CN"/>
              </w:rPr>
              <w:t>供应商签合同前需具有制造厂家授权代理资格证书。</w:t>
            </w:r>
          </w:p>
        </w:tc>
      </w:tr>
    </w:tbl>
    <w:p w14:paraId="547033EC">
      <w:pPr>
        <w:spacing w:after="0" w:line="4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5B181"/>
    <w:multiLevelType w:val="singleLevel"/>
    <w:tmpl w:val="CFC5B181"/>
    <w:lvl w:ilvl="0" w:tentative="0">
      <w:start w:val="2"/>
      <w:numFmt w:val="decimal"/>
      <w:suff w:val="nothing"/>
      <w:lvlText w:val="（%1）"/>
      <w:lvlJc w:val="left"/>
      <w:pPr>
        <w:ind w:left="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lODAxYjVlYzk2YzdiNWI2NWQ2NWRlMTJjMmNjOGYifQ=="/>
  </w:docVars>
  <w:rsids>
    <w:rsidRoot w:val="005B7ED6"/>
    <w:rsid w:val="00200B9C"/>
    <w:rsid w:val="002B5782"/>
    <w:rsid w:val="00336F41"/>
    <w:rsid w:val="005B7ED6"/>
    <w:rsid w:val="0063758D"/>
    <w:rsid w:val="0064181A"/>
    <w:rsid w:val="00894C79"/>
    <w:rsid w:val="00932D68"/>
    <w:rsid w:val="00965EF7"/>
    <w:rsid w:val="00AC021F"/>
    <w:rsid w:val="00BB7FB1"/>
    <w:rsid w:val="00BF6930"/>
    <w:rsid w:val="00E02955"/>
    <w:rsid w:val="00E5412E"/>
    <w:rsid w:val="00ED16F5"/>
    <w:rsid w:val="00EE0510"/>
    <w:rsid w:val="00F661C0"/>
    <w:rsid w:val="01017684"/>
    <w:rsid w:val="084D2F19"/>
    <w:rsid w:val="0DC65EDD"/>
    <w:rsid w:val="1A5B175B"/>
    <w:rsid w:val="1F622FBE"/>
    <w:rsid w:val="1F645556"/>
    <w:rsid w:val="21F901D7"/>
    <w:rsid w:val="255045B2"/>
    <w:rsid w:val="256A75BD"/>
    <w:rsid w:val="274522EB"/>
    <w:rsid w:val="28875D7F"/>
    <w:rsid w:val="2D7B09C5"/>
    <w:rsid w:val="334E5EA9"/>
    <w:rsid w:val="3FB26783"/>
    <w:rsid w:val="46D324F5"/>
    <w:rsid w:val="487B2E45"/>
    <w:rsid w:val="491017DF"/>
    <w:rsid w:val="4FC1761E"/>
    <w:rsid w:val="5472334E"/>
    <w:rsid w:val="58FA064D"/>
    <w:rsid w:val="5F4D663C"/>
    <w:rsid w:val="6D3D025F"/>
    <w:rsid w:val="7343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200"/>
      <w:textAlignment w:val="baseline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widowControl w:val="0"/>
      <w:snapToGrid/>
      <w:spacing w:after="0" w:line="360" w:lineRule="auto"/>
      <w:jc w:val="center"/>
      <w:textAlignment w:val="auto"/>
      <w:outlineLvl w:val="0"/>
    </w:pPr>
    <w:rPr>
      <w:rFonts w:asciiTheme="minorHAnsi" w:hAnsiTheme="minorHAnsi" w:eastAsiaTheme="minorEastAsia" w:cstheme="minorBidi"/>
      <w:b/>
      <w:kern w:val="44"/>
      <w:sz w:val="32"/>
      <w:szCs w:val="2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widowControl w:val="0"/>
      <w:snapToGrid/>
      <w:spacing w:after="0" w:line="416" w:lineRule="auto"/>
      <w:jc w:val="both"/>
      <w:textAlignment w:val="auto"/>
      <w:outlineLvl w:val="1"/>
    </w:pPr>
    <w:rPr>
      <w:rFonts w:asciiTheme="majorHAnsi" w:hAnsiTheme="majorHAnsi" w:eastAsiaTheme="majorEastAsia" w:cstheme="majorBidi"/>
      <w:b/>
      <w:bCs/>
      <w:kern w:val="2"/>
      <w:sz w:val="24"/>
      <w:szCs w:val="32"/>
    </w:rPr>
  </w:style>
  <w:style w:type="paragraph" w:styleId="4">
    <w:name w:val="heading 3"/>
    <w:basedOn w:val="1"/>
    <w:next w:val="1"/>
    <w:link w:val="11"/>
    <w:qFormat/>
    <w:uiPriority w:val="0"/>
    <w:pPr>
      <w:keepNext/>
      <w:keepLines/>
      <w:widowControl w:val="0"/>
      <w:autoSpaceDE w:val="0"/>
      <w:autoSpaceDN w:val="0"/>
      <w:snapToGrid/>
      <w:spacing w:after="0" w:line="360" w:lineRule="auto"/>
      <w:jc w:val="center"/>
      <w:textAlignment w:val="auto"/>
      <w:outlineLvl w:val="2"/>
    </w:pPr>
    <w:rPr>
      <w:rFonts w:ascii="宋体" w:hAnsi="宋体" w:eastAsia="宋体" w:cs="宋体"/>
      <w:kern w:val="2"/>
      <w:sz w:val="28"/>
      <w:szCs w:val="28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link w:val="17"/>
    <w:qFormat/>
    <w:uiPriority w:val="0"/>
    <w:pPr>
      <w:snapToGrid/>
      <w:spacing w:after="0"/>
      <w:textAlignment w:val="auto"/>
    </w:pPr>
    <w:rPr>
      <w:rFonts w:hint="eastAsia" w:ascii="Calibri" w:hAnsi="Calibri" w:eastAsia="宋体"/>
      <w:sz w:val="24"/>
      <w:szCs w:val="20"/>
    </w:rPr>
  </w:style>
  <w:style w:type="paragraph" w:styleId="6">
    <w:name w:val="Body Text First Indent"/>
    <w:basedOn w:val="5"/>
    <w:link w:val="20"/>
    <w:semiHidden/>
    <w:unhideWhenUsed/>
    <w:qFormat/>
    <w:uiPriority w:val="99"/>
    <w:pPr>
      <w:snapToGrid w:val="0"/>
      <w:spacing w:after="120"/>
      <w:ind w:firstLine="420" w:firstLineChars="100"/>
      <w:textAlignment w:val="baseline"/>
    </w:pPr>
    <w:rPr>
      <w:rFonts w:hint="default" w:ascii="Tahoma" w:hAnsi="Tahoma" w:eastAsia="微软雅黑"/>
      <w:sz w:val="22"/>
      <w:szCs w:val="22"/>
    </w:rPr>
  </w:style>
  <w:style w:type="paragraph" w:styleId="7">
    <w:name w:val="footer"/>
    <w:basedOn w:val="1"/>
    <w:link w:val="16"/>
    <w:unhideWhenUsed/>
    <w:qFormat/>
    <w:uiPriority w:val="99"/>
    <w:pPr>
      <w:widowControl w:val="0"/>
      <w:tabs>
        <w:tab w:val="center" w:pos="4153"/>
        <w:tab w:val="right" w:pos="8306"/>
      </w:tabs>
      <w:spacing w:after="0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pacing w:after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3 字符"/>
    <w:link w:val="4"/>
    <w:qFormat/>
    <w:uiPriority w:val="0"/>
    <w:rPr>
      <w:rFonts w:ascii="宋体" w:hAnsi="宋体" w:eastAsia="宋体" w:cs="宋体"/>
      <w:sz w:val="28"/>
      <w:szCs w:val="28"/>
      <w:lang w:val="zh-CN" w:bidi="zh-CN"/>
    </w:rPr>
  </w:style>
  <w:style w:type="character" w:customStyle="1" w:styleId="12">
    <w:name w:val="标题 1 字符"/>
    <w:qFormat/>
    <w:uiPriority w:val="1"/>
    <w:rPr>
      <w:rFonts w:ascii="宋体" w:hAnsi="宋体" w:eastAsia="宋体" w:cs="宋体"/>
      <w:sz w:val="32"/>
      <w:szCs w:val="48"/>
      <w:lang w:val="zh-CN" w:bidi="zh-CN"/>
    </w:rPr>
  </w:style>
  <w:style w:type="character" w:customStyle="1" w:styleId="13">
    <w:name w:val="标题 1 字符1"/>
    <w:link w:val="2"/>
    <w:qFormat/>
    <w:uiPriority w:val="0"/>
    <w:rPr>
      <w:b/>
      <w:kern w:val="44"/>
      <w:sz w:val="32"/>
      <w:szCs w:val="24"/>
    </w:rPr>
  </w:style>
  <w:style w:type="character" w:customStyle="1" w:styleId="14">
    <w:name w:val="标题 2 字符"/>
    <w:basedOn w:val="10"/>
    <w:link w:val="3"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15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正文文本 字符"/>
    <w:basedOn w:val="10"/>
    <w:link w:val="5"/>
    <w:qFormat/>
    <w:uiPriority w:val="0"/>
    <w:rPr>
      <w:rFonts w:ascii="Calibri" w:hAnsi="Calibri" w:eastAsia="宋体" w:cs="Times New Roman"/>
      <w:kern w:val="0"/>
      <w:sz w:val="24"/>
      <w:szCs w:val="20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reader-word-layer reader-word-s1-10"/>
    <w:basedOn w:val="1"/>
    <w:qFormat/>
    <w:uiPriority w:val="0"/>
    <w:pPr>
      <w:snapToGrid/>
      <w:spacing w:before="100" w:beforeAutospacing="1" w:after="100" w:afterAutospacing="1"/>
      <w:textAlignment w:val="auto"/>
    </w:pPr>
    <w:rPr>
      <w:rFonts w:ascii="宋体" w:hAnsi="宋体" w:eastAsia="宋体" w:cs="宋体"/>
      <w:sz w:val="24"/>
      <w:szCs w:val="24"/>
    </w:rPr>
  </w:style>
  <w:style w:type="character" w:customStyle="1" w:styleId="20">
    <w:name w:val="正文文本首行缩进 字符"/>
    <w:basedOn w:val="17"/>
    <w:link w:val="6"/>
    <w:semiHidden/>
    <w:qFormat/>
    <w:uiPriority w:val="99"/>
    <w:rPr>
      <w:rFonts w:ascii="Calibri" w:hAnsi="Calibri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Otis</Company>
  <Pages>4</Pages>
  <Words>1420</Words>
  <Characters>1526</Characters>
  <Lines>11</Lines>
  <Paragraphs>3</Paragraphs>
  <TotalTime>10</TotalTime>
  <ScaleCrop>false</ScaleCrop>
  <LinksUpToDate>false</LinksUpToDate>
  <CharactersWithSpaces>1542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2023-10-20T01:45:00Z</dcterms:created>
  <dc:creator>Chen, Aaron</dc:creator>
  <cp:lastModifiedBy>Otis电梯-徐正行</cp:lastModifiedBy>
  <dcterms:modified xsi:type="dcterms:W3CDTF">2025-06-01T13:13:16Z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70C6CAB254CE41C79D3036954E3A9A39_13</vt:lpwstr>
  </property>
  <property fmtid="{D5CDD505-2E9C-101B-9397-08002B2CF9AE}" pid="4" name="KSOTemplateDocerSaveRecord">
    <vt:lpwstr>eyJoZGlkIjoiZjFmZWIzNDg2MmIzZjExOTIzMmViNTBmYTMwYTk0ZWYiLCJ1c2VySWQiOiI3OTUxNjY3OTAifQ==</vt:lpwstr>
  </property>
</Properties>
</file>