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949" w:tblpY="2127"/>
        <w:tblW w:w="10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1"/>
        <w:gridCol w:w="717"/>
        <w:gridCol w:w="1193"/>
        <w:gridCol w:w="340"/>
        <w:gridCol w:w="770"/>
        <w:gridCol w:w="3226"/>
        <w:gridCol w:w="1022"/>
        <w:gridCol w:w="1501"/>
      </w:tblGrid>
      <w:tr w14:paraId="1DEC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0" w:hRule="atLeast"/>
        </w:trPr>
        <w:tc>
          <w:tcPr>
            <w:tcW w:w="1561" w:type="dxa"/>
            <w:vMerge w:val="restart"/>
            <w:shd w:val="clear" w:color="auto" w:fill="auto"/>
            <w:vAlign w:val="center"/>
          </w:tcPr>
          <w:p w14:paraId="30D05A06">
            <w:pPr>
              <w:tabs>
                <w:tab w:val="center" w:pos="692"/>
              </w:tabs>
              <w:jc w:val="center"/>
              <w:rPr>
                <w:rFonts w:hint="eastAsia" w:ascii="仿宋_GB2312" w:hAnsi="仿宋_GB2312" w:eastAsia="仿宋_GB2312" w:cs="仿宋_GB2312"/>
                <w:b/>
                <w:color w:val="auto"/>
                <w:kern w:val="2"/>
                <w:sz w:val="22"/>
                <w:szCs w:val="22"/>
                <w:highlight w:val="none"/>
                <w:lang w:val="en-US" w:eastAsia="zh-CN" w:bidi="ar-SA"/>
              </w:rPr>
            </w:pPr>
            <w:r>
              <w:rPr>
                <w:rFonts w:hint="eastAsia" w:ascii="仿宋_GB2312" w:hAnsi="仿宋_GB2312" w:eastAsia="仿宋_GB2312" w:cs="仿宋_GB2312"/>
                <w:b/>
                <w:color w:val="auto"/>
                <w:sz w:val="22"/>
                <w:highlight w:val="none"/>
              </w:rPr>
              <w:t>项目名</w:t>
            </w:r>
            <w:r>
              <w:rPr>
                <w:rFonts w:hint="eastAsia" w:ascii="仿宋_GB2312" w:hAnsi="仿宋_GB2312" w:eastAsia="仿宋_GB2312" w:cs="仿宋_GB2312"/>
                <w:b/>
                <w:color w:val="auto"/>
                <w:sz w:val="22"/>
                <w:highlight w:val="none"/>
              </w:rPr>
              <w:tab/>
            </w:r>
            <w:r>
              <w:rPr>
                <w:rFonts w:hint="eastAsia" w:ascii="仿宋_GB2312" w:hAnsi="仿宋_GB2312" w:eastAsia="仿宋_GB2312" w:cs="仿宋_GB2312"/>
                <w:b/>
                <w:color w:val="auto"/>
                <w:sz w:val="22"/>
                <w:highlight w:val="none"/>
              </w:rPr>
              <w:t>称</w:t>
            </w:r>
          </w:p>
        </w:tc>
        <w:tc>
          <w:tcPr>
            <w:tcW w:w="2250" w:type="dxa"/>
            <w:gridSpan w:val="3"/>
            <w:vMerge w:val="restart"/>
            <w:shd w:val="clear" w:color="auto" w:fill="auto"/>
            <w:vAlign w:val="center"/>
          </w:tcPr>
          <w:p w14:paraId="0FEE60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sz w:val="22"/>
                <w:highlight w:val="none"/>
              </w:rPr>
              <w:t>202</w:t>
            </w:r>
            <w:r>
              <w:rPr>
                <w:rFonts w:hint="eastAsia" w:ascii="仿宋_GB2312" w:hAnsi="仿宋_GB2312" w:eastAsia="仿宋_GB2312" w:cs="仿宋_GB2312"/>
                <w:color w:val="auto"/>
                <w:sz w:val="22"/>
                <w:highlight w:val="none"/>
                <w:lang w:val="en-US" w:eastAsia="zh-CN"/>
              </w:rPr>
              <w:t>5</w:t>
            </w:r>
            <w:r>
              <w:rPr>
                <w:rFonts w:hint="eastAsia" w:ascii="仿宋_GB2312" w:hAnsi="仿宋_GB2312" w:eastAsia="仿宋_GB2312" w:cs="仿宋_GB2312"/>
                <w:color w:val="auto"/>
                <w:sz w:val="22"/>
                <w:highlight w:val="none"/>
              </w:rPr>
              <w:t>年度审计项目服务</w:t>
            </w:r>
            <w:r>
              <w:rPr>
                <w:rFonts w:hint="eastAsia" w:ascii="仿宋_GB2312" w:hAnsi="仿宋_GB2312" w:eastAsia="仿宋_GB2312" w:cs="仿宋_GB2312"/>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-629285</wp:posOffset>
                      </wp:positionV>
                      <wp:extent cx="4703445" cy="417830"/>
                      <wp:effectExtent l="0" t="0" r="1905" b="1270"/>
                      <wp:wrapNone/>
                      <wp:docPr id="3" name="文本框 3"/>
                      <wp:cNvGraphicFramePr/>
                      <a:graphic xmlns:a="http://schemas.openxmlformats.org/drawingml/2006/main">
                        <a:graphicData uri="http://schemas.microsoft.com/office/word/2010/wordprocessingShape">
                          <wps:wsp>
                            <wps:cNvSpPr txBox="1"/>
                            <wps:spPr>
                              <a:xfrm>
                                <a:off x="1578610" y="851535"/>
                                <a:ext cx="4703445" cy="4178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30360C1">
                                  <w:r>
                                    <w:rPr>
                                      <w:rFonts w:hint="eastAsia" w:ascii="黑体" w:hAnsi="黑体" w:eastAsia="黑体" w:cs="黑体"/>
                                      <w:sz w:val="32"/>
                                      <w:szCs w:val="32"/>
                                    </w:rPr>
                                    <w:t>货物与服务采购参数表（10万以上需经专家论证）</w:t>
                                  </w:r>
                                  <w:r>
                                    <w:rPr>
                                      <w:rFonts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pt;margin-top:-49.55pt;height:32.9pt;width:370.35pt;z-index:251660288;mso-width-relative:page;mso-height-relative:page;" fillcolor="#FFFFFF [3201]" filled="t" stroked="f" coordsize="21600,21600" o:gfxdata="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omJtt&#10;1QAAAAoBAAAPAAAAAAAAAAEAIAAAACIAAABkcnMvZG93bnJldi54bWxQSwECFAAUAAAACACHTuJA&#10;4TVlKV0CAACaBAAADgAAAAAAAAABACAAAAAkAQAAZHJzL2Uyb0RvYy54bWxQSwUGAAAAAAYABgBZ&#10;AQAA8wUAAAAA&#10;">
                      <v:fill on="t" focussize="0,0"/>
                      <v:stroke on="f" weight="0.5pt"/>
                      <v:imagedata o:title=""/>
                      <o:lock v:ext="edit" aspectratio="f"/>
                      <v:textbox>
                        <w:txbxContent>
                          <w:p w14:paraId="330360C1">
                            <w:r>
                              <w:rPr>
                                <w:rFonts w:hint="eastAsia" w:ascii="黑体" w:hAnsi="黑体" w:eastAsia="黑体" w:cs="黑体"/>
                                <w:sz w:val="32"/>
                                <w:szCs w:val="32"/>
                              </w:rPr>
                              <w:t>货物与服务采购参数表（10万以上需经专家论证）</w:t>
                            </w:r>
                            <w:r>
                              <w:rPr>
                                <w:rFonts w:hint="eastAsia"/>
                                <w:sz w:val="22"/>
                              </w:rPr>
                              <w:t xml:space="preserve">    </w:t>
                            </w:r>
                          </w:p>
                        </w:txbxContent>
                      </v:textbox>
                    </v:shape>
                  </w:pict>
                </mc:Fallback>
              </mc:AlternateContent>
            </w:r>
          </w:p>
        </w:tc>
        <w:tc>
          <w:tcPr>
            <w:tcW w:w="770" w:type="dxa"/>
            <w:vMerge w:val="restart"/>
            <w:shd w:val="clear" w:color="auto" w:fill="auto"/>
            <w:vAlign w:val="center"/>
          </w:tcPr>
          <w:p w14:paraId="637DC80B">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b/>
                <w:bCs/>
                <w:color w:val="auto"/>
                <w:sz w:val="22"/>
                <w:highlight w:val="none"/>
              </w:rPr>
              <w:t>预算价</w:t>
            </w:r>
          </w:p>
        </w:tc>
        <w:tc>
          <w:tcPr>
            <w:tcW w:w="3226" w:type="dxa"/>
            <w:vMerge w:val="restart"/>
            <w:shd w:val="clear" w:color="auto" w:fill="auto"/>
            <w:vAlign w:val="center"/>
          </w:tcPr>
          <w:p w14:paraId="359AD315">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lang w:val="en-US" w:eastAsia="zh-CN"/>
              </w:rPr>
              <w:t>108</w:t>
            </w:r>
            <w:r>
              <w:rPr>
                <w:rFonts w:hint="eastAsia" w:ascii="仿宋_GB2312" w:hAnsi="仿宋_GB2312" w:eastAsia="仿宋_GB2312" w:cs="仿宋_GB2312"/>
                <w:color w:val="auto"/>
                <w:sz w:val="22"/>
                <w:highlight w:val="none"/>
              </w:rPr>
              <w:t>00</w:t>
            </w:r>
            <w:r>
              <w:rPr>
                <w:rFonts w:hint="eastAsia" w:ascii="仿宋_GB2312" w:hAnsi="仿宋_GB2312" w:eastAsia="仿宋_GB2312" w:cs="仿宋_GB2312"/>
                <w:color w:val="auto"/>
                <w:sz w:val="22"/>
                <w:highlight w:val="none"/>
                <w:lang w:val="en-US" w:eastAsia="zh-CN"/>
              </w:rPr>
              <w:t>0</w:t>
            </w:r>
            <w:r>
              <w:rPr>
                <w:rFonts w:hint="eastAsia" w:ascii="仿宋_GB2312" w:hAnsi="仿宋_GB2312" w:eastAsia="仿宋_GB2312" w:cs="仿宋_GB2312"/>
                <w:color w:val="auto"/>
                <w:sz w:val="22"/>
                <w:highlight w:val="none"/>
              </w:rPr>
              <w:t>元</w:t>
            </w:r>
          </w:p>
        </w:tc>
        <w:tc>
          <w:tcPr>
            <w:tcW w:w="1022" w:type="dxa"/>
            <w:vMerge w:val="restart"/>
            <w:shd w:val="clear" w:color="auto" w:fill="auto"/>
            <w:vAlign w:val="center"/>
          </w:tcPr>
          <w:p w14:paraId="55CE2315">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b/>
                <w:bCs/>
                <w:color w:val="auto"/>
                <w:sz w:val="22"/>
                <w:highlight w:val="none"/>
              </w:rPr>
              <w:t>联系人</w:t>
            </w:r>
          </w:p>
        </w:tc>
        <w:tc>
          <w:tcPr>
            <w:tcW w:w="1501" w:type="dxa"/>
            <w:shd w:val="clear" w:color="auto" w:fill="auto"/>
            <w:vAlign w:val="center"/>
          </w:tcPr>
          <w:p w14:paraId="5A9780B1">
            <w:pPr>
              <w:jc w:val="left"/>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rPr>
              <w:t>姓名：</w:t>
            </w:r>
            <w:r>
              <w:rPr>
                <w:rFonts w:hint="eastAsia" w:ascii="仿宋_GB2312" w:hAnsi="仿宋_GB2312" w:eastAsia="仿宋_GB2312" w:cs="仿宋_GB2312"/>
                <w:color w:val="auto"/>
                <w:sz w:val="22"/>
                <w:highlight w:val="none"/>
                <w:lang w:val="en-US" w:eastAsia="zh-CN"/>
              </w:rPr>
              <w:t>龚航宇</w:t>
            </w:r>
          </w:p>
        </w:tc>
      </w:tr>
      <w:tr w14:paraId="7A23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4" w:hRule="atLeast"/>
        </w:trPr>
        <w:tc>
          <w:tcPr>
            <w:tcW w:w="1561" w:type="dxa"/>
            <w:vMerge w:val="continue"/>
            <w:shd w:val="clear" w:color="auto" w:fill="auto"/>
            <w:vAlign w:val="center"/>
          </w:tcPr>
          <w:p w14:paraId="1997B664">
            <w:pPr>
              <w:rPr>
                <w:rFonts w:hint="eastAsia" w:ascii="仿宋_GB2312" w:hAnsi="仿宋_GB2312" w:eastAsia="仿宋_GB2312" w:cs="仿宋_GB2312"/>
                <w:color w:val="auto"/>
                <w:sz w:val="22"/>
                <w:highlight w:val="none"/>
              </w:rPr>
            </w:pPr>
          </w:p>
        </w:tc>
        <w:tc>
          <w:tcPr>
            <w:tcW w:w="2250" w:type="dxa"/>
            <w:gridSpan w:val="3"/>
            <w:vMerge w:val="continue"/>
            <w:shd w:val="clear" w:color="auto" w:fill="auto"/>
          </w:tcPr>
          <w:p w14:paraId="7A309C8B">
            <w:pPr>
              <w:rPr>
                <w:rFonts w:hint="eastAsia" w:ascii="仿宋_GB2312" w:hAnsi="仿宋_GB2312" w:eastAsia="仿宋_GB2312" w:cs="仿宋_GB2312"/>
                <w:color w:val="auto"/>
                <w:sz w:val="22"/>
                <w:highlight w:val="none"/>
              </w:rPr>
            </w:pPr>
          </w:p>
        </w:tc>
        <w:tc>
          <w:tcPr>
            <w:tcW w:w="770" w:type="dxa"/>
            <w:vMerge w:val="continue"/>
            <w:shd w:val="clear" w:color="auto" w:fill="auto"/>
            <w:vAlign w:val="center"/>
          </w:tcPr>
          <w:p w14:paraId="3B23EB0C">
            <w:pPr>
              <w:rPr>
                <w:rFonts w:hint="eastAsia" w:ascii="仿宋_GB2312" w:hAnsi="仿宋_GB2312" w:eastAsia="仿宋_GB2312" w:cs="仿宋_GB2312"/>
                <w:color w:val="auto"/>
                <w:sz w:val="22"/>
                <w:highlight w:val="none"/>
              </w:rPr>
            </w:pPr>
          </w:p>
        </w:tc>
        <w:tc>
          <w:tcPr>
            <w:tcW w:w="3226" w:type="dxa"/>
            <w:vMerge w:val="continue"/>
            <w:shd w:val="clear" w:color="auto" w:fill="auto"/>
            <w:vAlign w:val="center"/>
          </w:tcPr>
          <w:p w14:paraId="10A60D97">
            <w:pPr>
              <w:rPr>
                <w:rFonts w:hint="eastAsia" w:ascii="仿宋_GB2312" w:hAnsi="仿宋_GB2312" w:eastAsia="仿宋_GB2312" w:cs="仿宋_GB2312"/>
                <w:color w:val="auto"/>
                <w:sz w:val="22"/>
                <w:highlight w:val="none"/>
              </w:rPr>
            </w:pPr>
          </w:p>
        </w:tc>
        <w:tc>
          <w:tcPr>
            <w:tcW w:w="1022" w:type="dxa"/>
            <w:vMerge w:val="continue"/>
            <w:shd w:val="clear" w:color="auto" w:fill="auto"/>
            <w:vAlign w:val="center"/>
          </w:tcPr>
          <w:p w14:paraId="0293BD22">
            <w:pPr>
              <w:rPr>
                <w:rFonts w:hint="eastAsia" w:ascii="仿宋_GB2312" w:hAnsi="仿宋_GB2312" w:eastAsia="仿宋_GB2312" w:cs="仿宋_GB2312"/>
                <w:color w:val="auto"/>
                <w:sz w:val="22"/>
                <w:highlight w:val="none"/>
              </w:rPr>
            </w:pPr>
          </w:p>
        </w:tc>
        <w:tc>
          <w:tcPr>
            <w:tcW w:w="1501" w:type="dxa"/>
            <w:shd w:val="clear" w:color="auto" w:fill="auto"/>
            <w:vAlign w:val="center"/>
          </w:tcPr>
          <w:p w14:paraId="18B535B5">
            <w:pPr>
              <w:jc w:val="left"/>
              <w:rPr>
                <w:rFonts w:hint="default"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rPr>
              <w:t>电话：</w:t>
            </w:r>
            <w:r>
              <w:rPr>
                <w:rFonts w:hint="eastAsia" w:ascii="仿宋_GB2312" w:hAnsi="仿宋_GB2312" w:eastAsia="仿宋_GB2312" w:cs="仿宋_GB2312"/>
                <w:color w:val="auto"/>
                <w:sz w:val="22"/>
                <w:highlight w:val="none"/>
                <w:lang w:val="en-US" w:eastAsia="zh-CN"/>
              </w:rPr>
              <w:t>13506896253</w:t>
            </w:r>
          </w:p>
        </w:tc>
      </w:tr>
      <w:tr w14:paraId="231B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8" w:hRule="atLeast"/>
        </w:trPr>
        <w:tc>
          <w:tcPr>
            <w:tcW w:w="1561" w:type="dxa"/>
            <w:shd w:val="clear" w:color="auto" w:fill="auto"/>
            <w:vAlign w:val="center"/>
          </w:tcPr>
          <w:p w14:paraId="0ECA2496">
            <w:pP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sz w:val="22"/>
                <w:highlight w:val="none"/>
              </w:rPr>
              <w:t>评标法</w:t>
            </w:r>
          </w:p>
        </w:tc>
        <w:tc>
          <w:tcPr>
            <w:tcW w:w="8769" w:type="dxa"/>
            <w:gridSpan w:val="7"/>
            <w:shd w:val="clear" w:color="auto" w:fill="auto"/>
            <w:vAlign w:val="center"/>
          </w:tcPr>
          <w:p w14:paraId="1A3C92C8">
            <w:pPr>
              <w:ind w:firstLine="110" w:firstLineChars="50"/>
              <w:jc w:val="left"/>
              <w:rPr>
                <w:rFonts w:hint="eastAsia" w:ascii="仿宋_GB2312" w:hAnsi="仿宋_GB2312" w:eastAsia="仿宋_GB2312" w:cs="仿宋_GB2312"/>
                <w:color w:val="auto"/>
                <w:sz w:val="22"/>
                <w:highlight w:val="none"/>
                <w:lang w:eastAsia="zh-CN"/>
              </w:rPr>
            </w:pPr>
          </w:p>
        </w:tc>
      </w:tr>
      <w:tr w14:paraId="7C35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561" w:type="dxa"/>
            <w:shd w:val="clear" w:color="auto" w:fill="auto"/>
            <w:vAlign w:val="center"/>
          </w:tcPr>
          <w:p w14:paraId="45816079">
            <w:pP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sz w:val="22"/>
                <w:highlight w:val="none"/>
              </w:rPr>
              <w:t>投标供应商资格要求</w:t>
            </w:r>
          </w:p>
        </w:tc>
        <w:tc>
          <w:tcPr>
            <w:tcW w:w="8769" w:type="dxa"/>
            <w:gridSpan w:val="7"/>
            <w:shd w:val="clear" w:color="auto" w:fill="auto"/>
          </w:tcPr>
          <w:p w14:paraId="68773BCE">
            <w:pPr>
              <w:spacing w:line="32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1.符合《政府采购法》规定，有以上服务能力的，并具有较强经济实力、良好信誉和售后服务能力的单位，均可参加；</w:t>
            </w:r>
          </w:p>
          <w:p w14:paraId="4D9A2F4E">
            <w:pPr>
              <w:spacing w:line="32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2.具有浙江省财政厅颁发的会计师事务所《执业证书》；</w:t>
            </w:r>
          </w:p>
          <w:p w14:paraId="43EAB231">
            <w:pPr>
              <w:spacing w:line="32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参加政府采购活动前三年内，在经营活动中没有重大违法记录的企业。同时没有下列不良行为：在公开网站上能查到的被财政部或浙江省财政厅处理（或处罚）而处于暂停政府采购资格期的或处于暂停承接业务资格期的；被义乌市政府采购监管部门列入不良行为还在处罚期内的或者处于暂停政府采购资格期的。</w:t>
            </w:r>
          </w:p>
          <w:p w14:paraId="0464078A">
            <w:pPr>
              <w:spacing w:line="32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4.本项目不接受联合体投标。</w:t>
            </w:r>
          </w:p>
          <w:p w14:paraId="0C036903">
            <w:pPr>
              <w:spacing w:line="32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5.对</w:t>
            </w:r>
            <w:r>
              <w:rPr>
                <w:rFonts w:hint="eastAsia" w:ascii="仿宋_GB2312" w:hAnsi="仿宋_GB2312" w:eastAsia="仿宋_GB2312" w:cs="仿宋_GB2312"/>
                <w:color w:val="auto"/>
                <w:highlight w:val="none"/>
              </w:rPr>
              <w:t>存在有效期的资信证明文件必须在有效期内，提供过期的资信证明文件无效。</w:t>
            </w:r>
          </w:p>
          <w:p w14:paraId="4D5AA742">
            <w:pPr>
              <w:pStyle w:val="3"/>
              <w:spacing w:line="320" w:lineRule="exac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6.能在规定的时限内完成委托审计项目，愿意接受学校审计处的全程管理与监督</w:t>
            </w:r>
            <w:r>
              <w:rPr>
                <w:rFonts w:hint="eastAsia" w:ascii="仿宋_GB2312" w:hAnsi="仿宋_GB2312" w:eastAsia="仿宋_GB2312" w:cs="仿宋_GB2312"/>
                <w:color w:val="auto"/>
                <w:highlight w:val="none"/>
              </w:rPr>
              <w:t>；</w:t>
            </w:r>
          </w:p>
          <w:p w14:paraId="290C5AAE">
            <w:pPr>
              <w:spacing w:line="320" w:lineRule="exact"/>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7.具备承担审计风险（含法律责任）的能力。</w:t>
            </w:r>
          </w:p>
        </w:tc>
      </w:tr>
      <w:tr w14:paraId="57ABF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trPr>
        <w:tc>
          <w:tcPr>
            <w:tcW w:w="1561" w:type="dxa"/>
            <w:shd w:val="clear" w:color="auto" w:fill="auto"/>
            <w:vAlign w:val="center"/>
          </w:tcPr>
          <w:p w14:paraId="12BAF9C6">
            <w:pP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sz w:val="22"/>
                <w:highlight w:val="none"/>
              </w:rPr>
              <w:t>所投产品或报名的资料文件</w:t>
            </w:r>
          </w:p>
        </w:tc>
        <w:tc>
          <w:tcPr>
            <w:tcW w:w="8769" w:type="dxa"/>
            <w:gridSpan w:val="7"/>
            <w:shd w:val="clear" w:color="auto" w:fill="auto"/>
            <w:vAlign w:val="center"/>
          </w:tcPr>
          <w:p w14:paraId="395EE1C6">
            <w:pPr>
              <w:adjustRightInd w:val="0"/>
              <w:spacing w:line="320" w:lineRule="exact"/>
              <w:jc w:val="both"/>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无</w:t>
            </w:r>
          </w:p>
        </w:tc>
      </w:tr>
      <w:tr w14:paraId="008F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trPr>
        <w:tc>
          <w:tcPr>
            <w:tcW w:w="1561" w:type="dxa"/>
            <w:vMerge w:val="restart"/>
            <w:shd w:val="clear" w:color="auto" w:fill="auto"/>
            <w:vAlign w:val="center"/>
          </w:tcPr>
          <w:p w14:paraId="01322B41">
            <w:pP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sz w:val="22"/>
                <w:highlight w:val="none"/>
              </w:rPr>
              <w:t>货物/服务技术要求</w:t>
            </w:r>
          </w:p>
        </w:tc>
        <w:tc>
          <w:tcPr>
            <w:tcW w:w="717" w:type="dxa"/>
            <w:shd w:val="clear" w:color="auto" w:fill="auto"/>
            <w:vAlign w:val="center"/>
          </w:tcPr>
          <w:p w14:paraId="0F414610">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序号</w:t>
            </w:r>
          </w:p>
        </w:tc>
        <w:tc>
          <w:tcPr>
            <w:tcW w:w="1193" w:type="dxa"/>
            <w:shd w:val="clear" w:color="auto" w:fill="auto"/>
            <w:vAlign w:val="center"/>
          </w:tcPr>
          <w:p w14:paraId="436696D6">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物资名称</w:t>
            </w:r>
          </w:p>
        </w:tc>
        <w:tc>
          <w:tcPr>
            <w:tcW w:w="4336" w:type="dxa"/>
            <w:gridSpan w:val="3"/>
            <w:shd w:val="clear" w:color="auto" w:fill="auto"/>
            <w:vAlign w:val="center"/>
          </w:tcPr>
          <w:p w14:paraId="28E390DD">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技术参数</w:t>
            </w:r>
          </w:p>
        </w:tc>
        <w:tc>
          <w:tcPr>
            <w:tcW w:w="1022" w:type="dxa"/>
            <w:shd w:val="clear" w:color="auto" w:fill="auto"/>
            <w:vAlign w:val="center"/>
          </w:tcPr>
          <w:p w14:paraId="3606B467">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数量</w:t>
            </w:r>
          </w:p>
          <w:p w14:paraId="202A6519">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(单位)</w:t>
            </w:r>
          </w:p>
        </w:tc>
        <w:tc>
          <w:tcPr>
            <w:tcW w:w="1501" w:type="dxa"/>
            <w:shd w:val="clear" w:color="auto" w:fill="auto"/>
            <w:vAlign w:val="center"/>
          </w:tcPr>
          <w:p w14:paraId="08DAF168">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效果图</w:t>
            </w:r>
          </w:p>
          <w:p w14:paraId="79EBBFF6">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仅供参考</w:t>
            </w:r>
          </w:p>
        </w:tc>
      </w:tr>
      <w:tr w14:paraId="0BB3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5" w:hRule="atLeast"/>
        </w:trPr>
        <w:tc>
          <w:tcPr>
            <w:tcW w:w="1561" w:type="dxa"/>
            <w:vMerge w:val="continue"/>
            <w:shd w:val="clear" w:color="auto" w:fill="auto"/>
            <w:vAlign w:val="center"/>
          </w:tcPr>
          <w:p w14:paraId="024E0043">
            <w:pPr>
              <w:rPr>
                <w:rFonts w:hint="eastAsia" w:ascii="仿宋_GB2312" w:hAnsi="仿宋_GB2312" w:eastAsia="仿宋_GB2312" w:cs="仿宋_GB2312"/>
                <w:color w:val="auto"/>
                <w:sz w:val="22"/>
                <w:highlight w:val="none"/>
              </w:rPr>
            </w:pPr>
          </w:p>
        </w:tc>
        <w:tc>
          <w:tcPr>
            <w:tcW w:w="717" w:type="dxa"/>
            <w:shd w:val="clear" w:color="auto" w:fill="auto"/>
            <w:vAlign w:val="center"/>
          </w:tcPr>
          <w:p w14:paraId="1068CA3C">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1</w:t>
            </w:r>
          </w:p>
        </w:tc>
        <w:tc>
          <w:tcPr>
            <w:tcW w:w="1193" w:type="dxa"/>
            <w:shd w:val="clear" w:color="auto" w:fill="auto"/>
            <w:vAlign w:val="center"/>
          </w:tcPr>
          <w:p w14:paraId="530A81F8">
            <w:pP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202</w:t>
            </w:r>
            <w:r>
              <w:rPr>
                <w:rFonts w:hint="eastAsia" w:ascii="仿宋_GB2312" w:hAnsi="仿宋_GB2312" w:eastAsia="仿宋_GB2312" w:cs="仿宋_GB2312"/>
                <w:color w:val="auto"/>
                <w:sz w:val="22"/>
                <w:highlight w:val="none"/>
                <w:lang w:val="en-US" w:eastAsia="zh-CN"/>
              </w:rPr>
              <w:t>5</w:t>
            </w:r>
            <w:r>
              <w:rPr>
                <w:rFonts w:hint="eastAsia" w:ascii="仿宋_GB2312" w:hAnsi="仿宋_GB2312" w:eastAsia="仿宋_GB2312" w:cs="仿宋_GB2312"/>
                <w:color w:val="auto"/>
                <w:sz w:val="22"/>
                <w:highlight w:val="none"/>
              </w:rPr>
              <w:t>年度审计项目服务</w:t>
            </w:r>
          </w:p>
        </w:tc>
        <w:tc>
          <w:tcPr>
            <w:tcW w:w="4336" w:type="dxa"/>
            <w:gridSpan w:val="3"/>
            <w:shd w:val="clear" w:color="auto" w:fill="auto"/>
            <w:vAlign w:val="center"/>
          </w:tcPr>
          <w:p w14:paraId="3BE6E5EF">
            <w:pPr>
              <w:numPr>
                <w:ilvl w:val="0"/>
                <w:numId w:val="0"/>
              </w:numP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委托审计的内容：</w:t>
            </w:r>
          </w:p>
          <w:p w14:paraId="3FDDAA3A">
            <w:pPr>
              <w:numPr>
                <w:ilvl w:val="0"/>
                <w:numId w:val="0"/>
              </w:numPr>
              <w:ind w:firstLine="422" w:firstLineChars="200"/>
              <w:jc w:val="left"/>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b/>
                <w:bCs/>
                <w:color w:val="auto"/>
                <w:szCs w:val="21"/>
                <w:highlight w:val="none"/>
                <w:lang w:val="en-US" w:eastAsia="zh-CN"/>
              </w:rPr>
              <w:t>一、国际交流经费（2020.01-2024.12，重点为2023.01-2024.12）专项审计</w:t>
            </w:r>
          </w:p>
          <w:p w14:paraId="6542A1F2">
            <w:pPr>
              <w:numPr>
                <w:ilvl w:val="0"/>
                <w:numId w:val="0"/>
              </w:num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主要内容包括：</w:t>
            </w:r>
          </w:p>
          <w:p w14:paraId="664A0401">
            <w:pPr>
              <w:numPr>
                <w:ilvl w:val="0"/>
                <w:numId w:val="0"/>
              </w:numPr>
              <w:shd w:val="clear"/>
              <w:ind w:firstLine="420" w:firstLineChars="20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因公出国（境）费预算管理情况。预算编制是否完整、准确、细化，是否存在无预算、超预算支出，预决算信息是否及时、全面、准确、公开等；是否有上级部门批准文件，出国（境）事由是否合理；填报的《因公临时出国任务和预算审批意见表》是否由单位外事和财务部门分别出具审签意见；</w:t>
            </w:r>
          </w:p>
          <w:p w14:paraId="4AD75D2B">
            <w:pPr>
              <w:numPr>
                <w:ilvl w:val="0"/>
                <w:numId w:val="0"/>
              </w:numPr>
              <w:shd w:val="clear"/>
              <w:ind w:firstLine="420" w:firstLineChars="20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因公出国（境）管理情况。是否建立因公临时出国（境）计划与财务管理的内部控制制度，是否严格按照规定编制年度因公出国（境）计划，计划调整是否报经批准；有无安排与本单位业务工作无关的出国（境）考察或者培训，有无私自通过旅行社等组织出国（境）活动，有无擅自改变出国（境）线路、增加访问国家、延长在国（境）外停留时间，是否存在以培训学习、会议考察为名组织干部职工外出观光旅游问题；</w:t>
            </w:r>
          </w:p>
          <w:p w14:paraId="31ABDBEF">
            <w:pPr>
              <w:numPr>
                <w:ilvl w:val="0"/>
                <w:numId w:val="0"/>
              </w:numPr>
              <w:shd w:val="clear"/>
              <w:ind w:firstLine="420" w:firstLineChars="20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因公出国（境）费开支情况。有无超标准列支出国（境）费用，有无向其他单位转嫁、摊派出国（境）费用等；是否违规扩大出国经费开支范围、擅自提高经费开支标准；报销凭证是否附有团组负责人审核签字的国外费用报销单，并用中文注明开支内容、日期、数量、金额等；出国（境）人员是否超次数出国（境）、所乘飞机舱位、住宿、用车是否超标准；是否在出国(境)期间用公款相互宴请或接受礼金、贵重礼品、有价证券等；</w:t>
            </w:r>
          </w:p>
          <w:p w14:paraId="41B8F769">
            <w:pPr>
              <w:numPr>
                <w:ilvl w:val="0"/>
                <w:numId w:val="0"/>
              </w:numPr>
              <w:shd w:val="clear"/>
              <w:ind w:firstLine="420" w:firstLineChars="20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4.因公出国（境）绩效目标情况。预定目的是否达到，考察报告和评估反映的结果是否真实有效。</w:t>
            </w:r>
          </w:p>
          <w:p w14:paraId="0E4232F5">
            <w:pPr>
              <w:numPr>
                <w:ilvl w:val="0"/>
                <w:numId w:val="0"/>
              </w:numPr>
              <w:shd w:val="clear"/>
              <w:ind w:firstLine="420" w:firstLineChars="200"/>
              <w:jc w:val="left"/>
              <w:rPr>
                <w:rFonts w:hint="eastAsia" w:ascii="仿宋_GB2312" w:hAnsi="仿宋_GB2312" w:eastAsia="仿宋_GB2312" w:cs="仿宋_GB2312"/>
                <w:color w:val="auto"/>
                <w:szCs w:val="21"/>
                <w:highlight w:val="none"/>
                <w:lang w:val="en-US" w:eastAsia="zh-CN"/>
              </w:rPr>
            </w:pPr>
            <w:bookmarkStart w:id="0" w:name="_GoBack"/>
            <w:r>
              <w:rPr>
                <w:rFonts w:hint="eastAsia" w:ascii="仿宋_GB2312" w:hAnsi="仿宋_GB2312" w:eastAsia="仿宋_GB2312" w:cs="仿宋_GB2312"/>
                <w:color w:val="auto"/>
                <w:szCs w:val="21"/>
                <w:highlight w:val="none"/>
                <w:lang w:val="en-US" w:eastAsia="zh-CN"/>
              </w:rPr>
              <w:t>5.义乌工商职业技术学院马来西亚丝路学院建设全流程服务与咨询采购项目经费使用情况是否规范，建设目标绩效预定目的是否达到，马来西亚丝路学院建设项目其他经费使用情况是否规范等。</w:t>
            </w:r>
          </w:p>
          <w:bookmarkEnd w:id="0"/>
          <w:p w14:paraId="745E57AA">
            <w:pPr>
              <w:numPr>
                <w:ilvl w:val="0"/>
                <w:numId w:val="0"/>
              </w:numPr>
              <w:shd w:val="clear"/>
              <w:ind w:firstLine="420" w:firstLineChars="200"/>
              <w:jc w:val="left"/>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Cs w:val="21"/>
                <w:highlight w:val="none"/>
                <w:lang w:val="en-US" w:eastAsia="zh-CN"/>
              </w:rPr>
              <w:t>6.其它需要审计的事项。</w:t>
            </w:r>
          </w:p>
          <w:p w14:paraId="6373FB90">
            <w:pPr>
              <w:numPr>
                <w:ilvl w:val="0"/>
                <w:numId w:val="0"/>
              </w:numPr>
              <w:shd w:val="clear"/>
              <w:ind w:firstLine="420" w:firstLineChars="200"/>
              <w:jc w:val="left"/>
              <w:rPr>
                <w:rFonts w:hint="default" w:ascii="仿宋_GB2312" w:hAnsi="仿宋_GB2312" w:eastAsia="仿宋_GB2312" w:cs="仿宋_GB2312"/>
                <w:color w:val="auto"/>
                <w:szCs w:val="21"/>
                <w:highlight w:val="none"/>
                <w:lang w:val="en-US" w:eastAsia="zh-CN"/>
              </w:rPr>
            </w:pPr>
          </w:p>
          <w:p w14:paraId="6FC7A958">
            <w:pPr>
              <w:numPr>
                <w:ilvl w:val="0"/>
                <w:numId w:val="0"/>
              </w:numPr>
              <w:ind w:firstLine="422" w:firstLineChars="200"/>
              <w:jc w:val="left"/>
              <w:rPr>
                <w:rFonts w:hint="eastAsia" w:ascii="仿宋_GB2312" w:hAnsi="仿宋_GB2312" w:eastAsia="仿宋_GB2312" w:cs="仿宋_GB2312"/>
                <w:color w:val="auto"/>
                <w:sz w:val="22"/>
                <w:highlight w:val="none"/>
                <w:lang w:eastAsia="zh-CN"/>
              </w:rPr>
            </w:pPr>
            <w:r>
              <w:rPr>
                <w:rFonts w:hint="eastAsia" w:ascii="仿宋_GB2312" w:hAnsi="仿宋_GB2312" w:eastAsia="仿宋_GB2312" w:cs="仿宋_GB2312"/>
                <w:b/>
                <w:bCs/>
                <w:color w:val="auto"/>
                <w:szCs w:val="21"/>
                <w:highlight w:val="none"/>
                <w:lang w:val="en-US" w:eastAsia="zh-CN"/>
              </w:rPr>
              <w:t>二、公务接待经费（2023.01-2024.12）专项审计</w:t>
            </w:r>
          </w:p>
          <w:p w14:paraId="1D79D72C">
            <w:pPr>
              <w:numPr>
                <w:ilvl w:val="0"/>
                <w:numId w:val="0"/>
              </w:numPr>
              <w:shd w:val="clear"/>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主要内容包括：</w:t>
            </w:r>
          </w:p>
          <w:p w14:paraId="39B16D7C">
            <w:pPr>
              <w:numPr>
                <w:ilvl w:val="0"/>
                <w:numId w:val="0"/>
              </w:numPr>
              <w:shd w:val="clear"/>
              <w:ind w:firstLine="420" w:firstLineChars="200"/>
              <w:jc w:val="left"/>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公务接待经费管理情况。是否是否符合预算法规定执行预算管理，是否存在挤占挪用其他资金用于公务接待；是否存在追加预算经费，决算与预算是否相符；有无虚开发票，转移、掩盖三公经费，帐外列支等情况；</w:t>
            </w:r>
          </w:p>
          <w:p w14:paraId="2F220FF3">
            <w:pPr>
              <w:numPr>
                <w:ilvl w:val="0"/>
                <w:numId w:val="0"/>
              </w:numPr>
              <w:shd w:val="clear"/>
              <w:ind w:firstLine="420" w:firstLineChars="20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2.公务接待费用支付情况。是否严格按照国库集中支付制度和公务卡管理有关规定执行；</w:t>
            </w:r>
          </w:p>
          <w:p w14:paraId="29617E82">
            <w:pPr>
              <w:numPr>
                <w:ilvl w:val="0"/>
                <w:numId w:val="0"/>
              </w:numPr>
              <w:shd w:val="clear"/>
              <w:ind w:firstLine="420" w:firstLineChars="20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3.公务接待审批制度执行情况。是否执行“无公函不接待，先审批、后接待”的管理程序；是否将非公务活动纳入接待范围；是否执行机关、事业单位、国有企业同城不接待原则；</w:t>
            </w:r>
          </w:p>
          <w:p w14:paraId="43F9B837">
            <w:pPr>
              <w:numPr>
                <w:ilvl w:val="0"/>
                <w:numId w:val="0"/>
              </w:numPr>
              <w:shd w:val="clear"/>
              <w:ind w:firstLine="420" w:firstLineChars="20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4.公务接待清单制度执行情况。接待费报销凭证、接待审批单、原始票据、接待清单是否齐全，接待清单包括接待对象的单位、姓名、职务和公务活动项目、时间、场所、费用、原始菜单等内容；</w:t>
            </w:r>
          </w:p>
          <w:p w14:paraId="069EE674">
            <w:pPr>
              <w:numPr>
                <w:ilvl w:val="0"/>
                <w:numId w:val="0"/>
              </w:numPr>
              <w:shd w:val="clear"/>
              <w:ind w:firstLine="420" w:firstLineChars="20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5.接待工作用餐执行情况。接待标准是否严格执行上级有关规定，陪餐人数是否按规定执行。同一批客人来访一次，是否最多只接待一餐。接待工作餐是否使用高档白酒、香烟和高档菜肴等；</w:t>
            </w:r>
          </w:p>
          <w:p w14:paraId="0BF0C1B9">
            <w:pPr>
              <w:numPr>
                <w:ilvl w:val="0"/>
                <w:numId w:val="0"/>
              </w:numPr>
              <w:shd w:val="clear"/>
              <w:ind w:firstLine="420" w:firstLineChars="20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6.接待住宿执行情况。接待住宿是否按规定执行，在义乌市定点场所安排，执行协议价格。是否存在超接待对象住宿费标准安排接待住房，额外配发洗漱用品等；</w:t>
            </w:r>
          </w:p>
          <w:p w14:paraId="60420A0A">
            <w:pPr>
              <w:numPr>
                <w:ilvl w:val="0"/>
                <w:numId w:val="0"/>
              </w:numPr>
              <w:shd w:val="clear"/>
              <w:ind w:firstLine="420" w:firstLineChars="20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7.是否存在铺张浪费、违反中央八项规定精神用公款吃喝或安排与公务无关的宴请，是否存在安排参观旅游景点和高消费娱乐，赠送礼品、礼金、纪念品，是否用公款报销或者支付应由个人负担的费用等；</w:t>
            </w:r>
          </w:p>
          <w:p w14:paraId="149FA250">
            <w:pPr>
              <w:numPr>
                <w:ilvl w:val="0"/>
                <w:numId w:val="0"/>
              </w:numPr>
              <w:shd w:val="clear"/>
              <w:ind w:firstLine="420" w:firstLineChars="20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8.以往审计发现问题的整改情况；</w:t>
            </w:r>
          </w:p>
          <w:p w14:paraId="35CAFB41">
            <w:pPr>
              <w:numPr>
                <w:ilvl w:val="0"/>
                <w:numId w:val="0"/>
              </w:numPr>
              <w:shd w:val="clear"/>
              <w:ind w:firstLine="420" w:firstLineChars="200"/>
              <w:jc w:val="left"/>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Cs w:val="21"/>
                <w:highlight w:val="none"/>
                <w:lang w:val="en-US" w:eastAsia="zh-CN"/>
              </w:rPr>
              <w:t>9.其它需要审计的事项。</w:t>
            </w:r>
          </w:p>
          <w:p w14:paraId="40B1B177">
            <w:pPr>
              <w:numPr>
                <w:ilvl w:val="0"/>
                <w:numId w:val="0"/>
              </w:numPr>
              <w:shd w:val="clear"/>
              <w:ind w:firstLine="422" w:firstLineChars="200"/>
              <w:jc w:val="left"/>
              <w:rPr>
                <w:rFonts w:hint="eastAsia" w:ascii="仿宋_GB2312" w:hAnsi="仿宋_GB2312" w:eastAsia="仿宋_GB2312" w:cs="仿宋_GB2312"/>
                <w:b/>
                <w:bCs/>
                <w:color w:val="auto"/>
                <w:szCs w:val="21"/>
                <w:highlight w:val="none"/>
                <w:lang w:val="en-US" w:eastAsia="zh-CN"/>
              </w:rPr>
            </w:pPr>
          </w:p>
          <w:p w14:paraId="4F1E0921">
            <w:pPr>
              <w:numPr>
                <w:ilvl w:val="0"/>
                <w:numId w:val="0"/>
              </w:numPr>
              <w:shd w:val="clear"/>
              <w:ind w:firstLine="422" w:firstLineChars="200"/>
              <w:jc w:val="left"/>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b/>
                <w:bCs/>
                <w:color w:val="auto"/>
                <w:szCs w:val="21"/>
                <w:highlight w:val="none"/>
                <w:lang w:val="en-US" w:eastAsia="zh-CN"/>
              </w:rPr>
              <w:t>三、对10位中层领导干部进行任期经济责任审计</w:t>
            </w:r>
            <w:r>
              <w:rPr>
                <w:rFonts w:hint="eastAsia" w:ascii="仿宋_GB2312" w:hAnsi="仿宋_GB2312" w:eastAsia="仿宋_GB2312" w:cs="仿宋_GB2312"/>
                <w:color w:val="auto"/>
                <w:szCs w:val="21"/>
                <w:highlight w:val="none"/>
                <w:lang w:val="en-US" w:eastAsia="zh-CN"/>
              </w:rPr>
              <w:t>（时间段：蒋祝仙为2023.01-2024.12 ；季振华为2022.06-2024.12，追溯期2022.01-2022.05；张旭明、冯坤野、周刚、陈庆为2023.01-2024.12，追溯期2022.01-2022.12；其余4人为2022.01-2024.12）</w:t>
            </w:r>
          </w:p>
          <w:p w14:paraId="0CBBBFEC">
            <w:pPr>
              <w:numPr>
                <w:ilvl w:val="0"/>
                <w:numId w:val="0"/>
              </w:num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主要内容包括:</w:t>
            </w:r>
          </w:p>
          <w:p w14:paraId="4DF2BF79">
            <w:pPr>
              <w:numPr>
                <w:ilvl w:val="0"/>
                <w:numId w:val="0"/>
              </w:numPr>
              <w:shd w:val="clea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（一）履职尽责情况</w:t>
            </w:r>
          </w:p>
          <w:p w14:paraId="498C2DB1">
            <w:pPr>
              <w:numPr>
                <w:ilvl w:val="0"/>
                <w:numId w:val="0"/>
              </w:numPr>
              <w:shd w:val="clea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1.贯彻执行党和国家经济方针政策、上级决策部署和学校党委、行政工作要求情况；</w:t>
            </w:r>
          </w:p>
          <w:p w14:paraId="61D0E400">
            <w:pPr>
              <w:numPr>
                <w:ilvl w:val="0"/>
                <w:numId w:val="0"/>
              </w:numPr>
              <w:shd w:val="clea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2.在经济活动中落实有关党风廉政建设责任和遵守廉洁从业规定情况；</w:t>
            </w:r>
          </w:p>
          <w:p w14:paraId="55E2D784">
            <w:pPr>
              <w:numPr>
                <w:ilvl w:val="0"/>
                <w:numId w:val="0"/>
              </w:numPr>
              <w:shd w:val="clea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3.“三重一大”事项的决策、执行和效果情况；</w:t>
            </w:r>
          </w:p>
          <w:p w14:paraId="095EB272">
            <w:pPr>
              <w:numPr>
                <w:ilvl w:val="0"/>
                <w:numId w:val="0"/>
              </w:numPr>
              <w:shd w:val="clea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4.依照学校有关规定，履行职责、完成管理服务目标情况；</w:t>
            </w:r>
          </w:p>
          <w:p w14:paraId="55B9D520">
            <w:pPr>
              <w:numPr>
                <w:ilvl w:val="0"/>
                <w:numId w:val="0"/>
              </w:numPr>
              <w:shd w:val="clea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（二）优化管理情况</w:t>
            </w:r>
          </w:p>
          <w:p w14:paraId="32144932">
            <w:pPr>
              <w:numPr>
                <w:ilvl w:val="0"/>
                <w:numId w:val="0"/>
              </w:numPr>
              <w:shd w:val="clea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1.发展规划和制度措施的制定、执行和效果情况；</w:t>
            </w:r>
          </w:p>
          <w:p w14:paraId="7D010E9D">
            <w:pPr>
              <w:numPr>
                <w:ilvl w:val="0"/>
                <w:numId w:val="0"/>
              </w:numPr>
              <w:shd w:val="clea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2.主要业务活动（包括财务与预算管理、资产管理、人力资源管理、采购管理、建设工程管理、合同管理、教学管理、科研管理、学生管理等）的内部控制和风险防范情况；</w:t>
            </w:r>
          </w:p>
          <w:p w14:paraId="27F55F83">
            <w:pPr>
              <w:numPr>
                <w:ilvl w:val="0"/>
                <w:numId w:val="0"/>
              </w:numPr>
              <w:shd w:val="clear"/>
              <w:rPr>
                <w:rFonts w:hint="eastAsia" w:ascii="仿宋_GB2312" w:hAnsi="仿宋_GB2312" w:eastAsia="仿宋_GB2312" w:cs="仿宋_GB2312"/>
                <w:strike w:val="0"/>
                <w:dstrike w:val="0"/>
                <w:color w:val="auto"/>
                <w:szCs w:val="21"/>
                <w:highlight w:val="none"/>
                <w:lang w:val="en-US" w:eastAsia="zh-CN"/>
              </w:rPr>
            </w:pPr>
            <w:r>
              <w:rPr>
                <w:rFonts w:hint="eastAsia" w:ascii="仿宋_GB2312" w:hAnsi="仿宋_GB2312" w:eastAsia="仿宋_GB2312" w:cs="仿宋_GB2312"/>
                <w:strike w:val="0"/>
                <w:dstrike w:val="0"/>
                <w:color w:val="auto"/>
                <w:szCs w:val="21"/>
                <w:highlight w:val="none"/>
                <w:lang w:val="en-US" w:eastAsia="zh-CN"/>
              </w:rPr>
              <w:t>3.学校党政管理机构对学校教学机构、科研机构、教辅机构等部门相关经济活动的监督、管理情况。</w:t>
            </w:r>
          </w:p>
          <w:p w14:paraId="5DE86453">
            <w:pPr>
              <w:numPr>
                <w:ilvl w:val="0"/>
                <w:numId w:val="0"/>
              </w:numPr>
              <w:shd w:val="clea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（三）绩效管理情况</w:t>
            </w:r>
          </w:p>
          <w:p w14:paraId="64369AB6">
            <w:pPr>
              <w:numPr>
                <w:ilvl w:val="0"/>
                <w:numId w:val="0"/>
              </w:numPr>
              <w:shd w:val="clea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strike w:val="0"/>
                <w:dstrike w:val="0"/>
                <w:color w:val="auto"/>
                <w:szCs w:val="21"/>
                <w:highlight w:val="none"/>
                <w:lang w:val="en-US" w:eastAsia="zh-CN"/>
              </w:rPr>
              <w:t>学校党政管理机构、教学机构、科研机构、教辅机构等部门</w:t>
            </w:r>
            <w:r>
              <w:rPr>
                <w:rFonts w:hint="eastAsia" w:ascii="仿宋_GB2312" w:hAnsi="仿宋_GB2312" w:eastAsia="仿宋_GB2312" w:cs="仿宋_GB2312"/>
                <w:color w:val="auto"/>
                <w:szCs w:val="21"/>
                <w:highlight w:val="none"/>
                <w:lang w:val="en-US" w:eastAsia="zh-CN"/>
              </w:rPr>
              <w:t>取得的绩效。</w:t>
            </w:r>
          </w:p>
          <w:p w14:paraId="12C6985F">
            <w:pPr>
              <w:numPr>
                <w:ilvl w:val="0"/>
                <w:numId w:val="0"/>
              </w:numPr>
              <w:shd w:val="clea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（四）以往审计发现问题的整改情况</w:t>
            </w:r>
          </w:p>
          <w:p w14:paraId="535C460F">
            <w:pPr>
              <w:numPr>
                <w:ilvl w:val="0"/>
                <w:numId w:val="0"/>
              </w:numPr>
              <w:shd w:val="clea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（五）其他需要审计的内容</w:t>
            </w:r>
          </w:p>
          <w:p w14:paraId="5EF1159A">
            <w:pPr>
              <w:numPr>
                <w:ilvl w:val="0"/>
                <w:numId w:val="0"/>
              </w:numPr>
              <w:shd w:val="clear"/>
              <w:rPr>
                <w:rFonts w:hint="eastAsia" w:ascii="仿宋_GB2312" w:hAnsi="仿宋_GB2312" w:eastAsia="仿宋_GB2312" w:cs="仿宋_GB2312"/>
                <w:color w:val="auto"/>
                <w:szCs w:val="21"/>
                <w:highlight w:val="none"/>
                <w:lang w:val="en-US" w:eastAsia="zh-CN"/>
              </w:rPr>
            </w:pPr>
          </w:p>
          <w:p w14:paraId="49699AA5">
            <w:pPr>
              <w:numPr>
                <w:ilvl w:val="0"/>
                <w:numId w:val="0"/>
              </w:numPr>
              <w:shd w:val="clear"/>
              <w:rPr>
                <w:rFonts w:hint="eastAsia" w:ascii="仿宋_GB2312" w:hAnsi="仿宋_GB2312" w:eastAsia="仿宋_GB2312" w:cs="仿宋_GB2312"/>
                <w:b/>
                <w:bCs/>
                <w:color w:val="auto"/>
                <w:szCs w:val="21"/>
                <w:highlight w:val="none"/>
                <w:lang w:val="en-US" w:eastAsia="zh-CN"/>
              </w:rPr>
            </w:pPr>
            <w:r>
              <w:rPr>
                <w:rFonts w:hint="eastAsia" w:ascii="仿宋_GB2312" w:hAnsi="仿宋_GB2312" w:eastAsia="仿宋_GB2312" w:cs="仿宋_GB2312"/>
                <w:b/>
                <w:bCs/>
                <w:color w:val="auto"/>
                <w:szCs w:val="21"/>
                <w:highlight w:val="none"/>
                <w:lang w:val="en-US" w:eastAsia="zh-CN"/>
              </w:rPr>
              <w:t>五、其他要求</w:t>
            </w:r>
          </w:p>
          <w:p w14:paraId="503D85EB">
            <w:pPr>
              <w:numPr>
                <w:ilvl w:val="0"/>
                <w:numId w:val="0"/>
              </w:numPr>
              <w:shd w:val="clear"/>
              <w:rPr>
                <w:rFonts w:hint="eastAsia" w:ascii="仿宋_GB2312" w:hAnsi="仿宋_GB2312" w:eastAsia="仿宋_GB2312" w:cs="仿宋_GB2312"/>
                <w:strike w:val="0"/>
                <w:dstrike w:val="0"/>
                <w:color w:val="auto"/>
                <w:szCs w:val="21"/>
                <w:highlight w:val="none"/>
                <w:lang w:val="en-US" w:eastAsia="zh-CN"/>
              </w:rPr>
            </w:pPr>
            <w:r>
              <w:rPr>
                <w:rFonts w:hint="eastAsia" w:ascii="仿宋_GB2312" w:hAnsi="仿宋_GB2312" w:eastAsia="仿宋_GB2312" w:cs="仿宋_GB2312"/>
                <w:strike w:val="0"/>
                <w:dstrike w:val="0"/>
                <w:color w:val="auto"/>
                <w:szCs w:val="21"/>
                <w:highlight w:val="none"/>
                <w:lang w:val="en-US" w:eastAsia="zh-CN"/>
              </w:rPr>
              <w:t>1.社会中介机构依据委托审计业务约定书成立项目审计组，每个项目审计组审计人员不得少于2名，实行项目主审负责制，每个审计项目至少指定1名主审人员，主审人员必须具备中级及以上职称或注册会计师资格；</w:t>
            </w:r>
          </w:p>
          <w:p w14:paraId="71595CBC">
            <w:pPr>
              <w:numPr>
                <w:ilvl w:val="0"/>
                <w:numId w:val="0"/>
              </w:numPr>
              <w:shd w:val="clear"/>
              <w:rPr>
                <w:rFonts w:hint="eastAsia" w:ascii="仿宋_GB2312" w:hAnsi="仿宋_GB2312" w:eastAsia="仿宋_GB2312" w:cs="仿宋_GB2312"/>
                <w:strike w:val="0"/>
                <w:dstrike w:val="0"/>
                <w:color w:val="auto"/>
                <w:szCs w:val="21"/>
                <w:highlight w:val="none"/>
                <w:lang w:val="en-US" w:eastAsia="zh-CN"/>
              </w:rPr>
            </w:pPr>
            <w:r>
              <w:rPr>
                <w:rFonts w:hint="eastAsia" w:ascii="仿宋_GB2312" w:hAnsi="仿宋_GB2312" w:eastAsia="仿宋_GB2312" w:cs="仿宋_GB2312"/>
                <w:strike w:val="0"/>
                <w:dstrike w:val="0"/>
                <w:color w:val="auto"/>
                <w:szCs w:val="21"/>
                <w:highlight w:val="none"/>
                <w:lang w:val="en-US" w:eastAsia="zh-CN"/>
              </w:rPr>
              <w:t>2.2025年10月31日前出具审计报告一式十份，并提供全部审计证据资料复印件及相关电子文件；</w:t>
            </w:r>
          </w:p>
          <w:p w14:paraId="4300FD01">
            <w:pPr>
              <w:numPr>
                <w:ilvl w:val="0"/>
                <w:numId w:val="0"/>
              </w:numPr>
              <w:shd w:val="clear"/>
              <w:rPr>
                <w:rFonts w:hint="default" w:ascii="仿宋_GB2312" w:hAnsi="仿宋_GB2312" w:eastAsia="仿宋_GB2312" w:cs="仿宋_GB2312"/>
                <w:strike w:val="0"/>
                <w:dstrike w:val="0"/>
                <w:color w:val="auto"/>
                <w:szCs w:val="21"/>
                <w:highlight w:val="none"/>
                <w:lang w:val="en-US" w:eastAsia="zh-CN"/>
              </w:rPr>
            </w:pPr>
            <w:r>
              <w:rPr>
                <w:rFonts w:hint="eastAsia" w:ascii="仿宋_GB2312" w:hAnsi="仿宋_GB2312" w:eastAsia="仿宋_GB2312" w:cs="仿宋_GB2312"/>
                <w:strike w:val="0"/>
                <w:dstrike w:val="0"/>
                <w:color w:val="auto"/>
                <w:szCs w:val="21"/>
                <w:highlight w:val="none"/>
                <w:lang w:val="en-US" w:eastAsia="zh-CN"/>
              </w:rPr>
              <w:t>3.同时提供审计发现问题清单一式一份及电子版；根据审计发现问题清单要求，在每位中层领导干部经济责任审计、专项审计发现问题清单中完成每个问题的摘要、定性依据和整改建议；</w:t>
            </w:r>
            <w:r>
              <w:rPr>
                <w:rFonts w:hint="eastAsia" w:ascii="仿宋_GB2312" w:hAnsi="仿宋_GB2312" w:eastAsia="仿宋_GB2312" w:cs="仿宋_GB2312"/>
                <w:color w:val="auto"/>
                <w:highlight w:val="none"/>
                <w:lang w:val="en-US" w:eastAsia="zh-CN"/>
              </w:rPr>
              <w:t>同时提供发现问题、定性依据的佐证材料PDF扫描件；</w:t>
            </w:r>
          </w:p>
          <w:p w14:paraId="18A84342">
            <w:pPr>
              <w:numPr>
                <w:ilvl w:val="0"/>
                <w:numId w:val="0"/>
              </w:numPr>
              <w:shd w:val="clear"/>
              <w:rPr>
                <w:rFonts w:hint="eastAsia" w:ascii="仿宋_GB2312" w:hAnsi="仿宋_GB2312" w:eastAsia="仿宋_GB2312" w:cs="仿宋_GB2312"/>
                <w:color w:val="auto"/>
                <w:sz w:val="22"/>
                <w:highlight w:val="none"/>
              </w:rPr>
            </w:pPr>
            <w:r>
              <w:rPr>
                <w:rFonts w:hint="eastAsia" w:ascii="仿宋_GB2312" w:hAnsi="仿宋_GB2312" w:eastAsia="仿宋_GB2312" w:cs="仿宋_GB2312"/>
                <w:strike w:val="0"/>
                <w:dstrike w:val="0"/>
                <w:color w:val="auto"/>
                <w:szCs w:val="21"/>
                <w:highlight w:val="none"/>
                <w:lang w:val="en-US" w:eastAsia="zh-CN"/>
              </w:rPr>
              <w:t>4.社会中介机构必须制定详细的审计实施方案，在实施审计过程中，做好审计工作底稿，并严格按照委托审计业务约定书、审计准则和程序开展审计工作，保证独立、客观、公正的执业立场，遵守职业道德规范，接受学校审计处的业务指导和质量监督，切实维护学校的合法权益。</w:t>
            </w:r>
          </w:p>
        </w:tc>
        <w:tc>
          <w:tcPr>
            <w:tcW w:w="1022" w:type="dxa"/>
            <w:shd w:val="clear" w:color="auto" w:fill="auto"/>
            <w:vAlign w:val="center"/>
          </w:tcPr>
          <w:p w14:paraId="55B1532D">
            <w:pPr>
              <w:rPr>
                <w:rFonts w:hint="default"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12（专项审计2个，经济责任审计10人）</w:t>
            </w:r>
          </w:p>
        </w:tc>
        <w:tc>
          <w:tcPr>
            <w:tcW w:w="1501" w:type="dxa"/>
            <w:shd w:val="clear" w:color="auto" w:fill="auto"/>
            <w:vAlign w:val="center"/>
          </w:tcPr>
          <w:p w14:paraId="097BE4B5">
            <w:pPr>
              <w:rPr>
                <w:rFonts w:hint="eastAsia" w:ascii="仿宋_GB2312" w:hAnsi="仿宋_GB2312" w:eastAsia="仿宋_GB2312" w:cs="仿宋_GB2312"/>
                <w:color w:val="auto"/>
                <w:sz w:val="22"/>
                <w:highlight w:val="none"/>
              </w:rPr>
            </w:pPr>
          </w:p>
        </w:tc>
      </w:tr>
      <w:tr w14:paraId="4D00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6" w:hRule="atLeast"/>
        </w:trPr>
        <w:tc>
          <w:tcPr>
            <w:tcW w:w="1561" w:type="dxa"/>
            <w:vMerge w:val="restart"/>
            <w:shd w:val="clear" w:color="auto" w:fill="auto"/>
            <w:vAlign w:val="center"/>
          </w:tcPr>
          <w:p w14:paraId="655F6A13">
            <w:pP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sz w:val="22"/>
                <w:highlight w:val="none"/>
              </w:rPr>
              <w:t>供货及安装的问题</w:t>
            </w:r>
          </w:p>
        </w:tc>
        <w:tc>
          <w:tcPr>
            <w:tcW w:w="717" w:type="dxa"/>
            <w:shd w:val="clear" w:color="auto" w:fill="auto"/>
            <w:vAlign w:val="center"/>
          </w:tcPr>
          <w:p w14:paraId="671090CD">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时间</w:t>
            </w:r>
          </w:p>
        </w:tc>
        <w:tc>
          <w:tcPr>
            <w:tcW w:w="8052" w:type="dxa"/>
            <w:gridSpan w:val="6"/>
            <w:shd w:val="clear" w:color="auto" w:fill="auto"/>
            <w:vAlign w:val="center"/>
          </w:tcPr>
          <w:p w14:paraId="3FA7433C">
            <w:pPr>
              <w:rPr>
                <w:rFonts w:hint="eastAsia" w:ascii="仿宋_GB2312" w:hAnsi="仿宋_GB2312" w:eastAsia="仿宋_GB2312" w:cs="仿宋_GB2312"/>
                <w:color w:val="auto"/>
                <w:sz w:val="22"/>
                <w:highlight w:val="none"/>
              </w:rPr>
            </w:pPr>
            <w:r>
              <w:rPr>
                <w:rFonts w:hint="eastAsia" w:ascii="仿宋_GB2312" w:hAnsi="仿宋_GB2312" w:eastAsia="仿宋_GB2312" w:cs="仿宋_GB2312"/>
                <w:bCs/>
                <w:color w:val="auto"/>
                <w:szCs w:val="21"/>
                <w:highlight w:val="none"/>
              </w:rPr>
              <w:t>采购人指定时间内完成</w:t>
            </w:r>
          </w:p>
        </w:tc>
      </w:tr>
      <w:tr w14:paraId="25D1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0" w:hRule="atLeast"/>
        </w:trPr>
        <w:tc>
          <w:tcPr>
            <w:tcW w:w="1561" w:type="dxa"/>
            <w:vMerge w:val="continue"/>
            <w:shd w:val="clear" w:color="auto" w:fill="auto"/>
            <w:vAlign w:val="center"/>
          </w:tcPr>
          <w:p w14:paraId="3F411767">
            <w:pPr>
              <w:rPr>
                <w:rFonts w:hint="eastAsia" w:ascii="仿宋_GB2312" w:hAnsi="仿宋_GB2312" w:eastAsia="仿宋_GB2312" w:cs="仿宋_GB2312"/>
                <w:color w:val="auto"/>
                <w:sz w:val="22"/>
                <w:highlight w:val="none"/>
              </w:rPr>
            </w:pPr>
          </w:p>
        </w:tc>
        <w:tc>
          <w:tcPr>
            <w:tcW w:w="717" w:type="dxa"/>
            <w:shd w:val="clear" w:color="auto" w:fill="auto"/>
            <w:vAlign w:val="center"/>
          </w:tcPr>
          <w:p w14:paraId="30356EEF">
            <w:pPr>
              <w:jc w:val="cente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地点</w:t>
            </w:r>
          </w:p>
        </w:tc>
        <w:tc>
          <w:tcPr>
            <w:tcW w:w="8052" w:type="dxa"/>
            <w:gridSpan w:val="6"/>
            <w:shd w:val="clear" w:color="auto" w:fill="auto"/>
            <w:vAlign w:val="center"/>
          </w:tcPr>
          <w:p w14:paraId="6D297F6E">
            <w:pPr>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义乌工商职业技术学院采购中心</w:t>
            </w:r>
          </w:p>
        </w:tc>
      </w:tr>
      <w:tr w14:paraId="6B30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8" w:hRule="atLeast"/>
        </w:trPr>
        <w:tc>
          <w:tcPr>
            <w:tcW w:w="1561" w:type="dxa"/>
            <w:shd w:val="clear" w:color="auto" w:fill="auto"/>
            <w:vAlign w:val="center"/>
          </w:tcPr>
          <w:p w14:paraId="1A5CCFAB">
            <w:pP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sz w:val="22"/>
                <w:highlight w:val="none"/>
              </w:rPr>
              <w:t>质保要求</w:t>
            </w:r>
          </w:p>
        </w:tc>
        <w:tc>
          <w:tcPr>
            <w:tcW w:w="8769" w:type="dxa"/>
            <w:gridSpan w:val="7"/>
            <w:shd w:val="clear" w:color="auto" w:fill="auto"/>
          </w:tcPr>
          <w:p w14:paraId="19552AAC">
            <w:pPr>
              <w:adjustRightInd w:val="0"/>
              <w:spacing w:line="320" w:lineRule="exact"/>
              <w:ind w:firstLine="420"/>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r>
              <w:rPr>
                <w:rFonts w:hint="eastAsia" w:ascii="仿宋_GB2312" w:hAnsi="仿宋_GB2312" w:eastAsia="仿宋_GB2312" w:cs="仿宋_GB2312"/>
                <w:color w:val="auto"/>
                <w:highlight w:val="none"/>
                <w:lang w:val="en-US" w:eastAsia="zh-CN"/>
              </w:rPr>
              <w:t>按合同约定时间出具审计报告，并提供全部审计证据资料复印件及相关电子文件；同时提供审计发现问题清单一式一份及电子版，包括发现问题、定性依据的佐证材料PDF扫描件；</w:t>
            </w:r>
          </w:p>
          <w:p w14:paraId="1F372CAA">
            <w:pPr>
              <w:adjustRightInd w:val="0"/>
              <w:spacing w:line="320" w:lineRule="exact"/>
              <w:ind w:firstLine="420"/>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2.中介机构未能全面有效履行合同规定的义务，有下列情形之一的，审计处可以向学校建议终止委托审计业务，拒付或酌情扣减审计费用，依法追究其责任并责成其赔偿经济损失：</w:t>
            </w:r>
          </w:p>
          <w:p w14:paraId="2D9284B3">
            <w:pPr>
              <w:adjustRightInd w:val="0"/>
              <w:spacing w:line="320" w:lineRule="exact"/>
              <w:ind w:firstLine="420"/>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（一）未按合同的要求实施审计，随意简化审计程序；</w:t>
            </w:r>
          </w:p>
          <w:p w14:paraId="5F691CBD">
            <w:pPr>
              <w:adjustRightInd w:val="0"/>
              <w:spacing w:line="320" w:lineRule="exact"/>
              <w:ind w:firstLine="420"/>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（二）审计程序不规范，审计报告严重失实，审计结论不准确，且拒绝进行重新审计或纠正；</w:t>
            </w:r>
          </w:p>
          <w:p w14:paraId="21126447">
            <w:pPr>
              <w:adjustRightInd w:val="0"/>
              <w:spacing w:line="320" w:lineRule="exact"/>
              <w:ind w:firstLine="420"/>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（三）存在应披露而未披露的重大事项等重大错误；</w:t>
            </w:r>
          </w:p>
          <w:p w14:paraId="68E9CACD">
            <w:pPr>
              <w:adjustRightInd w:val="0"/>
              <w:spacing w:line="320" w:lineRule="exact"/>
              <w:ind w:firstLine="420"/>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（四）违反职业道德，弄虚作假、串通作弊、泄露被审计单位秘密；</w:t>
            </w:r>
          </w:p>
          <w:p w14:paraId="3B6D7037">
            <w:pPr>
              <w:adjustRightInd w:val="0"/>
              <w:spacing w:line="320" w:lineRule="exact"/>
              <w:ind w:firstLine="420"/>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（五）擅自将受托审计业务委托给第三方；</w:t>
            </w:r>
          </w:p>
          <w:p w14:paraId="08BBB640">
            <w:pPr>
              <w:adjustRightInd w:val="0"/>
              <w:spacing w:line="320" w:lineRule="exact"/>
              <w:ind w:firstLine="420"/>
              <w:outlineLvl w:val="0"/>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highlight w:val="none"/>
              </w:rPr>
              <w:t>（六）其他损害委托方或被审计单位的行为。</w:t>
            </w:r>
          </w:p>
        </w:tc>
      </w:tr>
      <w:tr w14:paraId="438F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trPr>
        <w:tc>
          <w:tcPr>
            <w:tcW w:w="1561" w:type="dxa"/>
            <w:shd w:val="clear" w:color="auto" w:fill="auto"/>
            <w:vAlign w:val="center"/>
          </w:tcPr>
          <w:p w14:paraId="2CD62526">
            <w:pPr>
              <w:jc w:val="left"/>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bCs/>
                <w:color w:val="auto"/>
                <w:highlight w:val="none"/>
              </w:rPr>
              <w:t>售后服务的响应时间</w:t>
            </w:r>
          </w:p>
        </w:tc>
        <w:tc>
          <w:tcPr>
            <w:tcW w:w="8769" w:type="dxa"/>
            <w:gridSpan w:val="7"/>
            <w:shd w:val="clear" w:color="auto" w:fill="auto"/>
            <w:vAlign w:val="center"/>
          </w:tcPr>
          <w:p w14:paraId="5F8F8003">
            <w:pPr>
              <w:jc w:val="both"/>
              <w:rPr>
                <w:rFonts w:hint="default"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48小时内响应</w:t>
            </w:r>
          </w:p>
        </w:tc>
      </w:tr>
      <w:tr w14:paraId="6AA8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9" w:hRule="atLeast"/>
        </w:trPr>
        <w:tc>
          <w:tcPr>
            <w:tcW w:w="1561" w:type="dxa"/>
            <w:shd w:val="clear" w:color="auto" w:fill="auto"/>
            <w:vAlign w:val="center"/>
          </w:tcPr>
          <w:p w14:paraId="308B93B6">
            <w:pPr>
              <w:rPr>
                <w:rFonts w:hint="eastAsia" w:ascii="仿宋_GB2312" w:hAnsi="仿宋_GB2312" w:eastAsia="仿宋_GB2312" w:cs="仿宋_GB2312"/>
                <w:b/>
                <w:color w:val="auto"/>
                <w:sz w:val="22"/>
                <w:highlight w:val="none"/>
              </w:rPr>
            </w:pPr>
            <w:r>
              <w:rPr>
                <w:rFonts w:hint="eastAsia" w:ascii="仿宋_GB2312" w:hAnsi="仿宋_GB2312" w:eastAsia="仿宋_GB2312" w:cs="仿宋_GB2312"/>
                <w:b/>
                <w:color w:val="auto"/>
                <w:sz w:val="22"/>
                <w:highlight w:val="none"/>
              </w:rPr>
              <w:t>付款方式</w:t>
            </w:r>
          </w:p>
        </w:tc>
        <w:tc>
          <w:tcPr>
            <w:tcW w:w="8769" w:type="dxa"/>
            <w:gridSpan w:val="7"/>
            <w:shd w:val="clear" w:color="auto" w:fill="auto"/>
          </w:tcPr>
          <w:p w14:paraId="18D7DF6D">
            <w:pPr>
              <w:adjustRightInd w:val="0"/>
              <w:spacing w:line="320" w:lineRule="exact"/>
              <w:ind w:firstLine="420"/>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审计费用依据中介机构中标时确定的标准支付，满足以下条件，学校按委托审计业务约定书支付委托审计费用：</w:t>
            </w:r>
          </w:p>
          <w:p w14:paraId="31B552CB">
            <w:pPr>
              <w:adjustRightInd w:val="0"/>
              <w:spacing w:line="320" w:lineRule="exact"/>
              <w:ind w:firstLine="420"/>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（一）委托审计事项结束；</w:t>
            </w:r>
          </w:p>
          <w:p w14:paraId="06F039DC">
            <w:pPr>
              <w:adjustRightInd w:val="0"/>
              <w:spacing w:line="320" w:lineRule="exact"/>
              <w:ind w:firstLine="420"/>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（二）中介机构向学校审计处提交正式审计报告（含电子版）；</w:t>
            </w:r>
          </w:p>
          <w:p w14:paraId="3BCBB3A6">
            <w:pPr>
              <w:adjustRightInd w:val="0"/>
              <w:spacing w:line="320" w:lineRule="exact"/>
              <w:ind w:firstLine="420"/>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（三）中介机构向学校审计处完整移交所需全部审计资料；</w:t>
            </w:r>
          </w:p>
          <w:p w14:paraId="325DBC59">
            <w:pPr>
              <w:adjustRightInd w:val="0"/>
              <w:spacing w:line="320" w:lineRule="exact"/>
              <w:ind w:firstLine="420"/>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（四）完全履行委托合同中的所有条款。</w:t>
            </w:r>
          </w:p>
          <w:p w14:paraId="6C0CA879">
            <w:pPr>
              <w:adjustRightInd w:val="0"/>
              <w:spacing w:line="320" w:lineRule="exact"/>
              <w:ind w:firstLine="420"/>
              <w:outlineLvl w:val="0"/>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highlight w:val="none"/>
              </w:rPr>
              <w:t>由义乌工商职业技术学院计划财务处一次性支付。</w:t>
            </w:r>
          </w:p>
        </w:tc>
      </w:tr>
      <w:tr w14:paraId="0620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2" w:hRule="atLeast"/>
        </w:trPr>
        <w:tc>
          <w:tcPr>
            <w:tcW w:w="1561" w:type="dxa"/>
            <w:shd w:val="clear" w:color="auto" w:fill="auto"/>
            <w:vAlign w:val="center"/>
          </w:tcPr>
          <w:p w14:paraId="6B485266">
            <w:pPr>
              <w:jc w:val="left"/>
              <w:rPr>
                <w:rFonts w:hint="eastAsia" w:ascii="仿宋_GB2312" w:hAnsi="仿宋_GB2312" w:eastAsia="仿宋_GB2312" w:cs="仿宋_GB2312"/>
                <w:color w:val="auto"/>
                <w:sz w:val="22"/>
                <w:highlight w:val="none"/>
              </w:rPr>
            </w:pPr>
            <w:r>
              <w:rPr>
                <w:rFonts w:hint="eastAsia" w:ascii="仿宋_GB2312" w:hAnsi="仿宋_GB2312" w:eastAsia="仿宋_GB2312" w:cs="仿宋_GB2312"/>
                <w:b/>
                <w:bCs/>
                <w:color w:val="auto"/>
                <w:sz w:val="22"/>
                <w:highlight w:val="none"/>
              </w:rPr>
              <w:t>论证小组意见</w:t>
            </w:r>
          </w:p>
        </w:tc>
        <w:tc>
          <w:tcPr>
            <w:tcW w:w="8769" w:type="dxa"/>
            <w:gridSpan w:val="7"/>
            <w:shd w:val="clear" w:color="auto" w:fill="auto"/>
          </w:tcPr>
          <w:p w14:paraId="0119DCA5">
            <w:pPr>
              <w:rPr>
                <w:rFonts w:hint="eastAsia" w:ascii="仿宋_GB2312" w:hAnsi="仿宋_GB2312" w:eastAsia="仿宋_GB2312" w:cs="仿宋_GB2312"/>
                <w:color w:val="auto"/>
                <w:sz w:val="22"/>
                <w:highlight w:val="none"/>
              </w:rPr>
            </w:pPr>
          </w:p>
          <w:p w14:paraId="77E1D923">
            <w:pPr>
              <w:rPr>
                <w:rFonts w:hint="eastAsia" w:ascii="仿宋_GB2312" w:hAnsi="仿宋_GB2312" w:eastAsia="仿宋_GB2312" w:cs="仿宋_GB2312"/>
                <w:color w:val="auto"/>
                <w:sz w:val="22"/>
                <w:highlight w:val="none"/>
              </w:rPr>
            </w:pPr>
          </w:p>
          <w:p w14:paraId="790E0907">
            <w:pPr>
              <w:wordWrap w:val="0"/>
              <w:ind w:right="110"/>
              <w:jc w:val="right"/>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 xml:space="preserve">签名：                                </w:t>
            </w:r>
          </w:p>
        </w:tc>
      </w:tr>
      <w:tr w14:paraId="14E3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3" w:hRule="atLeast"/>
        </w:trPr>
        <w:tc>
          <w:tcPr>
            <w:tcW w:w="10330" w:type="dxa"/>
            <w:gridSpan w:val="8"/>
            <w:shd w:val="clear" w:color="auto" w:fill="auto"/>
          </w:tcPr>
          <w:p w14:paraId="341B949B">
            <w:pPr>
              <w:rPr>
                <w:rFonts w:hint="eastAsia" w:ascii="仿宋_GB2312" w:hAnsi="仿宋_GB2312" w:eastAsia="仿宋_GB2312" w:cs="仿宋_GB2312"/>
                <w:color w:val="auto"/>
                <w:sz w:val="22"/>
                <w:highlight w:val="none"/>
              </w:rPr>
            </w:pPr>
            <w:r>
              <w:rPr>
                <w:rFonts w:hint="eastAsia" w:ascii="仿宋_GB2312" w:hAnsi="仿宋_GB2312" w:eastAsia="仿宋_GB2312" w:cs="仿宋_GB2312"/>
                <w:b/>
                <w:bCs/>
                <w:color w:val="auto"/>
                <w:sz w:val="22"/>
                <w:highlight w:val="none"/>
              </w:rPr>
              <w:t>使用单位主要领导签字：</w:t>
            </w:r>
          </w:p>
        </w:tc>
      </w:tr>
    </w:tbl>
    <w:p w14:paraId="624CBDD7">
      <w:pPr>
        <w:jc w:val="center"/>
        <w:rPr>
          <w:sz w:val="22"/>
          <w:u w:val="single"/>
        </w:rPr>
      </w:pPr>
    </w:p>
    <w:sectPr>
      <w:footerReference r:id="rId3" w:type="default"/>
      <w:pgSz w:w="11906" w:h="16838"/>
      <w:pgMar w:top="1134" w:right="1800" w:bottom="1247" w:left="1800"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BE0D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55EC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B55EC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YmY4ZWFhNThlNTNlNTc1ZDFjMGQwYTgyNWRhMGUifQ=="/>
  </w:docVars>
  <w:rsids>
    <w:rsidRoot w:val="005875B9"/>
    <w:rsid w:val="00010A6F"/>
    <w:rsid w:val="0003209F"/>
    <w:rsid w:val="000F0194"/>
    <w:rsid w:val="001C60DB"/>
    <w:rsid w:val="00200C04"/>
    <w:rsid w:val="002465F9"/>
    <w:rsid w:val="002F3CFF"/>
    <w:rsid w:val="003360DD"/>
    <w:rsid w:val="003B392F"/>
    <w:rsid w:val="00452A77"/>
    <w:rsid w:val="004F7124"/>
    <w:rsid w:val="005875B9"/>
    <w:rsid w:val="005B3BB9"/>
    <w:rsid w:val="006B275F"/>
    <w:rsid w:val="006C4DA5"/>
    <w:rsid w:val="006D1916"/>
    <w:rsid w:val="006E4183"/>
    <w:rsid w:val="0071026C"/>
    <w:rsid w:val="007223BA"/>
    <w:rsid w:val="00783410"/>
    <w:rsid w:val="008B1868"/>
    <w:rsid w:val="0092368A"/>
    <w:rsid w:val="00A92DB6"/>
    <w:rsid w:val="00AE1502"/>
    <w:rsid w:val="00B67C1D"/>
    <w:rsid w:val="00BD4DE3"/>
    <w:rsid w:val="00C074B9"/>
    <w:rsid w:val="00C07C06"/>
    <w:rsid w:val="00C81BAD"/>
    <w:rsid w:val="00CB6937"/>
    <w:rsid w:val="00D02C66"/>
    <w:rsid w:val="00D52E35"/>
    <w:rsid w:val="00DA087B"/>
    <w:rsid w:val="00E17BDC"/>
    <w:rsid w:val="00EB536B"/>
    <w:rsid w:val="00F210D4"/>
    <w:rsid w:val="011E61AB"/>
    <w:rsid w:val="023453D3"/>
    <w:rsid w:val="026A6BDC"/>
    <w:rsid w:val="03011745"/>
    <w:rsid w:val="03054F7B"/>
    <w:rsid w:val="03101F7F"/>
    <w:rsid w:val="04205F0B"/>
    <w:rsid w:val="07853E3C"/>
    <w:rsid w:val="088350A9"/>
    <w:rsid w:val="08E94FE9"/>
    <w:rsid w:val="09D30998"/>
    <w:rsid w:val="0B9925E2"/>
    <w:rsid w:val="0BC6183D"/>
    <w:rsid w:val="0DB14F5A"/>
    <w:rsid w:val="0DFD5574"/>
    <w:rsid w:val="0E954A29"/>
    <w:rsid w:val="11BF16C2"/>
    <w:rsid w:val="127773C4"/>
    <w:rsid w:val="12A5620B"/>
    <w:rsid w:val="148E6CEE"/>
    <w:rsid w:val="14FA14D4"/>
    <w:rsid w:val="150A6A25"/>
    <w:rsid w:val="15E47A3B"/>
    <w:rsid w:val="16455FC0"/>
    <w:rsid w:val="177C5E4A"/>
    <w:rsid w:val="18036AEE"/>
    <w:rsid w:val="18455809"/>
    <w:rsid w:val="199D4F04"/>
    <w:rsid w:val="1C4A284B"/>
    <w:rsid w:val="1ED27983"/>
    <w:rsid w:val="20E61913"/>
    <w:rsid w:val="211A4D1A"/>
    <w:rsid w:val="224A36AC"/>
    <w:rsid w:val="244467BA"/>
    <w:rsid w:val="270A3115"/>
    <w:rsid w:val="2B6A182B"/>
    <w:rsid w:val="2BDC3230"/>
    <w:rsid w:val="2BF32930"/>
    <w:rsid w:val="2CD42C07"/>
    <w:rsid w:val="2D657B15"/>
    <w:rsid w:val="2EC32DE1"/>
    <w:rsid w:val="2F1F6831"/>
    <w:rsid w:val="2F3522DA"/>
    <w:rsid w:val="2F3D75ED"/>
    <w:rsid w:val="2FC42C55"/>
    <w:rsid w:val="30217168"/>
    <w:rsid w:val="327E522E"/>
    <w:rsid w:val="33825C06"/>
    <w:rsid w:val="34FA0744"/>
    <w:rsid w:val="38007235"/>
    <w:rsid w:val="3A73034F"/>
    <w:rsid w:val="3ECD6111"/>
    <w:rsid w:val="3ED34A65"/>
    <w:rsid w:val="3F912513"/>
    <w:rsid w:val="4048759B"/>
    <w:rsid w:val="4132396B"/>
    <w:rsid w:val="423E5D4D"/>
    <w:rsid w:val="43400A41"/>
    <w:rsid w:val="43DF18AB"/>
    <w:rsid w:val="456E4EB4"/>
    <w:rsid w:val="4701168F"/>
    <w:rsid w:val="49861845"/>
    <w:rsid w:val="498A230B"/>
    <w:rsid w:val="49C65083"/>
    <w:rsid w:val="4AFC4E97"/>
    <w:rsid w:val="4C044E68"/>
    <w:rsid w:val="50CB7176"/>
    <w:rsid w:val="50D43518"/>
    <w:rsid w:val="5261553A"/>
    <w:rsid w:val="538A3F9F"/>
    <w:rsid w:val="57143100"/>
    <w:rsid w:val="57176BB7"/>
    <w:rsid w:val="5761706B"/>
    <w:rsid w:val="580F761B"/>
    <w:rsid w:val="58A063A9"/>
    <w:rsid w:val="58EE1BEC"/>
    <w:rsid w:val="5A457399"/>
    <w:rsid w:val="5BA91249"/>
    <w:rsid w:val="5E60652D"/>
    <w:rsid w:val="5EDD2532"/>
    <w:rsid w:val="5FB07918"/>
    <w:rsid w:val="60154D16"/>
    <w:rsid w:val="61B50F41"/>
    <w:rsid w:val="624800CF"/>
    <w:rsid w:val="636432F4"/>
    <w:rsid w:val="63B73161"/>
    <w:rsid w:val="65E47A23"/>
    <w:rsid w:val="66673CD7"/>
    <w:rsid w:val="67912801"/>
    <w:rsid w:val="684C36C3"/>
    <w:rsid w:val="69F47563"/>
    <w:rsid w:val="69F83560"/>
    <w:rsid w:val="6DB74476"/>
    <w:rsid w:val="6EE8032A"/>
    <w:rsid w:val="727C3012"/>
    <w:rsid w:val="7321726B"/>
    <w:rsid w:val="748E5CA8"/>
    <w:rsid w:val="7B61271C"/>
    <w:rsid w:val="7B87728E"/>
    <w:rsid w:val="7D9C776C"/>
    <w:rsid w:val="7DC13B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Plain Text"/>
    <w:basedOn w:val="1"/>
    <w:qFormat/>
    <w:uiPriority w:val="0"/>
    <w:rPr>
      <w:rFonts w:ascii="宋体" w:hAnsi="Courier New" w:cs="宋体"/>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font51"/>
    <w:basedOn w:val="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55E55D-2B86-43AD-82FB-BEB9BA82F4E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2153</Words>
  <Characters>2305</Characters>
  <Lines>11</Lines>
  <Paragraphs>3</Paragraphs>
  <TotalTime>17</TotalTime>
  <ScaleCrop>false</ScaleCrop>
  <LinksUpToDate>false</LinksUpToDate>
  <CharactersWithSpaces>2339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2018-09-05T06:13:00Z</dcterms:created>
  <dc:creator>LTT</dc:creator>
  <cp:lastModifiedBy>Administrator</cp:lastModifiedBy>
  <cp:lastPrinted>2025-06-09T08:03:26Z</cp:lastPrinted>
  <dcterms:modified xsi:type="dcterms:W3CDTF">2025-06-09T08:19:50Z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27620D17166545C9A4420EADCF1997EB_13</vt:lpwstr>
  </property>
  <property fmtid="{D5CDD505-2E9C-101B-9397-08002B2CF9AE}" pid="4" name="KSOTemplateDocerSaveRecord">
    <vt:lpwstr>eyJoZGlkIjoiM2FjNmMwMGI4NDEzMjc0YTExMjdlNzlhOTE5ZTE1MTEifQ==</vt:lpwstr>
  </property>
</Properties>
</file>