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949" w:tblpY="2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1"/>
        <w:gridCol w:w="717"/>
        <w:gridCol w:w="1533"/>
        <w:gridCol w:w="628"/>
        <w:gridCol w:w="3368"/>
        <w:gridCol w:w="102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1561" w:type="dxa"/>
            <w:vMerge w:val="restart"/>
            <w:shd w:val="clear" w:color="auto" w:fill="auto"/>
            <w:vAlign w:val="center"/>
          </w:tcPr>
          <w:p>
            <w:pPr>
              <w:tabs>
                <w:tab w:val="center" w:pos="692"/>
              </w:tabs>
              <w:jc w:val="center"/>
              <w:rPr>
                <w:rFonts w:hint="eastAsia" w:ascii="仿宋_GB2312" w:hAnsi="仿宋_GB2312" w:eastAsia="仿宋_GB2312" w:cs="仿宋_GB2312"/>
                <w:b/>
                <w:color w:val="auto"/>
                <w:kern w:val="2"/>
                <w:sz w:val="22"/>
                <w:szCs w:val="22"/>
                <w:highlight w:val="none"/>
                <w:lang w:val="en-US" w:eastAsia="zh-CN" w:bidi="ar-SA"/>
              </w:rPr>
            </w:pPr>
            <w:r>
              <w:rPr>
                <w:rFonts w:hint="eastAsia" w:ascii="仿宋_GB2312" w:hAnsi="仿宋_GB2312" w:eastAsia="仿宋_GB2312" w:cs="仿宋_GB2312"/>
                <w:b/>
                <w:color w:val="auto"/>
                <w:sz w:val="22"/>
                <w:highlight w:val="none"/>
              </w:rPr>
              <w:t>项目名</w:t>
            </w:r>
            <w:r>
              <w:rPr>
                <w:rFonts w:hint="eastAsia" w:ascii="仿宋_GB2312" w:hAnsi="仿宋_GB2312" w:eastAsia="仿宋_GB2312" w:cs="仿宋_GB2312"/>
                <w:b/>
                <w:color w:val="auto"/>
                <w:sz w:val="22"/>
                <w:highlight w:val="none"/>
              </w:rPr>
              <w:tab/>
            </w:r>
            <w:r>
              <w:rPr>
                <w:rFonts w:hint="eastAsia" w:ascii="仿宋_GB2312" w:hAnsi="仿宋_GB2312" w:eastAsia="仿宋_GB2312" w:cs="仿宋_GB2312"/>
                <w:b/>
                <w:color w:val="auto"/>
                <w:sz w:val="22"/>
                <w:highlight w:val="none"/>
              </w:rPr>
              <w:t>称</w:t>
            </w:r>
          </w:p>
        </w:tc>
        <w:tc>
          <w:tcPr>
            <w:tcW w:w="22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rPr>
              <w:t>2024年度审计项目服务</w:t>
            </w:r>
            <w:r>
              <w:rPr>
                <w:rFonts w:hint="eastAsia" w:ascii="仿宋_GB2312" w:hAnsi="仿宋_GB2312" w:eastAsia="仿宋_GB2312" w:cs="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-629285</wp:posOffset>
                      </wp:positionV>
                      <wp:extent cx="4703445" cy="417830"/>
                      <wp:effectExtent l="0" t="0" r="1905" b="1270"/>
                      <wp:wrapNone/>
                      <wp:docPr id="3" name="文本框 3"/>
                      <wp:cNvGraphicFramePr/>
                      <a:graphic xmlns:a="http://schemas.openxmlformats.org/drawingml/2006/main">
                        <a:graphicData uri="http://schemas.microsoft.com/office/word/2010/wordprocessingShape">
                          <wps:wsp>
                            <wps:cNvSpPr txBox="1"/>
                            <wps:spPr>
                              <a:xfrm>
                                <a:off x="1578610" y="851535"/>
                                <a:ext cx="4703445" cy="417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sz w:val="32"/>
                                      <w:szCs w:val="32"/>
                                    </w:rPr>
                                    <w:t>货物与服务采购参数表（10万以上需经专家论证）</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49.55pt;height:32.9pt;width:370.35pt;z-index:251660288;mso-width-relative:page;mso-height-relative:page;" fillcolor="#FFFFFF [3201]" filled="t" stroked="f" coordsize="21600,21600" o:gfxdata="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omJtt&#10;1QAAAAoBAAAPAAAAAAAAAAEAIAAAACIAAABkcnMvZG93bnJldi54bWxQSwECFAAUAAAACACHTuJA&#10;4TVlKV0CAACaBAAADgAAAAAAAAABACAAAAAkAQAAZHJzL2Uyb0RvYy54bWxQSwUGAAAAAAYABgBZ&#10;AQAA8wUAAAAA&#10;">
                      <v:fill on="t" focussize="0,0"/>
                      <v:stroke on="f" weight="0.5pt"/>
                      <v:imagedata o:title=""/>
                      <o:lock v:ext="edit" aspectratio="f"/>
                      <v:textbox>
                        <w:txbxContent>
                          <w:p>
                            <w:r>
                              <w:rPr>
                                <w:rFonts w:hint="eastAsia" w:ascii="黑体" w:hAnsi="黑体" w:eastAsia="黑体" w:cs="黑体"/>
                                <w:sz w:val="32"/>
                                <w:szCs w:val="32"/>
                              </w:rPr>
                              <w:t>货物与服务采购参数表（10万以上需经专家论证）</w:t>
                            </w:r>
                            <w:r>
                              <w:rPr>
                                <w:rFonts w:hint="eastAsia"/>
                                <w:sz w:val="22"/>
                              </w:rPr>
                              <w:t xml:space="preserve">    </w:t>
                            </w:r>
                          </w:p>
                        </w:txbxContent>
                      </v:textbox>
                    </v:shape>
                  </w:pict>
                </mc:Fallback>
              </mc:AlternateContent>
            </w:r>
          </w:p>
        </w:tc>
        <w:tc>
          <w:tcPr>
            <w:tcW w:w="628" w:type="dxa"/>
            <w:vMerge w:val="restart"/>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预算价</w:t>
            </w:r>
          </w:p>
        </w:tc>
        <w:tc>
          <w:tcPr>
            <w:tcW w:w="3368" w:type="dxa"/>
            <w:vMerge w:val="restart"/>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lang w:val="en-US" w:eastAsia="zh-CN"/>
              </w:rPr>
              <w:t>14</w:t>
            </w:r>
            <w:r>
              <w:rPr>
                <w:rFonts w:hint="eastAsia" w:ascii="仿宋_GB2312" w:hAnsi="仿宋_GB2312" w:eastAsia="仿宋_GB2312" w:cs="仿宋_GB2312"/>
                <w:color w:val="auto"/>
                <w:sz w:val="22"/>
                <w:highlight w:val="none"/>
              </w:rPr>
              <w:t>000</w:t>
            </w:r>
            <w:r>
              <w:rPr>
                <w:rFonts w:hint="eastAsia" w:ascii="仿宋_GB2312" w:hAnsi="仿宋_GB2312" w:eastAsia="仿宋_GB2312" w:cs="仿宋_GB2312"/>
                <w:color w:val="auto"/>
                <w:sz w:val="22"/>
                <w:highlight w:val="none"/>
                <w:lang w:val="en-US" w:eastAsia="zh-CN"/>
              </w:rPr>
              <w:t>0</w:t>
            </w:r>
            <w:r>
              <w:rPr>
                <w:rFonts w:hint="eastAsia" w:ascii="仿宋_GB2312" w:hAnsi="仿宋_GB2312" w:eastAsia="仿宋_GB2312" w:cs="仿宋_GB2312"/>
                <w:color w:val="auto"/>
                <w:sz w:val="22"/>
                <w:highlight w:val="none"/>
              </w:rPr>
              <w:t>元</w:t>
            </w:r>
          </w:p>
        </w:tc>
        <w:tc>
          <w:tcPr>
            <w:tcW w:w="1022" w:type="dxa"/>
            <w:vMerge w:val="restart"/>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联系人</w:t>
            </w:r>
          </w:p>
        </w:tc>
        <w:tc>
          <w:tcPr>
            <w:tcW w:w="1501" w:type="dxa"/>
            <w:shd w:val="clear" w:color="auto" w:fill="auto"/>
            <w:vAlign w:val="center"/>
          </w:tcPr>
          <w:p>
            <w:pPr>
              <w:jc w:val="left"/>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姓名：</w:t>
            </w:r>
            <w:r>
              <w:rPr>
                <w:rFonts w:hint="eastAsia" w:ascii="仿宋_GB2312" w:hAnsi="仿宋_GB2312" w:eastAsia="仿宋_GB2312" w:cs="仿宋_GB2312"/>
                <w:color w:val="auto"/>
                <w:sz w:val="22"/>
                <w:highlight w:val="none"/>
                <w:lang w:val="en-US" w:eastAsia="zh-CN"/>
              </w:rPr>
              <w:t>金潇逍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61"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2250" w:type="dxa"/>
            <w:gridSpan w:val="2"/>
            <w:vMerge w:val="continue"/>
            <w:shd w:val="clear" w:color="auto" w:fill="auto"/>
          </w:tcPr>
          <w:p>
            <w:pPr>
              <w:rPr>
                <w:rFonts w:hint="eastAsia" w:ascii="仿宋_GB2312" w:hAnsi="仿宋_GB2312" w:eastAsia="仿宋_GB2312" w:cs="仿宋_GB2312"/>
                <w:color w:val="auto"/>
                <w:sz w:val="22"/>
                <w:highlight w:val="none"/>
              </w:rPr>
            </w:pPr>
          </w:p>
        </w:tc>
        <w:tc>
          <w:tcPr>
            <w:tcW w:w="628"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3368"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1022"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1501" w:type="dxa"/>
            <w:shd w:val="clear" w:color="auto" w:fill="auto"/>
            <w:vAlign w:val="center"/>
          </w:tcPr>
          <w:p>
            <w:pPr>
              <w:jc w:val="left"/>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电话：</w:t>
            </w:r>
            <w:r>
              <w:rPr>
                <w:rFonts w:hint="eastAsia" w:ascii="仿宋_GB2312" w:hAnsi="仿宋_GB2312" w:eastAsia="仿宋_GB2312" w:cs="仿宋_GB2312"/>
                <w:color w:val="auto"/>
                <w:sz w:val="22"/>
                <w:highlight w:val="none"/>
                <w:lang w:val="en-US" w:eastAsia="zh-CN"/>
              </w:rPr>
              <w:t>15705892496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61" w:type="dxa"/>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评标法</w:t>
            </w:r>
          </w:p>
        </w:tc>
        <w:tc>
          <w:tcPr>
            <w:tcW w:w="8769" w:type="dxa"/>
            <w:gridSpan w:val="6"/>
            <w:shd w:val="clear" w:color="auto" w:fill="auto"/>
            <w:vAlign w:val="center"/>
          </w:tcPr>
          <w:p>
            <w:pPr>
              <w:ind w:firstLine="110" w:firstLineChars="50"/>
              <w:jc w:val="left"/>
              <w:rPr>
                <w:rFonts w:hint="eastAsia" w:ascii="仿宋_GB2312" w:hAnsi="仿宋_GB2312" w:eastAsia="仿宋_GB2312" w:cs="仿宋_GB2312"/>
                <w:color w:val="auto"/>
                <w:sz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1" w:type="dxa"/>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投标供应商资格要求</w:t>
            </w:r>
          </w:p>
        </w:tc>
        <w:tc>
          <w:tcPr>
            <w:tcW w:w="8769" w:type="dxa"/>
            <w:gridSpan w:val="6"/>
            <w:shd w:val="clear" w:color="auto" w:fill="auto"/>
          </w:tcPr>
          <w:p>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1.符合《政府采购法》规定，有以上服务能力的，并具有较强经济实力、良好信誉和售后服务能力的单位，均可参加；</w:t>
            </w:r>
          </w:p>
          <w:p>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2.具有浙江省财政厅颁发的会计师事务所《执业证书》；</w:t>
            </w:r>
          </w:p>
          <w:p>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参加政府采购活动前三年内，在经营活动中没有重大违法记录的企业。同时没有下列不良行为：在公开网站上能查到的被财政部或浙江省财政厅处理（或处罚）而处于暂停政府采购资格期的或处于暂停承接业务资格期的；被义乌市政府采购监管部门列入不良行为还在处罚期内的或者处于暂停政府采购资格期的。</w:t>
            </w:r>
          </w:p>
          <w:p>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4.本项目不接受联合体投标。</w:t>
            </w:r>
          </w:p>
          <w:p>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5.对</w:t>
            </w:r>
            <w:r>
              <w:rPr>
                <w:rFonts w:hint="eastAsia" w:ascii="仿宋_GB2312" w:hAnsi="仿宋_GB2312" w:eastAsia="仿宋_GB2312" w:cs="仿宋_GB2312"/>
                <w:color w:val="auto"/>
                <w:highlight w:val="none"/>
              </w:rPr>
              <w:t>存在有效期的资信证明文件必须在有效期内，提供过期的资信证明文件无效。</w:t>
            </w:r>
          </w:p>
          <w:p>
            <w:pPr>
              <w:pStyle w:val="3"/>
              <w:spacing w:line="32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6.能在规定的时限内完成委托审计项目，愿意接受学校审计处的全程管理与监督</w:t>
            </w:r>
            <w:r>
              <w:rPr>
                <w:rFonts w:hint="eastAsia" w:ascii="仿宋_GB2312" w:hAnsi="仿宋_GB2312" w:eastAsia="仿宋_GB2312" w:cs="仿宋_GB2312"/>
                <w:color w:val="auto"/>
                <w:highlight w:val="none"/>
              </w:rPr>
              <w:t>；</w:t>
            </w:r>
          </w:p>
          <w:p>
            <w:pPr>
              <w:spacing w:line="320" w:lineRule="exac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7.具备承担审计风险（含法律责任）的能力。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61" w:type="dxa"/>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所投产品或报名的资料文件</w:t>
            </w:r>
          </w:p>
        </w:tc>
        <w:tc>
          <w:tcPr>
            <w:tcW w:w="8769" w:type="dxa"/>
            <w:gridSpan w:val="6"/>
            <w:shd w:val="clear" w:color="auto" w:fill="auto"/>
            <w:vAlign w:val="center"/>
          </w:tcPr>
          <w:p>
            <w:pPr>
              <w:adjustRightInd w:val="0"/>
              <w:spacing w:line="320" w:lineRule="exact"/>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1" w:type="dxa"/>
            <w:vMerge w:val="restart"/>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货物/服务技术要求</w:t>
            </w:r>
          </w:p>
        </w:tc>
        <w:tc>
          <w:tcPr>
            <w:tcW w:w="717"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序号</w:t>
            </w:r>
          </w:p>
        </w:tc>
        <w:tc>
          <w:tcPr>
            <w:tcW w:w="2161" w:type="dxa"/>
            <w:gridSpan w:val="2"/>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物资名称</w:t>
            </w:r>
          </w:p>
        </w:tc>
        <w:tc>
          <w:tcPr>
            <w:tcW w:w="3368"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技术参数</w:t>
            </w:r>
          </w:p>
        </w:tc>
        <w:tc>
          <w:tcPr>
            <w:tcW w:w="1022"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数量</w:t>
            </w:r>
          </w:p>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(单位)</w:t>
            </w:r>
          </w:p>
        </w:tc>
        <w:tc>
          <w:tcPr>
            <w:tcW w:w="1501"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效果图</w:t>
            </w:r>
          </w:p>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trPr>
        <w:tc>
          <w:tcPr>
            <w:tcW w:w="1561"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717"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w:t>
            </w:r>
          </w:p>
        </w:tc>
        <w:tc>
          <w:tcPr>
            <w:tcW w:w="2161" w:type="dxa"/>
            <w:gridSpan w:val="2"/>
            <w:shd w:val="clear" w:color="auto" w:fill="auto"/>
            <w:vAlign w:val="center"/>
          </w:tcPr>
          <w:p>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2024年度审计项目服务</w:t>
            </w:r>
          </w:p>
        </w:tc>
        <w:tc>
          <w:tcPr>
            <w:tcW w:w="3368" w:type="dxa"/>
            <w:shd w:val="clear" w:color="auto" w:fill="auto"/>
            <w:vAlign w:val="center"/>
          </w:tcPr>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委托审计的内容：</w:t>
            </w:r>
          </w:p>
          <w:p>
            <w:pPr>
              <w:numPr>
                <w:ilvl w:val="0"/>
                <w:numId w:val="0"/>
              </w:numPr>
              <w:jc w:val="left"/>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b/>
                <w:bCs/>
                <w:color w:val="auto"/>
                <w:szCs w:val="21"/>
                <w:highlight w:val="none"/>
                <w:lang w:val="en-US" w:eastAsia="zh-CN"/>
              </w:rPr>
              <w:t>一、学校继续教育（2019.01-2023.12）专项审计</w:t>
            </w:r>
          </w:p>
          <w:p>
            <w:pPr>
              <w:numPr>
                <w:ilvl w:val="0"/>
                <w:numId w:val="0"/>
              </w:numPr>
              <w:ind w:leftChars="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主要内容包括：</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1.管理制度是否健全；</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2.宣传招生是否规范；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3.校外合作办学是否规范；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4.非学历培训业务是否规范；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5.财务管理是否规范；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6.是否存在其他廉政风险隐患；</w:t>
            </w:r>
          </w:p>
          <w:p>
            <w:pPr>
              <w:numPr>
                <w:ilvl w:val="0"/>
                <w:numId w:val="0"/>
              </w:numP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7.其它需要审计的事项。</w:t>
            </w:r>
          </w:p>
          <w:p>
            <w:pPr>
              <w:numPr>
                <w:ilvl w:val="0"/>
                <w:numId w:val="0"/>
              </w:numPr>
              <w:rPr>
                <w:rFonts w:hint="eastAsia" w:ascii="仿宋_GB2312" w:hAnsi="仿宋_GB2312" w:eastAsia="仿宋_GB2312" w:cs="仿宋_GB2312"/>
                <w:color w:val="auto"/>
                <w:sz w:val="22"/>
                <w:highlight w:val="none"/>
                <w:lang w:val="en-US" w:eastAsia="zh-CN"/>
              </w:rPr>
            </w:pPr>
          </w:p>
          <w:p>
            <w:pPr>
              <w:numPr>
                <w:ilvl w:val="0"/>
                <w:numId w:val="0"/>
              </w:numPr>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二、学校定额车辆经费（2022.01-2023.12）专项审计</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主要内容包括：</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1.公务车辆管理使用是否存在违反中央八项规定精神的情况；</w:t>
            </w:r>
            <w:r>
              <w:rPr>
                <w:rFonts w:hint="eastAsia" w:ascii="仿宋_GB2312" w:hAnsi="仿宋_GB2312" w:eastAsia="仿宋_GB2312" w:cs="仿宋_GB2312"/>
                <w:color w:val="auto"/>
                <w:szCs w:val="21"/>
                <w:highlight w:val="none"/>
                <w:lang w:val="en-US" w:eastAsia="zh-CN"/>
              </w:rPr>
              <w:br w:type="textWrapping"/>
            </w:r>
            <w:r>
              <w:rPr>
                <w:rFonts w:hint="eastAsia" w:ascii="仿宋_GB2312" w:hAnsi="仿宋_GB2312" w:eastAsia="仿宋_GB2312" w:cs="仿宋_GB2312"/>
                <w:color w:val="auto"/>
                <w:szCs w:val="21"/>
                <w:highlight w:val="none"/>
                <w:lang w:val="en-US" w:eastAsia="zh-CN"/>
              </w:rPr>
              <w:t>2.公务车辆管理制度执行情况，是否存在公务车辆对外出租、出借、公车私用、违规使用加油卡等情况；</w:t>
            </w:r>
            <w:r>
              <w:rPr>
                <w:rFonts w:hint="eastAsia" w:ascii="仿宋_GB2312" w:hAnsi="仿宋_GB2312" w:eastAsia="仿宋_GB2312" w:cs="仿宋_GB2312"/>
                <w:color w:val="auto"/>
                <w:szCs w:val="21"/>
                <w:highlight w:val="none"/>
                <w:lang w:val="en-US" w:eastAsia="zh-CN"/>
              </w:rPr>
              <w:br w:type="textWrapping"/>
            </w:r>
            <w:r>
              <w:rPr>
                <w:rFonts w:hint="eastAsia" w:ascii="仿宋_GB2312" w:hAnsi="仿宋_GB2312" w:eastAsia="仿宋_GB2312" w:cs="仿宋_GB2312"/>
                <w:color w:val="auto"/>
                <w:szCs w:val="21"/>
                <w:highlight w:val="none"/>
                <w:lang w:val="en-US" w:eastAsia="zh-CN"/>
              </w:rPr>
              <w:t>3.公务用车出行台账管理情况；</w:t>
            </w:r>
            <w:r>
              <w:rPr>
                <w:rFonts w:hint="eastAsia" w:ascii="仿宋_GB2312" w:hAnsi="仿宋_GB2312" w:eastAsia="仿宋_GB2312" w:cs="仿宋_GB2312"/>
                <w:color w:val="auto"/>
                <w:szCs w:val="21"/>
                <w:highlight w:val="none"/>
                <w:lang w:val="en-US" w:eastAsia="zh-CN"/>
              </w:rPr>
              <w:br w:type="textWrapping"/>
            </w:r>
            <w:r>
              <w:rPr>
                <w:rFonts w:hint="eastAsia" w:ascii="仿宋_GB2312" w:hAnsi="仿宋_GB2312" w:eastAsia="仿宋_GB2312" w:cs="仿宋_GB2312"/>
                <w:color w:val="auto"/>
                <w:szCs w:val="21"/>
                <w:highlight w:val="none"/>
                <w:lang w:val="en-US" w:eastAsia="zh-CN"/>
              </w:rPr>
              <w:t>4.公务用车绩效管理情况；</w:t>
            </w:r>
            <w:r>
              <w:rPr>
                <w:rFonts w:hint="eastAsia" w:ascii="仿宋_GB2312" w:hAnsi="仿宋_GB2312" w:eastAsia="仿宋_GB2312" w:cs="仿宋_GB2312"/>
                <w:color w:val="auto"/>
                <w:szCs w:val="21"/>
                <w:highlight w:val="none"/>
                <w:lang w:val="en-US" w:eastAsia="zh-CN"/>
              </w:rPr>
              <w:br w:type="textWrapping"/>
            </w:r>
            <w:r>
              <w:rPr>
                <w:rFonts w:hint="eastAsia" w:ascii="仿宋_GB2312" w:hAnsi="仿宋_GB2312" w:eastAsia="仿宋_GB2312" w:cs="仿宋_GB2312"/>
                <w:color w:val="auto"/>
                <w:szCs w:val="21"/>
                <w:highlight w:val="none"/>
                <w:lang w:val="en-US" w:eastAsia="zh-CN"/>
              </w:rPr>
              <w:t>5.公务车辆运行经费使用情况，包括车辆定点保险、定点加油、定点维修情况，年审、路桥费、停车费等；</w:t>
            </w:r>
            <w:r>
              <w:rPr>
                <w:rFonts w:hint="eastAsia" w:ascii="仿宋_GB2312" w:hAnsi="仿宋_GB2312" w:eastAsia="仿宋_GB2312" w:cs="仿宋_GB2312"/>
                <w:color w:val="auto"/>
                <w:szCs w:val="21"/>
                <w:highlight w:val="none"/>
                <w:lang w:val="en-US" w:eastAsia="zh-CN"/>
              </w:rPr>
              <w:br w:type="textWrapping"/>
            </w:r>
            <w:r>
              <w:rPr>
                <w:rFonts w:hint="eastAsia" w:ascii="仿宋_GB2312" w:hAnsi="仿宋_GB2312" w:eastAsia="仿宋_GB2312" w:cs="仿宋_GB2312"/>
                <w:color w:val="auto"/>
                <w:szCs w:val="21"/>
                <w:highlight w:val="none"/>
                <w:lang w:val="en-US" w:eastAsia="zh-CN"/>
              </w:rPr>
              <w:t>6.其它需要审计的事项。</w:t>
            </w:r>
          </w:p>
          <w:p>
            <w:pPr>
              <w:numPr>
                <w:ilvl w:val="0"/>
                <w:numId w:val="0"/>
              </w:numPr>
              <w:rPr>
                <w:rFonts w:hint="eastAsia" w:ascii="仿宋_GB2312" w:hAnsi="仿宋_GB2312" w:eastAsia="仿宋_GB2312" w:cs="仿宋_GB2312"/>
                <w:color w:val="auto"/>
                <w:szCs w:val="21"/>
                <w:highlight w:val="none"/>
                <w:lang w:val="en-US" w:eastAsia="zh-CN"/>
              </w:rPr>
            </w:pPr>
          </w:p>
          <w:p>
            <w:pPr>
              <w:numPr>
                <w:ilvl w:val="0"/>
                <w:numId w:val="0"/>
              </w:numPr>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三、学校教工食堂管理运行情况专项审计（2021.01-2023.12）</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1.教工食堂食材采购是否规范、合理；</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2.有关合同签订、履约是否到位；</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3.食材出入库监管是否到位；</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4.饭卡结算是否及时；</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5.相关内控制度执行情况；</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6.固定资产设备采购是否规范；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7.食堂结余是否以服务师生为宗旨，不得以盈利为目的；</w:t>
            </w:r>
          </w:p>
          <w:p>
            <w:pPr>
              <w:numPr>
                <w:ilvl w:val="0"/>
                <w:numId w:val="0"/>
              </w:numP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8.食堂员工工资劳务发放是否规范；</w:t>
            </w:r>
          </w:p>
          <w:p>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9.其它需要审计的事项。</w:t>
            </w:r>
          </w:p>
          <w:p>
            <w:pPr>
              <w:numPr>
                <w:ilvl w:val="0"/>
                <w:numId w:val="0"/>
              </w:numPr>
              <w:rPr>
                <w:rFonts w:hint="eastAsia" w:ascii="仿宋_GB2312" w:hAnsi="仿宋_GB2312" w:eastAsia="仿宋_GB2312" w:cs="仿宋_GB2312"/>
                <w:color w:val="auto"/>
                <w:sz w:val="22"/>
                <w:highlight w:val="none"/>
              </w:rPr>
            </w:pPr>
          </w:p>
          <w:p>
            <w:pPr>
              <w:numPr>
                <w:ilvl w:val="0"/>
                <w:numId w:val="0"/>
              </w:num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四、对10位中层领导干部进行任期经济责任审计</w:t>
            </w:r>
            <w:r>
              <w:rPr>
                <w:rFonts w:hint="eastAsia" w:ascii="仿宋_GB2312" w:hAnsi="仿宋_GB2312" w:eastAsia="仿宋_GB2312" w:cs="仿宋_GB2312"/>
                <w:color w:val="auto"/>
                <w:szCs w:val="21"/>
                <w:highlight w:val="none"/>
                <w:lang w:val="en-US" w:eastAsia="zh-CN"/>
              </w:rPr>
              <w:t>（时间段：吴赛男、何淑贞、吴雷为2020.1-2023.12 ，宋兵为2021.9-2023.12），其余为2021.1-2023.12）</w:t>
            </w:r>
          </w:p>
          <w:p>
            <w:pPr>
              <w:numPr>
                <w:ilvl w:val="0"/>
                <w:numId w:val="0"/>
              </w:num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主要内容包括:</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（一）履职尽责情况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1.贯彻执行党和国家经济方针政策、上级决策部署和学校党委、行政工作要求情况；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2.在经济活动中落实有关党风廉政建设责任和遵守廉洁从业规定情况；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3.“三重一大”事项的决策、执行和效果情况；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4.依照学校有关规定，履行职责、完成管理服务目标情况；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（二）优化管理情况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1.发展规划和制度措施的制定、执行和效果情况；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2.主要业务活动（包括财务与预算管理、资产管理、人力资源管理、采购管理、建设工程管理、合同管理、教学管理、科研管理、学生管理等）的内部控制和风险防范情况；</w:t>
            </w:r>
          </w:p>
          <w:p>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3.学校党政管理机构对学校教学机构、科研机构、教辅机构等部门相关经济活动的监督、管理情况。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（三）绩效管理情况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学校党政管理机构、教学机构、科研机构、教辅机构等部门</w:t>
            </w:r>
            <w:r>
              <w:rPr>
                <w:rFonts w:hint="eastAsia" w:ascii="仿宋_GB2312" w:hAnsi="仿宋_GB2312" w:eastAsia="仿宋_GB2312" w:cs="仿宋_GB2312"/>
                <w:color w:val="auto"/>
                <w:szCs w:val="21"/>
                <w:highlight w:val="none"/>
                <w:lang w:val="en-US" w:eastAsia="zh-CN"/>
              </w:rPr>
              <w:t>取得的绩效。</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（四）以往审计发现问题的整改情况</w:t>
            </w:r>
          </w:p>
          <w:p>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（五）其他需要审计的内容</w:t>
            </w:r>
          </w:p>
          <w:p>
            <w:pPr>
              <w:numPr>
                <w:ilvl w:val="0"/>
                <w:numId w:val="0"/>
              </w:numPr>
              <w:shd w:val="clear"/>
              <w:rPr>
                <w:rFonts w:hint="eastAsia" w:ascii="仿宋_GB2312" w:hAnsi="仿宋_GB2312" w:eastAsia="仿宋_GB2312" w:cs="仿宋_GB2312"/>
                <w:color w:val="auto"/>
                <w:szCs w:val="21"/>
                <w:highlight w:val="none"/>
                <w:lang w:val="en-US" w:eastAsia="zh-CN"/>
              </w:rPr>
            </w:pPr>
          </w:p>
          <w:p>
            <w:pPr>
              <w:numPr>
                <w:ilvl w:val="0"/>
                <w:numId w:val="0"/>
              </w:numPr>
              <w:shd w:val="clear"/>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五、其他要求</w:t>
            </w:r>
          </w:p>
          <w:p>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1.社会中介机构依据委托审计业务约定书成立项目审计组，每个项目审计组审计人员不得少于2名，实行项目主审负责制，每个审计项目至少指定1名主审人员，主审人员必须具备中级及以上职称或注册会计师资格；</w:t>
            </w:r>
          </w:p>
          <w:p>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2.2024年10月30日前出具审计报告一式十份，并提供全部审计证据资料复印件及相关电子文件；</w:t>
            </w:r>
          </w:p>
          <w:p>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3.同时提供审计发现问题清单一式一份及电子版；根据审计发现问题清单要求，在每位中层领导干部经济责任审计、专项审计发现问题清单中完成每个问题的摘要、定性依据和整改建议，整改建议要详实，具有可操作性；</w:t>
            </w:r>
          </w:p>
          <w:p>
            <w:pPr>
              <w:numPr>
                <w:ilvl w:val="0"/>
                <w:numId w:val="0"/>
              </w:numPr>
              <w:shd w:val="clear"/>
              <w:rPr>
                <w:rFonts w:hint="eastAsia" w:ascii="仿宋_GB2312" w:hAnsi="仿宋_GB2312" w:eastAsia="仿宋_GB2312" w:cs="仿宋_GB2312"/>
                <w:color w:val="auto"/>
                <w:sz w:val="22"/>
                <w:highlight w:val="none"/>
              </w:rPr>
            </w:pPr>
            <w:r>
              <w:rPr>
                <w:rFonts w:hint="eastAsia" w:ascii="仿宋_GB2312" w:hAnsi="仿宋_GB2312" w:eastAsia="仿宋_GB2312" w:cs="仿宋_GB2312"/>
                <w:strike w:val="0"/>
                <w:dstrike w:val="0"/>
                <w:color w:val="auto"/>
                <w:szCs w:val="21"/>
                <w:highlight w:val="none"/>
                <w:lang w:val="en-US" w:eastAsia="zh-CN"/>
              </w:rPr>
              <w:t>4.社会中介机构必须制定详细的审计实施方案，在实施审计过程中，做好审计工作底稿，并严格按照委托审计业务约定书、审计准则和程序开展审计工作，保证独立、客观、公正的执业立场，遵守职业道德规范，接受学校审计处的业务指导和质量监督，切实维护学校的合法权益。</w:t>
            </w:r>
          </w:p>
        </w:tc>
        <w:tc>
          <w:tcPr>
            <w:tcW w:w="1022" w:type="dxa"/>
            <w:shd w:val="clear" w:color="auto" w:fill="auto"/>
            <w:vAlign w:val="center"/>
          </w:tcPr>
          <w:p>
            <w:pPr>
              <w:rPr>
                <w:rFonts w:hint="eastAsia" w:ascii="仿宋_GB2312" w:hAnsi="仿宋_GB2312" w:eastAsia="仿宋_GB2312" w:cs="仿宋_GB2312"/>
                <w:color w:val="auto"/>
                <w:sz w:val="22"/>
                <w:highlight w:val="none"/>
              </w:rPr>
            </w:pPr>
          </w:p>
        </w:tc>
        <w:tc>
          <w:tcPr>
            <w:tcW w:w="1501" w:type="dxa"/>
            <w:shd w:val="clear" w:color="auto" w:fill="auto"/>
            <w:vAlign w:val="center"/>
          </w:tcPr>
          <w:p>
            <w:pPr>
              <w:rPr>
                <w:rFonts w:hint="eastAsia" w:ascii="仿宋_GB2312" w:hAnsi="仿宋_GB2312" w:eastAsia="仿宋_GB2312" w:cs="仿宋_GB2312"/>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61" w:type="dxa"/>
            <w:vMerge w:val="restart"/>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供货及安装的问题</w:t>
            </w:r>
          </w:p>
        </w:tc>
        <w:tc>
          <w:tcPr>
            <w:tcW w:w="717"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时间</w:t>
            </w:r>
          </w:p>
        </w:tc>
        <w:tc>
          <w:tcPr>
            <w:tcW w:w="8052" w:type="dxa"/>
            <w:gridSpan w:val="5"/>
            <w:shd w:val="clear" w:color="auto" w:fill="auto"/>
            <w:vAlign w:val="center"/>
          </w:tcPr>
          <w:p>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Cs/>
                <w:color w:val="auto"/>
                <w:szCs w:val="21"/>
                <w:highlight w:val="none"/>
              </w:rPr>
              <w:t>采购人指定时间内完成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61" w:type="dxa"/>
            <w:vMerge w:val="continue"/>
            <w:shd w:val="clear" w:color="auto" w:fill="auto"/>
            <w:vAlign w:val="center"/>
          </w:tcPr>
          <w:p>
            <w:pPr>
              <w:rPr>
                <w:rFonts w:hint="eastAsia" w:ascii="仿宋_GB2312" w:hAnsi="仿宋_GB2312" w:eastAsia="仿宋_GB2312" w:cs="仿宋_GB2312"/>
                <w:color w:val="auto"/>
                <w:sz w:val="22"/>
                <w:highlight w:val="none"/>
              </w:rPr>
            </w:pPr>
          </w:p>
        </w:tc>
        <w:tc>
          <w:tcPr>
            <w:tcW w:w="717" w:type="dxa"/>
            <w:shd w:val="clear" w:color="auto" w:fill="auto"/>
            <w:vAlign w:val="center"/>
          </w:tcPr>
          <w:p>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地点</w:t>
            </w:r>
          </w:p>
        </w:tc>
        <w:tc>
          <w:tcPr>
            <w:tcW w:w="8052" w:type="dxa"/>
            <w:gridSpan w:val="5"/>
            <w:shd w:val="clear" w:color="auto" w:fill="auto"/>
            <w:vAlign w:val="center"/>
          </w:tcPr>
          <w:p>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义乌工商职业技术学院采购中心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1" w:type="dxa"/>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质保要求</w:t>
            </w:r>
          </w:p>
        </w:tc>
        <w:tc>
          <w:tcPr>
            <w:tcW w:w="8769" w:type="dxa"/>
            <w:gridSpan w:val="6"/>
            <w:shd w:val="clear" w:color="auto" w:fill="auto"/>
          </w:tcPr>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按合同约定时间出具审计报告，并提供全部审计证据资料复印件及相关电子文件；同时提供审计发现问题清单一式一份及电子版；</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2.中介机构未能全面有效履行合同规定的义务，有下列情形之一的，审计处可以向学校建议终止委托审计业务，拒付或酌情扣减审计费用，依法追究其责任并责成其赔偿经济损失：</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（一）未按合同的要求实施审计，随意简化审计程序；</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（二）审计程序不规范，审计报告严重失实，审计结论不准确，且拒绝进行重新审计或纠正；</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（三）存在应披露而未披露的重大事项等重大错误；</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（四）违反职业道德，弄虚作假、串通作弊、泄露被审计单位秘密；</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（五）擅自将受托审计业务委托给第三方；</w:t>
            </w:r>
          </w:p>
          <w:p>
            <w:pPr>
              <w:adjustRightInd w:val="0"/>
              <w:spacing w:line="320" w:lineRule="exact"/>
              <w:ind w:firstLine="420"/>
              <w:outlineLvl w:val="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highlight w:val="none"/>
              </w:rPr>
              <w:t>（六）其他损害委托方或被审计单位的行为。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1" w:type="dxa"/>
            <w:shd w:val="clear" w:color="auto" w:fill="auto"/>
            <w:vAlign w:val="center"/>
          </w:tcPr>
          <w:p>
            <w:pPr>
              <w:jc w:val="left"/>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bCs/>
                <w:color w:val="auto"/>
                <w:highlight w:val="none"/>
              </w:rPr>
              <w:t>售后服务的响应时间</w:t>
            </w:r>
          </w:p>
        </w:tc>
        <w:tc>
          <w:tcPr>
            <w:tcW w:w="8769" w:type="dxa"/>
            <w:gridSpan w:val="6"/>
            <w:shd w:val="clear" w:color="auto" w:fill="auto"/>
            <w:vAlign w:val="center"/>
          </w:tcPr>
          <w:p>
            <w:pPr>
              <w:jc w:val="both"/>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48小时内响应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61" w:type="dxa"/>
            <w:shd w:val="clear" w:color="auto" w:fill="auto"/>
            <w:vAlign w:val="center"/>
          </w:tcPr>
          <w:p>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付款方式</w:t>
            </w:r>
          </w:p>
        </w:tc>
        <w:tc>
          <w:tcPr>
            <w:tcW w:w="8769" w:type="dxa"/>
            <w:gridSpan w:val="6"/>
            <w:shd w:val="clear" w:color="auto" w:fill="auto"/>
          </w:tcPr>
          <w:p>
            <w:pPr>
              <w:adjustRightInd w:val="0"/>
              <w:spacing w:line="320" w:lineRule="exact"/>
              <w:ind w:firstLine="420"/>
              <w:outlineLvl w:val="0"/>
              <w:rPr>
                <w:rFonts w:hint="eastAsia" w:ascii="仿宋_GB2312" w:hAnsi="仿宋_GB2312" w:eastAsia="仿宋_GB2312" w:cs="仿宋_GB2312"/>
                <w:color w:val="auto"/>
                <w:highlight w:val="none"/>
              </w:rPr>
            </w:pPr>
            <w:bookmarkStart w:id="0" w:name="_GoBack"/>
            <w:r>
              <w:rPr>
                <w:rFonts w:hint="eastAsia" w:ascii="仿宋_GB2312" w:hAnsi="仿宋_GB2312" w:eastAsia="仿宋_GB2312" w:cs="仿宋_GB2312"/>
                <w:color w:val="auto"/>
                <w:highlight w:val="none"/>
              </w:rPr>
              <w:t>审计费用依据中介机构中标时确定的标准支付，满足以下条件，学校按委托审计业务约定书支付委托审计费用：</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（一）委托审计事项结束；</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（二）中介机构向学校审计处提交正式审计报告（含电子版）；</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（三）中介机构向学校审计处完整移交所需全部审计资料；</w:t>
            </w:r>
          </w:p>
          <w:p>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（四）完全履行委托合同中的所有条款。</w:t>
            </w:r>
          </w:p>
          <w:p>
            <w:pPr>
              <w:adjustRightInd w:val="0"/>
              <w:spacing w:line="320" w:lineRule="exact"/>
              <w:ind w:firstLine="420"/>
              <w:outlineLvl w:val="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highlight w:val="none"/>
              </w:rPr>
              <w:t>由义乌工商职业技术学院计划财务处一次性支付。</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561" w:type="dxa"/>
            <w:shd w:val="clear" w:color="auto" w:fill="auto"/>
            <w:vAlign w:val="center"/>
          </w:tcPr>
          <w:p>
            <w:p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论证小组意见</w:t>
            </w:r>
          </w:p>
        </w:tc>
        <w:tc>
          <w:tcPr>
            <w:tcW w:w="8769" w:type="dxa"/>
            <w:gridSpan w:val="6"/>
            <w:shd w:val="clear" w:color="auto" w:fill="auto"/>
          </w:tcPr>
          <w:p>
            <w:pPr>
              <w:rPr>
                <w:rFonts w:hint="eastAsia" w:ascii="仿宋_GB2312" w:hAnsi="仿宋_GB2312" w:eastAsia="仿宋_GB2312" w:cs="仿宋_GB2312"/>
                <w:color w:val="auto"/>
                <w:sz w:val="22"/>
                <w:highlight w:val="none"/>
              </w:rPr>
            </w:pPr>
          </w:p>
          <w:p>
            <w:pPr>
              <w:rPr>
                <w:rFonts w:hint="eastAsia" w:ascii="仿宋_GB2312" w:hAnsi="仿宋_GB2312" w:eastAsia="仿宋_GB2312" w:cs="仿宋_GB2312"/>
                <w:color w:val="auto"/>
                <w:sz w:val="22"/>
                <w:highlight w:val="none"/>
              </w:rPr>
            </w:pPr>
          </w:p>
          <w:p>
            <w:pPr>
              <w:wordWrap w:val="0"/>
              <w:ind w:right="110"/>
              <w:jc w:val="righ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 xml:space="preserve">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330" w:type="dxa"/>
            <w:gridSpan w:val="7"/>
            <w:shd w:val="clear" w:color="auto" w:fill="auto"/>
          </w:tcPr>
          <w:p>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使用单位主要领导签字：</w:t>
            </w:r>
          </w:p>
        </w:tc>
      </w:tr>
    </w:tbl>
    <w:p>
      <w:pPr>
        <w:jc w:val="center"/>
        <w:rPr>
          <w:sz w:val="22"/>
          <w:u w:val="single"/>
        </w:rPr>
      </w:pPr>
    </w:p>
    <w:sectPr>
      <w:footerReference r:id="rId3" w:type="default"/>
      <w:pgSz w:w="11906" w:h="16838"/>
      <w:pgMar w:top="1134"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mY4ZWFhNThlNTNlNTc1ZDFjMGQwYTgyNWRhMGUifQ=="/>
  </w:docVars>
  <w:rsids>
    <w:rsidRoot w:val="005875B9"/>
    <w:rsid w:val="00010A6F"/>
    <w:rsid w:val="0003209F"/>
    <w:rsid w:val="000F0194"/>
    <w:rsid w:val="001C60DB"/>
    <w:rsid w:val="00200C04"/>
    <w:rsid w:val="002465F9"/>
    <w:rsid w:val="002F3CFF"/>
    <w:rsid w:val="003360DD"/>
    <w:rsid w:val="003B392F"/>
    <w:rsid w:val="00452A77"/>
    <w:rsid w:val="004F7124"/>
    <w:rsid w:val="005875B9"/>
    <w:rsid w:val="005B3BB9"/>
    <w:rsid w:val="006B275F"/>
    <w:rsid w:val="006C4DA5"/>
    <w:rsid w:val="006D1916"/>
    <w:rsid w:val="006E4183"/>
    <w:rsid w:val="0071026C"/>
    <w:rsid w:val="007223BA"/>
    <w:rsid w:val="00783410"/>
    <w:rsid w:val="008B1868"/>
    <w:rsid w:val="0092368A"/>
    <w:rsid w:val="00A92DB6"/>
    <w:rsid w:val="00AE1502"/>
    <w:rsid w:val="00B67C1D"/>
    <w:rsid w:val="00BD4DE3"/>
    <w:rsid w:val="00C074B9"/>
    <w:rsid w:val="00C07C06"/>
    <w:rsid w:val="00C81BAD"/>
    <w:rsid w:val="00CB6937"/>
    <w:rsid w:val="00D02C66"/>
    <w:rsid w:val="00D52E35"/>
    <w:rsid w:val="00DA087B"/>
    <w:rsid w:val="00E17BDC"/>
    <w:rsid w:val="00EB536B"/>
    <w:rsid w:val="00F210D4"/>
    <w:rsid w:val="011E61AB"/>
    <w:rsid w:val="023453D3"/>
    <w:rsid w:val="026A6BDC"/>
    <w:rsid w:val="03011745"/>
    <w:rsid w:val="03054F7B"/>
    <w:rsid w:val="03101F7F"/>
    <w:rsid w:val="04205F0B"/>
    <w:rsid w:val="07853E3C"/>
    <w:rsid w:val="088350A9"/>
    <w:rsid w:val="08E94FE9"/>
    <w:rsid w:val="09D30998"/>
    <w:rsid w:val="0B9925E2"/>
    <w:rsid w:val="0BC6183D"/>
    <w:rsid w:val="0DB14F5A"/>
    <w:rsid w:val="0DFD5574"/>
    <w:rsid w:val="0E954A29"/>
    <w:rsid w:val="11BF16C2"/>
    <w:rsid w:val="127773C4"/>
    <w:rsid w:val="12A5620B"/>
    <w:rsid w:val="14FA14D4"/>
    <w:rsid w:val="150A6A25"/>
    <w:rsid w:val="15E47A3B"/>
    <w:rsid w:val="16455FC0"/>
    <w:rsid w:val="177C5E4A"/>
    <w:rsid w:val="18036AEE"/>
    <w:rsid w:val="18455809"/>
    <w:rsid w:val="199D4F04"/>
    <w:rsid w:val="1C4A284B"/>
    <w:rsid w:val="1ED27983"/>
    <w:rsid w:val="20E61913"/>
    <w:rsid w:val="211A4D1A"/>
    <w:rsid w:val="224A36AC"/>
    <w:rsid w:val="244467BA"/>
    <w:rsid w:val="270A3115"/>
    <w:rsid w:val="2B6A182B"/>
    <w:rsid w:val="2BDC3230"/>
    <w:rsid w:val="2BF32930"/>
    <w:rsid w:val="2CD42C07"/>
    <w:rsid w:val="2D657B15"/>
    <w:rsid w:val="2EC32DE1"/>
    <w:rsid w:val="2F1F6831"/>
    <w:rsid w:val="2F3522DA"/>
    <w:rsid w:val="2F3D75ED"/>
    <w:rsid w:val="2FC42C55"/>
    <w:rsid w:val="30217168"/>
    <w:rsid w:val="327E522E"/>
    <w:rsid w:val="33825C06"/>
    <w:rsid w:val="34FA0744"/>
    <w:rsid w:val="38007235"/>
    <w:rsid w:val="3A73034F"/>
    <w:rsid w:val="3ECD6111"/>
    <w:rsid w:val="3ED34A65"/>
    <w:rsid w:val="3F912513"/>
    <w:rsid w:val="4048759B"/>
    <w:rsid w:val="4132396B"/>
    <w:rsid w:val="423E5D4D"/>
    <w:rsid w:val="43400A41"/>
    <w:rsid w:val="43DF18AB"/>
    <w:rsid w:val="456E4EB4"/>
    <w:rsid w:val="4701168F"/>
    <w:rsid w:val="49861845"/>
    <w:rsid w:val="498A230B"/>
    <w:rsid w:val="49C65083"/>
    <w:rsid w:val="4AFC4E97"/>
    <w:rsid w:val="50CB7176"/>
    <w:rsid w:val="50D43518"/>
    <w:rsid w:val="5261553A"/>
    <w:rsid w:val="538A3F9F"/>
    <w:rsid w:val="57143100"/>
    <w:rsid w:val="57176BB7"/>
    <w:rsid w:val="5761706B"/>
    <w:rsid w:val="580F761B"/>
    <w:rsid w:val="58A063A9"/>
    <w:rsid w:val="58EE1BEC"/>
    <w:rsid w:val="5A457399"/>
    <w:rsid w:val="5BA91249"/>
    <w:rsid w:val="5E60652D"/>
    <w:rsid w:val="5EDD2532"/>
    <w:rsid w:val="5FB07918"/>
    <w:rsid w:val="60154D16"/>
    <w:rsid w:val="61B50F41"/>
    <w:rsid w:val="624800CF"/>
    <w:rsid w:val="636432F4"/>
    <w:rsid w:val="63B73161"/>
    <w:rsid w:val="65E47A23"/>
    <w:rsid w:val="66673CD7"/>
    <w:rsid w:val="67912801"/>
    <w:rsid w:val="684C36C3"/>
    <w:rsid w:val="69F47563"/>
    <w:rsid w:val="69F83560"/>
    <w:rsid w:val="6DB74476"/>
    <w:rsid w:val="6EE8032A"/>
    <w:rsid w:val="727C3012"/>
    <w:rsid w:val="7321726B"/>
    <w:rsid w:val="748E5CA8"/>
    <w:rsid w:val="7B61271C"/>
    <w:rsid w:val="7B87728E"/>
    <w:rsid w:val="7D9C776C"/>
    <w:rsid w:val="7DC13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qFormat/>
    <w:uiPriority w:val="0"/>
    <w:rPr>
      <w:rFonts w:ascii="宋体" w:hAnsi="Courier New" w:cs="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5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5E55D-2B86-43AD-82FB-BEB9BA82F4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1497</Words>
  <Characters>1631</Characters>
  <Lines>11</Lines>
  <Paragraphs>3</Paragraphs>
  <TotalTime>16</TotalTime>
  <ScaleCrop>false</ScaleCrop>
  <LinksUpToDate>false</LinksUpToDate>
  <CharactersWithSpaces>1669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2018-09-05T06:13:00Z</dcterms:created>
  <dc:creator>LTT</dc:creator>
  <cp:lastModifiedBy>Dolores</cp:lastModifiedBy>
  <cp:lastPrinted>2024-03-29T02:02:00Z</cp:lastPrinted>
  <dcterms:modified xsi:type="dcterms:W3CDTF">2024-05-09T08:57:21Z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5076A7CE7D084E8FB97AFCF127EBD4A7</vt:lpwstr>
  </property>
</Properties>
</file>