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66" w:rsidRDefault="00244A6C">
      <w:pPr>
        <w:jc w:val="center"/>
        <w:rPr>
          <w:rFonts w:ascii="黑体" w:eastAsia="黑体" w:hAnsi="黑体" w:cs="黑体"/>
          <w:sz w:val="32"/>
          <w:szCs w:val="32"/>
        </w:rPr>
      </w:pPr>
      <w:r>
        <w:rPr>
          <w:rFonts w:ascii="黑体" w:eastAsia="黑体" w:hAnsi="黑体" w:cs="黑体" w:hint="eastAsia"/>
          <w:sz w:val="32"/>
          <w:szCs w:val="32"/>
        </w:rPr>
        <w:t>货物与服务采购参数表（10万以上需经专家论证）</w:t>
      </w:r>
    </w:p>
    <w:tbl>
      <w:tblPr>
        <w:tblStyle w:val="a7"/>
        <w:tblpPr w:leftFromText="180" w:rightFromText="180" w:vertAnchor="page" w:horzAnchor="page" w:tblpX="1619" w:tblpY="2127"/>
        <w:tblW w:w="9476" w:type="dxa"/>
        <w:tblLayout w:type="fixed"/>
        <w:tblLook w:val="04A0" w:firstRow="1" w:lastRow="0" w:firstColumn="1" w:lastColumn="0" w:noHBand="0" w:noVBand="1"/>
      </w:tblPr>
      <w:tblGrid>
        <w:gridCol w:w="1623"/>
        <w:gridCol w:w="1156"/>
        <w:gridCol w:w="956"/>
        <w:gridCol w:w="297"/>
        <w:gridCol w:w="167"/>
        <w:gridCol w:w="590"/>
        <w:gridCol w:w="606"/>
        <w:gridCol w:w="866"/>
        <w:gridCol w:w="618"/>
        <w:gridCol w:w="343"/>
        <w:gridCol w:w="2254"/>
      </w:tblGrid>
      <w:tr w:rsidR="007A5E1B" w:rsidTr="007A5E1B">
        <w:trPr>
          <w:trHeight w:val="762"/>
        </w:trPr>
        <w:tc>
          <w:tcPr>
            <w:tcW w:w="1623" w:type="dxa"/>
            <w:vMerge w:val="restart"/>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项目名称</w:t>
            </w:r>
          </w:p>
        </w:tc>
        <w:tc>
          <w:tcPr>
            <w:tcW w:w="2112" w:type="dxa"/>
            <w:gridSpan w:val="2"/>
            <w:vMerge w:val="restart"/>
          </w:tcPr>
          <w:p w:rsidR="004E2966" w:rsidRDefault="00244A6C">
            <w:pP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义乌工商职业技术学院绿化种植采购项目</w:t>
            </w:r>
          </w:p>
        </w:tc>
        <w:tc>
          <w:tcPr>
            <w:tcW w:w="1054" w:type="dxa"/>
            <w:gridSpan w:val="3"/>
            <w:vMerge w:val="restart"/>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b/>
                <w:bCs/>
                <w:kern w:val="0"/>
                <w:sz w:val="22"/>
                <w:szCs w:val="20"/>
              </w:rPr>
              <w:t>预算价</w:t>
            </w:r>
          </w:p>
        </w:tc>
        <w:tc>
          <w:tcPr>
            <w:tcW w:w="1472" w:type="dxa"/>
            <w:gridSpan w:val="2"/>
            <w:vMerge w:val="restart"/>
            <w:vAlign w:val="center"/>
          </w:tcPr>
          <w:p w:rsidR="004E2966" w:rsidRDefault="00244A6C">
            <w:pP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300000</w:t>
            </w:r>
          </w:p>
        </w:tc>
        <w:tc>
          <w:tcPr>
            <w:tcW w:w="961" w:type="dxa"/>
            <w:gridSpan w:val="2"/>
            <w:vMerge w:val="restart"/>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b/>
                <w:bCs/>
                <w:kern w:val="0"/>
                <w:sz w:val="22"/>
                <w:szCs w:val="20"/>
              </w:rPr>
              <w:t>联系人</w:t>
            </w:r>
          </w:p>
        </w:tc>
        <w:tc>
          <w:tcPr>
            <w:tcW w:w="2254" w:type="dxa"/>
            <w:vAlign w:val="center"/>
          </w:tcPr>
          <w:p w:rsidR="004E2966" w:rsidRDefault="00244A6C">
            <w:pP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姓名：</w:t>
            </w:r>
            <w:proofErr w:type="gramStart"/>
            <w:r>
              <w:rPr>
                <w:rFonts w:asciiTheme="majorEastAsia" w:eastAsiaTheme="majorEastAsia" w:hAnsiTheme="majorEastAsia" w:hint="eastAsia"/>
                <w:kern w:val="0"/>
                <w:sz w:val="22"/>
                <w:szCs w:val="20"/>
              </w:rPr>
              <w:t>金航军</w:t>
            </w:r>
            <w:proofErr w:type="gramEnd"/>
          </w:p>
        </w:tc>
      </w:tr>
      <w:tr w:rsidR="007A5E1B" w:rsidTr="007A5E1B">
        <w:trPr>
          <w:trHeight w:val="841"/>
        </w:trPr>
        <w:tc>
          <w:tcPr>
            <w:tcW w:w="1623" w:type="dxa"/>
            <w:vMerge/>
            <w:vAlign w:val="center"/>
          </w:tcPr>
          <w:p w:rsidR="004E2966" w:rsidRDefault="004E2966">
            <w:pPr>
              <w:rPr>
                <w:rFonts w:asciiTheme="majorEastAsia" w:eastAsiaTheme="majorEastAsia" w:hAnsiTheme="majorEastAsia"/>
                <w:kern w:val="0"/>
                <w:sz w:val="22"/>
                <w:szCs w:val="20"/>
              </w:rPr>
            </w:pPr>
          </w:p>
        </w:tc>
        <w:tc>
          <w:tcPr>
            <w:tcW w:w="2112" w:type="dxa"/>
            <w:gridSpan w:val="2"/>
            <w:vMerge/>
          </w:tcPr>
          <w:p w:rsidR="004E2966" w:rsidRDefault="004E2966">
            <w:pPr>
              <w:rPr>
                <w:rFonts w:asciiTheme="majorEastAsia" w:eastAsiaTheme="majorEastAsia" w:hAnsiTheme="majorEastAsia"/>
                <w:kern w:val="0"/>
                <w:sz w:val="22"/>
                <w:szCs w:val="20"/>
              </w:rPr>
            </w:pPr>
          </w:p>
        </w:tc>
        <w:tc>
          <w:tcPr>
            <w:tcW w:w="1054" w:type="dxa"/>
            <w:gridSpan w:val="3"/>
            <w:vMerge/>
            <w:vAlign w:val="center"/>
          </w:tcPr>
          <w:p w:rsidR="004E2966" w:rsidRDefault="004E2966">
            <w:pPr>
              <w:rPr>
                <w:rFonts w:asciiTheme="majorEastAsia" w:eastAsiaTheme="majorEastAsia" w:hAnsiTheme="majorEastAsia"/>
                <w:kern w:val="0"/>
                <w:sz w:val="22"/>
                <w:szCs w:val="20"/>
              </w:rPr>
            </w:pPr>
          </w:p>
        </w:tc>
        <w:tc>
          <w:tcPr>
            <w:tcW w:w="1472" w:type="dxa"/>
            <w:gridSpan w:val="2"/>
            <w:vMerge/>
            <w:vAlign w:val="center"/>
          </w:tcPr>
          <w:p w:rsidR="004E2966" w:rsidRDefault="004E2966">
            <w:pPr>
              <w:rPr>
                <w:rFonts w:asciiTheme="majorEastAsia" w:eastAsiaTheme="majorEastAsia" w:hAnsiTheme="majorEastAsia"/>
                <w:kern w:val="0"/>
                <w:sz w:val="22"/>
                <w:szCs w:val="20"/>
              </w:rPr>
            </w:pPr>
          </w:p>
        </w:tc>
        <w:tc>
          <w:tcPr>
            <w:tcW w:w="961" w:type="dxa"/>
            <w:gridSpan w:val="2"/>
            <w:vMerge/>
            <w:vAlign w:val="center"/>
          </w:tcPr>
          <w:p w:rsidR="004E2966" w:rsidRDefault="004E2966">
            <w:pPr>
              <w:rPr>
                <w:rFonts w:asciiTheme="majorEastAsia" w:eastAsiaTheme="majorEastAsia" w:hAnsiTheme="majorEastAsia"/>
                <w:kern w:val="0"/>
                <w:sz w:val="22"/>
                <w:szCs w:val="20"/>
              </w:rPr>
            </w:pPr>
          </w:p>
        </w:tc>
        <w:tc>
          <w:tcPr>
            <w:tcW w:w="2254" w:type="dxa"/>
            <w:vAlign w:val="center"/>
          </w:tcPr>
          <w:p w:rsidR="004E2966" w:rsidRDefault="00244A6C">
            <w:pP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电话：18257461675</w:t>
            </w:r>
          </w:p>
        </w:tc>
      </w:tr>
      <w:tr w:rsidR="00A20EB5" w:rsidTr="007A5E1B">
        <w:trPr>
          <w:trHeight w:val="713"/>
        </w:trPr>
        <w:tc>
          <w:tcPr>
            <w:tcW w:w="1623" w:type="dxa"/>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评标法</w:t>
            </w:r>
          </w:p>
        </w:tc>
        <w:tc>
          <w:tcPr>
            <w:tcW w:w="7853" w:type="dxa"/>
            <w:gridSpan w:val="10"/>
            <w:vAlign w:val="center"/>
          </w:tcPr>
          <w:p w:rsidR="004E2966" w:rsidRDefault="00244A6C">
            <w:pPr>
              <w:ind w:firstLineChars="50" w:firstLine="110"/>
              <w:jc w:val="lef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sym w:font="Wingdings 2" w:char="0052"/>
            </w:r>
            <w:r>
              <w:rPr>
                <w:rFonts w:asciiTheme="majorEastAsia" w:eastAsiaTheme="majorEastAsia" w:hAnsiTheme="majorEastAsia" w:hint="eastAsia"/>
                <w:kern w:val="0"/>
                <w:sz w:val="22"/>
                <w:szCs w:val="20"/>
              </w:rPr>
              <w:t>最低评标价法；□综合评分法</w:t>
            </w:r>
          </w:p>
        </w:tc>
      </w:tr>
      <w:tr w:rsidR="00A20EB5" w:rsidTr="007A5E1B">
        <w:trPr>
          <w:trHeight w:val="1154"/>
        </w:trPr>
        <w:tc>
          <w:tcPr>
            <w:tcW w:w="1623" w:type="dxa"/>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投标供应商资格要求</w:t>
            </w:r>
          </w:p>
        </w:tc>
        <w:tc>
          <w:tcPr>
            <w:tcW w:w="7853" w:type="dxa"/>
            <w:gridSpan w:val="10"/>
          </w:tcPr>
          <w:p w:rsidR="004E2966" w:rsidRDefault="00244A6C">
            <w:r>
              <w:rPr>
                <w:rFonts w:hint="eastAsia"/>
              </w:rPr>
              <w:t>1.</w:t>
            </w:r>
            <w:r>
              <w:rPr>
                <w:rFonts w:hint="eastAsia"/>
              </w:rPr>
              <w:t>符合《中华人民共和国政府采购法》第二十二条供应商应当具备的条件；</w:t>
            </w:r>
          </w:p>
          <w:p w:rsidR="004E2966" w:rsidRDefault="00244A6C">
            <w:r>
              <w:rPr>
                <w:rFonts w:hint="eastAsia"/>
              </w:rPr>
              <w:t>2.</w:t>
            </w:r>
            <w:r>
              <w:rPr>
                <w:rFonts w:hint="eastAsia"/>
              </w:rPr>
              <w:t>投标人</w:t>
            </w:r>
            <w:proofErr w:type="gramStart"/>
            <w:r>
              <w:rPr>
                <w:rFonts w:hint="eastAsia"/>
              </w:rPr>
              <w:t>无以下</w:t>
            </w:r>
            <w:proofErr w:type="gramEnd"/>
            <w:r>
              <w:rPr>
                <w:rFonts w:hint="eastAsia"/>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）列入失信被执行人、重大税收违法案件当事人名单、政府采购严重违法失信行为记录名单的；</w:t>
            </w:r>
          </w:p>
          <w:p w:rsidR="004E2966" w:rsidRDefault="00244A6C">
            <w:r>
              <w:rPr>
                <w:rFonts w:hint="eastAsia"/>
              </w:rPr>
              <w:t>3.</w:t>
            </w:r>
            <w:r>
              <w:rPr>
                <w:rFonts w:hint="eastAsia"/>
              </w:rPr>
              <w:t>投标人自</w:t>
            </w:r>
            <w:r>
              <w:rPr>
                <w:rFonts w:hint="eastAsia"/>
              </w:rPr>
              <w:t>2018</w:t>
            </w:r>
            <w:r>
              <w:rPr>
                <w:rFonts w:hint="eastAsia"/>
              </w:rPr>
              <w:t>年</w:t>
            </w:r>
            <w:r>
              <w:rPr>
                <w:rFonts w:hint="eastAsia"/>
              </w:rPr>
              <w:t>01</w:t>
            </w:r>
            <w:r>
              <w:rPr>
                <w:rFonts w:hint="eastAsia"/>
              </w:rPr>
              <w:t>月</w:t>
            </w:r>
            <w:r>
              <w:rPr>
                <w:rFonts w:hint="eastAsia"/>
              </w:rPr>
              <w:t>01</w:t>
            </w:r>
            <w:r>
              <w:rPr>
                <w:rFonts w:hint="eastAsia"/>
              </w:rPr>
              <w:t>日起到中标公告期结束前无行贿犯罪记录；</w:t>
            </w:r>
          </w:p>
          <w:p w:rsidR="004E2966" w:rsidRDefault="00244A6C">
            <w:r>
              <w:rPr>
                <w:rFonts w:hint="eastAsia"/>
              </w:rPr>
              <w:t>4.</w:t>
            </w:r>
            <w:r>
              <w:rPr>
                <w:rFonts w:hint="eastAsia"/>
              </w:rPr>
              <w:t>根据《关于在全市公共资源交易活动中应用信用报告的通知》（义行服管〔</w:t>
            </w:r>
            <w:r>
              <w:rPr>
                <w:rFonts w:hint="eastAsia"/>
              </w:rPr>
              <w:t>2017</w:t>
            </w:r>
            <w:r>
              <w:rPr>
                <w:rFonts w:hint="eastAsia"/>
              </w:rPr>
              <w:t>〕</w:t>
            </w:r>
            <w:r>
              <w:rPr>
                <w:rFonts w:hint="eastAsia"/>
              </w:rPr>
              <w:t>17</w:t>
            </w:r>
            <w:r>
              <w:rPr>
                <w:rFonts w:hint="eastAsia"/>
              </w:rPr>
              <w:t>号）的规定，综合信用报告评级不属于</w:t>
            </w:r>
            <w:r>
              <w:rPr>
                <w:rFonts w:hint="eastAsia"/>
              </w:rPr>
              <w:t>D</w:t>
            </w:r>
            <w:r>
              <w:rPr>
                <w:rFonts w:hint="eastAsia"/>
              </w:rPr>
              <w:t>类或</w:t>
            </w:r>
            <w:r>
              <w:rPr>
                <w:rFonts w:hint="eastAsia"/>
              </w:rPr>
              <w:t>E</w:t>
            </w:r>
            <w:r>
              <w:rPr>
                <w:rFonts w:hint="eastAsia"/>
              </w:rPr>
              <w:t>类的（无信用评价供应商不受此项条件限制，查询结果以网站页面显示内容为准）；</w:t>
            </w:r>
          </w:p>
          <w:p w:rsidR="004E2966" w:rsidRDefault="00244A6C">
            <w:r>
              <w:rPr>
                <w:rFonts w:hint="eastAsia"/>
              </w:rPr>
              <w:t>5.</w:t>
            </w:r>
            <w:r>
              <w:rPr>
                <w:rFonts w:hint="eastAsia"/>
              </w:rPr>
              <w:t>单位负责人为同一人或者存在直接控股、管理关系的不同供应商，不得参加同一合同项（同一标项）下的政府采购活动；</w:t>
            </w:r>
          </w:p>
          <w:p w:rsidR="004E2966" w:rsidRDefault="00244A6C">
            <w:r>
              <w:rPr>
                <w:rFonts w:hint="eastAsia"/>
              </w:rPr>
              <w:t>6.</w:t>
            </w:r>
            <w:r>
              <w:rPr>
                <w:rFonts w:hint="eastAsia"/>
              </w:rPr>
              <w:t>为采购项目提供整体设计、规范编制或者项目管理、监理、检测等服务的供应商，不得再参加该采购项目的其他采购活动；</w:t>
            </w:r>
          </w:p>
          <w:p w:rsidR="004E2966" w:rsidRDefault="00244A6C">
            <w:pPr>
              <w:rPr>
                <w:rFonts w:asciiTheme="majorEastAsia" w:eastAsiaTheme="majorEastAsia" w:hAnsiTheme="majorEastAsia"/>
                <w:kern w:val="0"/>
                <w:sz w:val="22"/>
                <w:szCs w:val="20"/>
              </w:rPr>
            </w:pPr>
            <w:r>
              <w:rPr>
                <w:rFonts w:hint="eastAsia"/>
              </w:rPr>
              <w:t>7.</w:t>
            </w:r>
            <w:r>
              <w:rPr>
                <w:rFonts w:hint="eastAsia"/>
              </w:rPr>
              <w:t>本项目不接受公益一类事业单位</w:t>
            </w:r>
            <w:r>
              <w:rPr>
                <w:rFonts w:hint="eastAsia"/>
              </w:rPr>
              <w:t>,</w:t>
            </w:r>
            <w:r>
              <w:rPr>
                <w:rFonts w:hint="eastAsia"/>
              </w:rPr>
              <w:t>或使用事业编制且由财政拨款保障的群团组织参与投标。</w:t>
            </w:r>
          </w:p>
        </w:tc>
      </w:tr>
      <w:tr w:rsidR="00A20EB5" w:rsidTr="007A5E1B">
        <w:trPr>
          <w:trHeight w:val="1750"/>
        </w:trPr>
        <w:tc>
          <w:tcPr>
            <w:tcW w:w="1623" w:type="dxa"/>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所投产品或报名的资料文件</w:t>
            </w:r>
          </w:p>
        </w:tc>
        <w:tc>
          <w:tcPr>
            <w:tcW w:w="7853" w:type="dxa"/>
            <w:gridSpan w:val="10"/>
          </w:tcPr>
          <w:p w:rsidR="004E2966" w:rsidRDefault="004E2966">
            <w:pPr>
              <w:rPr>
                <w:rFonts w:asciiTheme="majorEastAsia" w:eastAsiaTheme="majorEastAsia" w:hAnsiTheme="majorEastAsia"/>
                <w:kern w:val="0"/>
                <w:sz w:val="22"/>
                <w:szCs w:val="20"/>
              </w:rPr>
            </w:pPr>
          </w:p>
        </w:tc>
      </w:tr>
      <w:tr w:rsidR="00F8366E" w:rsidTr="007A5E1B">
        <w:trPr>
          <w:trHeight w:val="730"/>
        </w:trPr>
        <w:tc>
          <w:tcPr>
            <w:tcW w:w="1623" w:type="dxa"/>
            <w:vMerge w:val="restart"/>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货物/服务技术要求</w:t>
            </w:r>
            <w:r>
              <w:rPr>
                <w:rFonts w:asciiTheme="majorEastAsia" w:eastAsiaTheme="majorEastAsia" w:hAnsiTheme="majorEastAsia" w:hint="eastAsia"/>
                <w:bCs/>
                <w:kern w:val="0"/>
                <w:sz w:val="22"/>
                <w:szCs w:val="20"/>
              </w:rPr>
              <w:t>（可根据实际项目适当调整）</w:t>
            </w:r>
          </w:p>
        </w:tc>
        <w:tc>
          <w:tcPr>
            <w:tcW w:w="1156" w:type="dxa"/>
            <w:vAlign w:val="center"/>
          </w:tcPr>
          <w:p w:rsidR="004E2966" w:rsidRPr="00327673" w:rsidRDefault="00244A6C">
            <w:pPr>
              <w:spacing w:line="288" w:lineRule="auto"/>
              <w:jc w:val="center"/>
            </w:pPr>
            <w:r w:rsidRPr="00327673">
              <w:t>项目内容</w:t>
            </w:r>
          </w:p>
        </w:tc>
        <w:tc>
          <w:tcPr>
            <w:tcW w:w="1253" w:type="dxa"/>
            <w:gridSpan w:val="2"/>
            <w:vAlign w:val="center"/>
          </w:tcPr>
          <w:p w:rsidR="004E2966" w:rsidRPr="00327673" w:rsidRDefault="00244A6C">
            <w:pPr>
              <w:spacing w:line="288" w:lineRule="auto"/>
              <w:jc w:val="center"/>
            </w:pPr>
            <w:r w:rsidRPr="00327673">
              <w:t>技术要求</w:t>
            </w:r>
          </w:p>
        </w:tc>
        <w:tc>
          <w:tcPr>
            <w:tcW w:w="1363" w:type="dxa"/>
            <w:gridSpan w:val="3"/>
            <w:vAlign w:val="center"/>
          </w:tcPr>
          <w:p w:rsidR="004E2966" w:rsidRPr="00327673" w:rsidRDefault="00244A6C">
            <w:pPr>
              <w:spacing w:line="288" w:lineRule="auto"/>
              <w:jc w:val="center"/>
            </w:pPr>
            <w:r w:rsidRPr="00327673">
              <w:t>数量</w:t>
            </w:r>
          </w:p>
        </w:tc>
        <w:tc>
          <w:tcPr>
            <w:tcW w:w="1484" w:type="dxa"/>
            <w:gridSpan w:val="2"/>
            <w:vAlign w:val="center"/>
          </w:tcPr>
          <w:p w:rsidR="004E2966" w:rsidRPr="00327673" w:rsidRDefault="00244A6C">
            <w:pPr>
              <w:spacing w:line="288" w:lineRule="auto"/>
              <w:jc w:val="center"/>
            </w:pPr>
            <w:r w:rsidRPr="00327673">
              <w:rPr>
                <w:rFonts w:hint="eastAsia"/>
              </w:rPr>
              <w:t>采购</w:t>
            </w:r>
            <w:r w:rsidRPr="00327673">
              <w:t>预算</w:t>
            </w:r>
          </w:p>
        </w:tc>
        <w:tc>
          <w:tcPr>
            <w:tcW w:w="2597" w:type="dxa"/>
            <w:gridSpan w:val="2"/>
            <w:vAlign w:val="center"/>
          </w:tcPr>
          <w:p w:rsidR="004E2966" w:rsidRPr="00327673" w:rsidRDefault="00244A6C">
            <w:pPr>
              <w:spacing w:line="288" w:lineRule="auto"/>
              <w:jc w:val="center"/>
            </w:pPr>
            <w:r w:rsidRPr="00327673">
              <w:rPr>
                <w:rFonts w:hint="eastAsia"/>
              </w:rPr>
              <w:t>总价</w:t>
            </w:r>
            <w:r w:rsidRPr="00327673">
              <w:t>最高限价</w:t>
            </w:r>
          </w:p>
        </w:tc>
      </w:tr>
      <w:tr w:rsidR="00F8366E" w:rsidTr="007A5E1B">
        <w:trPr>
          <w:trHeight w:val="1066"/>
        </w:trPr>
        <w:tc>
          <w:tcPr>
            <w:tcW w:w="1623" w:type="dxa"/>
            <w:vMerge/>
            <w:vAlign w:val="center"/>
          </w:tcPr>
          <w:p w:rsidR="004E2966" w:rsidRDefault="004E2966">
            <w:pPr>
              <w:rPr>
                <w:rFonts w:asciiTheme="majorEastAsia" w:eastAsiaTheme="majorEastAsia" w:hAnsiTheme="majorEastAsia"/>
                <w:kern w:val="0"/>
                <w:sz w:val="22"/>
                <w:szCs w:val="20"/>
              </w:rPr>
            </w:pPr>
          </w:p>
        </w:tc>
        <w:tc>
          <w:tcPr>
            <w:tcW w:w="1156" w:type="dxa"/>
            <w:vAlign w:val="center"/>
          </w:tcPr>
          <w:p w:rsidR="004E2966" w:rsidRPr="00327673" w:rsidRDefault="00244A6C">
            <w:pPr>
              <w:spacing w:line="288" w:lineRule="auto"/>
              <w:jc w:val="center"/>
            </w:pPr>
            <w:r>
              <w:rPr>
                <w:rFonts w:hint="eastAsia"/>
              </w:rPr>
              <w:t>义乌工商职业技术学院绿化种植采购项目</w:t>
            </w:r>
          </w:p>
        </w:tc>
        <w:tc>
          <w:tcPr>
            <w:tcW w:w="1253" w:type="dxa"/>
            <w:gridSpan w:val="2"/>
            <w:vAlign w:val="center"/>
          </w:tcPr>
          <w:p w:rsidR="004E2966" w:rsidRDefault="00244A6C">
            <w:pPr>
              <w:spacing w:line="288" w:lineRule="auto"/>
              <w:jc w:val="center"/>
            </w:pPr>
            <w:r>
              <w:rPr>
                <w:rFonts w:hint="eastAsia"/>
              </w:rPr>
              <w:t>详见附件</w:t>
            </w:r>
          </w:p>
        </w:tc>
        <w:tc>
          <w:tcPr>
            <w:tcW w:w="1363" w:type="dxa"/>
            <w:gridSpan w:val="3"/>
            <w:vAlign w:val="center"/>
          </w:tcPr>
          <w:p w:rsidR="004E2966" w:rsidRDefault="00244A6C">
            <w:pPr>
              <w:spacing w:line="288" w:lineRule="auto"/>
              <w:jc w:val="center"/>
            </w:pPr>
            <w:r>
              <w:rPr>
                <w:rFonts w:hint="eastAsia"/>
              </w:rPr>
              <w:t>详见附件</w:t>
            </w:r>
          </w:p>
        </w:tc>
        <w:tc>
          <w:tcPr>
            <w:tcW w:w="1484" w:type="dxa"/>
            <w:gridSpan w:val="2"/>
            <w:vAlign w:val="center"/>
          </w:tcPr>
          <w:p w:rsidR="004E2966" w:rsidRDefault="00244A6C">
            <w:pPr>
              <w:spacing w:line="288" w:lineRule="auto"/>
              <w:jc w:val="center"/>
            </w:pPr>
            <w:r>
              <w:rPr>
                <w:rFonts w:hint="eastAsia"/>
              </w:rPr>
              <w:t>300000</w:t>
            </w:r>
            <w:r>
              <w:rPr>
                <w:rFonts w:hint="eastAsia"/>
              </w:rPr>
              <w:t>元</w:t>
            </w:r>
          </w:p>
        </w:tc>
        <w:tc>
          <w:tcPr>
            <w:tcW w:w="2597" w:type="dxa"/>
            <w:gridSpan w:val="2"/>
            <w:vAlign w:val="center"/>
          </w:tcPr>
          <w:p w:rsidR="004E2966" w:rsidRDefault="00244A6C">
            <w:pPr>
              <w:spacing w:line="288" w:lineRule="auto"/>
              <w:jc w:val="center"/>
            </w:pPr>
            <w:r>
              <w:rPr>
                <w:rFonts w:hint="eastAsia"/>
              </w:rPr>
              <w:t>300000</w:t>
            </w:r>
            <w:r>
              <w:rPr>
                <w:rFonts w:hint="eastAsia"/>
              </w:rPr>
              <w:t>元</w:t>
            </w:r>
          </w:p>
        </w:tc>
      </w:tr>
      <w:tr w:rsidR="00A20EB5" w:rsidTr="007A5E1B">
        <w:trPr>
          <w:trHeight w:val="1154"/>
        </w:trPr>
        <w:tc>
          <w:tcPr>
            <w:tcW w:w="1623" w:type="dxa"/>
            <w:vMerge w:val="restart"/>
            <w:vAlign w:val="center"/>
          </w:tcPr>
          <w:p w:rsidR="004E2966" w:rsidRDefault="004E2966">
            <w:pPr>
              <w:rPr>
                <w:rFonts w:asciiTheme="majorEastAsia" w:eastAsiaTheme="majorEastAsia" w:hAnsiTheme="majorEastAsia"/>
                <w:b/>
                <w:kern w:val="0"/>
                <w:sz w:val="22"/>
                <w:szCs w:val="20"/>
              </w:rPr>
            </w:pPr>
          </w:p>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供货及安装的问题</w:t>
            </w:r>
          </w:p>
        </w:tc>
        <w:tc>
          <w:tcPr>
            <w:tcW w:w="1156"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时间</w:t>
            </w:r>
          </w:p>
        </w:tc>
        <w:tc>
          <w:tcPr>
            <w:tcW w:w="6697" w:type="dxa"/>
            <w:gridSpan w:val="9"/>
          </w:tcPr>
          <w:p w:rsidR="004E2966" w:rsidRDefault="00244A6C">
            <w:r>
              <w:rPr>
                <w:rFonts w:hint="eastAsia"/>
              </w:rPr>
              <w:t>1.</w:t>
            </w:r>
            <w:r>
              <w:rPr>
                <w:rFonts w:hint="eastAsia"/>
              </w:rPr>
              <w:t>本采购清单内花卉非一次性供货，在供货期内按采购人需求数量，分批次供货。花卉颜色由采购人指定。</w:t>
            </w:r>
          </w:p>
          <w:p w:rsidR="004E2966" w:rsidRDefault="00244A6C">
            <w:r>
              <w:rPr>
                <w:rFonts w:hint="eastAsia"/>
              </w:rPr>
              <w:t>2.</w:t>
            </w:r>
            <w:r>
              <w:rPr>
                <w:rFonts w:hint="eastAsia"/>
              </w:rPr>
              <w:t>按采购人需求，在接到采购人需求三天内将货物运至采购人指定地点，并负责货物的搬运。采购人不保证供货有效期内中标供应商的最低供货数量，最终供货数量以采购人实际需要数量为准。</w:t>
            </w:r>
          </w:p>
          <w:p w:rsidR="004E2966" w:rsidRDefault="00244A6C">
            <w:r>
              <w:rPr>
                <w:rFonts w:hint="eastAsia"/>
              </w:rPr>
              <w:t>3.</w:t>
            </w:r>
            <w:r>
              <w:rPr>
                <w:rFonts w:hint="eastAsia"/>
              </w:rPr>
              <w:t>中标方必须保证提供的鲜花品种齐全、品质保证、货源充足，供货及时。</w:t>
            </w:r>
          </w:p>
          <w:p w:rsidR="004E2966" w:rsidRDefault="00244A6C">
            <w:r>
              <w:rPr>
                <w:rFonts w:hint="eastAsia"/>
              </w:rPr>
              <w:t>4.</w:t>
            </w:r>
            <w:r>
              <w:rPr>
                <w:rFonts w:hint="eastAsia"/>
              </w:rPr>
              <w:t>采购人有权将认定不合格的鲜花退还给中标方，并要求中标方在规定的时间内重新配送。</w:t>
            </w:r>
          </w:p>
          <w:p w:rsidR="004E2966" w:rsidRDefault="00244A6C">
            <w:r>
              <w:rPr>
                <w:rFonts w:hint="eastAsia"/>
              </w:rPr>
              <w:t>5.</w:t>
            </w:r>
            <w:r>
              <w:rPr>
                <w:rFonts w:hint="eastAsia"/>
              </w:rPr>
              <w:t>采购人如</w:t>
            </w:r>
            <w:proofErr w:type="gramStart"/>
            <w:r>
              <w:rPr>
                <w:rFonts w:hint="eastAsia"/>
              </w:rPr>
              <w:t>遇规模</w:t>
            </w:r>
            <w:proofErr w:type="gramEnd"/>
            <w:r>
              <w:rPr>
                <w:rFonts w:hint="eastAsia"/>
              </w:rPr>
              <w:t>较大的花卉布置要求中标方帮助的，中标方必须无偿派出相关工作人员到布置场地并提供现场花艺制作。</w:t>
            </w:r>
          </w:p>
          <w:p w:rsidR="004E2966" w:rsidRDefault="00355B0E">
            <w:r>
              <w:rPr>
                <w:rFonts w:hint="eastAsia"/>
              </w:rPr>
              <w:t>6.</w:t>
            </w:r>
            <w:r>
              <w:rPr>
                <w:rFonts w:hint="eastAsia"/>
              </w:rPr>
              <w:t>按</w:t>
            </w:r>
            <w:r w:rsidR="00CF5610">
              <w:rPr>
                <w:rFonts w:hint="eastAsia"/>
              </w:rPr>
              <w:t>采购人</w:t>
            </w:r>
            <w:bookmarkStart w:id="0" w:name="_GoBack"/>
            <w:bookmarkEnd w:id="0"/>
            <w:r>
              <w:rPr>
                <w:rFonts w:hint="eastAsia"/>
              </w:rPr>
              <w:t>指定的时间供货。</w:t>
            </w:r>
          </w:p>
        </w:tc>
      </w:tr>
      <w:tr w:rsidR="00A20EB5" w:rsidTr="007A5E1B">
        <w:trPr>
          <w:trHeight w:val="1154"/>
        </w:trPr>
        <w:tc>
          <w:tcPr>
            <w:tcW w:w="1623" w:type="dxa"/>
            <w:vMerge/>
            <w:vAlign w:val="center"/>
          </w:tcPr>
          <w:p w:rsidR="004E2966" w:rsidRDefault="004E2966">
            <w:pPr>
              <w:rPr>
                <w:rFonts w:asciiTheme="majorEastAsia" w:eastAsiaTheme="majorEastAsia" w:hAnsiTheme="majorEastAsia"/>
                <w:kern w:val="0"/>
                <w:sz w:val="22"/>
                <w:szCs w:val="20"/>
              </w:rPr>
            </w:pPr>
          </w:p>
        </w:tc>
        <w:tc>
          <w:tcPr>
            <w:tcW w:w="1156"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地点</w:t>
            </w:r>
          </w:p>
        </w:tc>
        <w:tc>
          <w:tcPr>
            <w:tcW w:w="6697" w:type="dxa"/>
            <w:gridSpan w:val="9"/>
            <w:vAlign w:val="center"/>
          </w:tcPr>
          <w:p w:rsidR="004E2966" w:rsidRDefault="00244A6C">
            <w:r>
              <w:rPr>
                <w:rFonts w:hint="eastAsia"/>
              </w:rPr>
              <w:t>采购人指定地点</w:t>
            </w:r>
          </w:p>
        </w:tc>
      </w:tr>
      <w:tr w:rsidR="00A20EB5" w:rsidTr="007A5E1B">
        <w:trPr>
          <w:trHeight w:val="722"/>
        </w:trPr>
        <w:tc>
          <w:tcPr>
            <w:tcW w:w="1623" w:type="dxa"/>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质</w:t>
            </w:r>
            <w:proofErr w:type="gramStart"/>
            <w:r>
              <w:rPr>
                <w:rFonts w:asciiTheme="majorEastAsia" w:eastAsiaTheme="majorEastAsia" w:hAnsiTheme="majorEastAsia" w:hint="eastAsia"/>
                <w:b/>
                <w:kern w:val="0"/>
                <w:sz w:val="22"/>
                <w:szCs w:val="20"/>
              </w:rPr>
              <w:t>保要求</w:t>
            </w:r>
            <w:proofErr w:type="gramEnd"/>
          </w:p>
        </w:tc>
        <w:tc>
          <w:tcPr>
            <w:tcW w:w="7853" w:type="dxa"/>
            <w:gridSpan w:val="10"/>
          </w:tcPr>
          <w:p w:rsidR="004E2966" w:rsidRDefault="00244A6C">
            <w:r>
              <w:rPr>
                <w:rFonts w:hint="eastAsia"/>
              </w:rPr>
              <w:t>1.</w:t>
            </w:r>
            <w:r>
              <w:rPr>
                <w:rFonts w:hint="eastAsia"/>
              </w:rPr>
              <w:t>延期交货的：因中标方的原因造成不能按期交货的，每延期交货</w:t>
            </w:r>
            <w:r>
              <w:rPr>
                <w:rFonts w:hint="eastAsia"/>
              </w:rPr>
              <w:t>30</w:t>
            </w:r>
            <w:r>
              <w:rPr>
                <w:rFonts w:hint="eastAsia"/>
              </w:rPr>
              <w:t>分钟，扣除货款</w:t>
            </w:r>
            <w:r>
              <w:rPr>
                <w:rFonts w:hint="eastAsia"/>
              </w:rPr>
              <w:t>1000</w:t>
            </w:r>
            <w:r>
              <w:rPr>
                <w:rFonts w:hint="eastAsia"/>
              </w:rPr>
              <w:t>元，依次累计。</w:t>
            </w:r>
          </w:p>
          <w:p w:rsidR="004E2966" w:rsidRDefault="00244A6C">
            <w:r>
              <w:rPr>
                <w:rFonts w:hint="eastAsia"/>
              </w:rPr>
              <w:t>2.</w:t>
            </w:r>
            <w:r>
              <w:rPr>
                <w:rFonts w:hint="eastAsia"/>
              </w:rPr>
              <w:t>质量不符合的：若中标方所提供的货物不符合采购人质量和要求的，中标方应向采购人偿付当日货款</w:t>
            </w:r>
            <w:r>
              <w:rPr>
                <w:rFonts w:hint="eastAsia"/>
              </w:rPr>
              <w:t>20%</w:t>
            </w:r>
            <w:r>
              <w:rPr>
                <w:rFonts w:hint="eastAsia"/>
              </w:rPr>
              <w:t>的违约金，采购方有权将货物退还给中标方，并要求中标方在规定时间重新配送，采购人不承担任何额外费用。</w:t>
            </w:r>
          </w:p>
          <w:p w:rsidR="004E2966" w:rsidRDefault="00244A6C">
            <w:r>
              <w:rPr>
                <w:rFonts w:hint="eastAsia"/>
              </w:rPr>
              <w:t>3.</w:t>
            </w:r>
            <w:r>
              <w:rPr>
                <w:rFonts w:hint="eastAsia"/>
              </w:rPr>
              <w:t>没按采购人需求送货的：若中标方所提供货物不符合采购人需求的，中标方应向采购人偿付当日货款</w:t>
            </w:r>
            <w:r>
              <w:rPr>
                <w:rFonts w:hint="eastAsia"/>
              </w:rPr>
              <w:t>20%</w:t>
            </w:r>
            <w:r>
              <w:rPr>
                <w:rFonts w:hint="eastAsia"/>
              </w:rPr>
              <w:t>的违约金，采购方有权将货物退还给中标方，并要求中标方在规定时间重新配送，采购人不承担任何额外费用。</w:t>
            </w:r>
          </w:p>
          <w:p w:rsidR="004E2966" w:rsidRDefault="00244A6C">
            <w:r>
              <w:rPr>
                <w:rFonts w:hint="eastAsia"/>
              </w:rPr>
              <w:t>4.</w:t>
            </w:r>
            <w:r>
              <w:rPr>
                <w:rFonts w:hint="eastAsia"/>
              </w:rPr>
              <w:t>数量不符的：若中标方所提供的货物数量不足的，除补足数量外，中标方应向采购人偿付当日货款</w:t>
            </w:r>
            <w:r>
              <w:rPr>
                <w:rFonts w:hint="eastAsia"/>
              </w:rPr>
              <w:t>20%</w:t>
            </w:r>
            <w:r>
              <w:rPr>
                <w:rFonts w:hint="eastAsia"/>
              </w:rPr>
              <w:t>的违约金。</w:t>
            </w:r>
          </w:p>
          <w:p w:rsidR="004E2966" w:rsidRDefault="00244A6C">
            <w:r>
              <w:rPr>
                <w:rFonts w:hint="eastAsia"/>
              </w:rPr>
              <w:t>5.</w:t>
            </w:r>
            <w:r>
              <w:rPr>
                <w:rFonts w:hint="eastAsia"/>
              </w:rPr>
              <w:t>中标方如连续出现三次以上类似情况（含三次），采购人有权单方面终止合同。</w:t>
            </w:r>
          </w:p>
          <w:p w:rsidR="004E2966" w:rsidRDefault="00244A6C">
            <w:r>
              <w:rPr>
                <w:rFonts w:hint="eastAsia"/>
              </w:rPr>
              <w:t>6.</w:t>
            </w:r>
            <w:r>
              <w:rPr>
                <w:rFonts w:hint="eastAsia"/>
              </w:rPr>
              <w:t>违约金在货款金额中扣除，因中标方违约终止合同的，采购方有权不予支付所剩货款。</w:t>
            </w:r>
          </w:p>
        </w:tc>
      </w:tr>
      <w:tr w:rsidR="00A20EB5" w:rsidTr="007A5E1B">
        <w:trPr>
          <w:trHeight w:val="1353"/>
        </w:trPr>
        <w:tc>
          <w:tcPr>
            <w:tcW w:w="1623" w:type="dxa"/>
            <w:vAlign w:val="center"/>
          </w:tcPr>
          <w:p w:rsidR="004E2966" w:rsidRDefault="00244A6C">
            <w:pPr>
              <w:jc w:val="left"/>
              <w:rPr>
                <w:rFonts w:asciiTheme="majorEastAsia" w:eastAsiaTheme="majorEastAsia" w:hAnsiTheme="majorEastAsia"/>
                <w:b/>
                <w:kern w:val="0"/>
                <w:sz w:val="22"/>
                <w:szCs w:val="20"/>
              </w:rPr>
            </w:pPr>
            <w:r>
              <w:rPr>
                <w:rFonts w:hint="eastAsia"/>
                <w:b/>
                <w:bCs/>
                <w:kern w:val="0"/>
                <w:sz w:val="20"/>
                <w:szCs w:val="20"/>
              </w:rPr>
              <w:t>售后服务的响应时间</w:t>
            </w:r>
          </w:p>
        </w:tc>
        <w:tc>
          <w:tcPr>
            <w:tcW w:w="7853" w:type="dxa"/>
            <w:gridSpan w:val="10"/>
          </w:tcPr>
          <w:p w:rsidR="004E2966" w:rsidRDefault="00244A6C">
            <w:r>
              <w:rPr>
                <w:rFonts w:hint="eastAsia"/>
              </w:rPr>
              <w:t>货物若出现因中标方原因产生的问题，中标方须在半小时内做出响应并给出解决方案，并在</w:t>
            </w:r>
            <w:r>
              <w:rPr>
                <w:rFonts w:hint="eastAsia"/>
              </w:rPr>
              <w:t>48</w:t>
            </w:r>
            <w:r>
              <w:rPr>
                <w:rFonts w:hint="eastAsia"/>
              </w:rPr>
              <w:t>小时内提供更换货物。</w:t>
            </w:r>
          </w:p>
        </w:tc>
      </w:tr>
      <w:tr w:rsidR="00A20EB5" w:rsidTr="007A5E1B">
        <w:trPr>
          <w:trHeight w:val="1154"/>
        </w:trPr>
        <w:tc>
          <w:tcPr>
            <w:tcW w:w="1623" w:type="dxa"/>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付款方式</w:t>
            </w:r>
          </w:p>
        </w:tc>
        <w:tc>
          <w:tcPr>
            <w:tcW w:w="7853" w:type="dxa"/>
            <w:gridSpan w:val="10"/>
          </w:tcPr>
          <w:p w:rsidR="004E2966" w:rsidRDefault="00D91B0D">
            <w:pPr>
              <w:rPr>
                <w:rFonts w:asciiTheme="majorEastAsia" w:eastAsiaTheme="majorEastAsia" w:hAnsiTheme="majorEastAsia"/>
                <w:kern w:val="0"/>
                <w:sz w:val="22"/>
                <w:szCs w:val="20"/>
              </w:rPr>
            </w:pPr>
            <w:r>
              <w:rPr>
                <w:rFonts w:ascii="宋体" w:hAnsi="宋体" w:hint="eastAsia"/>
                <w:szCs w:val="21"/>
              </w:rPr>
              <w:t>按季度结算，每季度按照花卉供货量×中标单价计算该季度货款。凭合同、验收单、正式增值税发票等相关资料由采购人支付。</w:t>
            </w:r>
          </w:p>
        </w:tc>
      </w:tr>
      <w:tr w:rsidR="007A5E1B" w:rsidTr="007A5E1B">
        <w:trPr>
          <w:trHeight w:val="961"/>
        </w:trPr>
        <w:tc>
          <w:tcPr>
            <w:tcW w:w="1623" w:type="dxa"/>
            <w:vMerge w:val="restart"/>
            <w:vAlign w:val="center"/>
          </w:tcPr>
          <w:p w:rsidR="004E2966" w:rsidRDefault="00244A6C">
            <w:pPr>
              <w:rPr>
                <w:rFonts w:asciiTheme="majorEastAsia" w:eastAsiaTheme="majorEastAsia" w:hAnsiTheme="majorEastAsia"/>
                <w:b/>
                <w:kern w:val="0"/>
                <w:sz w:val="22"/>
                <w:szCs w:val="20"/>
              </w:rPr>
            </w:pPr>
            <w:r>
              <w:rPr>
                <w:rFonts w:asciiTheme="majorEastAsia" w:eastAsiaTheme="majorEastAsia" w:hAnsiTheme="majorEastAsia" w:hint="eastAsia"/>
                <w:b/>
                <w:kern w:val="0"/>
                <w:sz w:val="22"/>
                <w:szCs w:val="20"/>
              </w:rPr>
              <w:t>技术评法细则</w:t>
            </w:r>
          </w:p>
          <w:p w:rsidR="00A20EB5" w:rsidRDefault="00244A6C" w:rsidP="00A20EB5">
            <w:pPr>
              <w:ind w:firstLineChars="50" w:firstLine="110"/>
              <w:rPr>
                <w:rFonts w:asciiTheme="majorEastAsia" w:eastAsiaTheme="majorEastAsia" w:hAnsiTheme="majorEastAsia" w:hint="eastAsia"/>
                <w:kern w:val="0"/>
                <w:sz w:val="22"/>
                <w:szCs w:val="20"/>
              </w:rPr>
            </w:pPr>
            <w:r>
              <w:rPr>
                <w:rFonts w:asciiTheme="majorEastAsia" w:eastAsiaTheme="majorEastAsia" w:hAnsiTheme="majorEastAsia" w:hint="eastAsia"/>
                <w:kern w:val="0"/>
                <w:sz w:val="22"/>
                <w:szCs w:val="20"/>
              </w:rPr>
              <w:t>分值（  ）</w:t>
            </w:r>
          </w:p>
          <w:p w:rsidR="007A5E1B" w:rsidRDefault="00244A6C" w:rsidP="00A20EB5">
            <w:pPr>
              <w:ind w:firstLineChars="50" w:firstLine="110"/>
              <w:rPr>
                <w:rFonts w:asciiTheme="majorEastAsia" w:eastAsiaTheme="majorEastAsia" w:hAnsiTheme="majorEastAsia" w:hint="eastAsia"/>
                <w:kern w:val="0"/>
                <w:sz w:val="22"/>
                <w:szCs w:val="20"/>
              </w:rPr>
            </w:pPr>
            <w:r>
              <w:rPr>
                <w:rFonts w:asciiTheme="majorEastAsia" w:eastAsiaTheme="majorEastAsia" w:hAnsiTheme="majorEastAsia" w:hint="eastAsia"/>
                <w:kern w:val="0"/>
                <w:sz w:val="22"/>
                <w:szCs w:val="20"/>
              </w:rPr>
              <w:t>（采用综合</w:t>
            </w:r>
          </w:p>
          <w:p w:rsidR="007A5E1B" w:rsidRDefault="007A5E1B" w:rsidP="00A20EB5">
            <w:pPr>
              <w:ind w:firstLineChars="50" w:firstLine="110"/>
              <w:rPr>
                <w:rFonts w:asciiTheme="majorEastAsia" w:eastAsiaTheme="majorEastAsia" w:hAnsiTheme="majorEastAsia" w:hint="eastAsia"/>
                <w:kern w:val="0"/>
                <w:sz w:val="22"/>
                <w:szCs w:val="20"/>
              </w:rPr>
            </w:pPr>
          </w:p>
          <w:p w:rsidR="007A5E1B" w:rsidRDefault="007A5E1B" w:rsidP="00A20EB5">
            <w:pPr>
              <w:ind w:firstLineChars="50" w:firstLine="110"/>
              <w:rPr>
                <w:rFonts w:asciiTheme="majorEastAsia" w:eastAsiaTheme="majorEastAsia" w:hAnsiTheme="majorEastAsia" w:hint="eastAsia"/>
                <w:kern w:val="0"/>
                <w:sz w:val="22"/>
                <w:szCs w:val="20"/>
              </w:rPr>
            </w:pPr>
          </w:p>
          <w:p w:rsidR="007A5E1B" w:rsidRDefault="007A5E1B" w:rsidP="00A20EB5">
            <w:pPr>
              <w:ind w:firstLineChars="50" w:firstLine="110"/>
              <w:rPr>
                <w:rFonts w:asciiTheme="majorEastAsia" w:eastAsiaTheme="majorEastAsia" w:hAnsiTheme="majorEastAsia" w:hint="eastAsia"/>
                <w:kern w:val="0"/>
                <w:sz w:val="22"/>
                <w:szCs w:val="20"/>
              </w:rPr>
            </w:pPr>
          </w:p>
          <w:p w:rsidR="007A5E1B" w:rsidRDefault="007A5E1B" w:rsidP="00A20EB5">
            <w:pPr>
              <w:ind w:firstLineChars="50" w:firstLine="110"/>
              <w:rPr>
                <w:rFonts w:asciiTheme="majorEastAsia" w:eastAsiaTheme="majorEastAsia" w:hAnsiTheme="majorEastAsia" w:hint="eastAsia"/>
                <w:kern w:val="0"/>
                <w:sz w:val="22"/>
                <w:szCs w:val="20"/>
              </w:rPr>
            </w:pPr>
          </w:p>
          <w:p w:rsidR="004E2966" w:rsidRDefault="00244A6C" w:rsidP="00A20EB5">
            <w:pPr>
              <w:ind w:firstLineChars="50" w:firstLine="110"/>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评分法必须填写，最低评标价法不填）</w:t>
            </w:r>
          </w:p>
        </w:tc>
        <w:tc>
          <w:tcPr>
            <w:tcW w:w="1156"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序号</w:t>
            </w:r>
          </w:p>
        </w:tc>
        <w:tc>
          <w:tcPr>
            <w:tcW w:w="1420" w:type="dxa"/>
            <w:gridSpan w:val="3"/>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评分细则</w:t>
            </w:r>
          </w:p>
        </w:tc>
        <w:tc>
          <w:tcPr>
            <w:tcW w:w="3023" w:type="dxa"/>
            <w:gridSpan w:val="5"/>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评分要素</w:t>
            </w:r>
          </w:p>
        </w:tc>
        <w:tc>
          <w:tcPr>
            <w:tcW w:w="2254"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分值</w:t>
            </w:r>
          </w:p>
        </w:tc>
      </w:tr>
      <w:tr w:rsidR="007A5E1B" w:rsidTr="007A5E1B">
        <w:trPr>
          <w:trHeight w:val="1431"/>
        </w:trPr>
        <w:tc>
          <w:tcPr>
            <w:tcW w:w="1623" w:type="dxa"/>
            <w:vMerge/>
            <w:vAlign w:val="center"/>
          </w:tcPr>
          <w:p w:rsidR="004E2966" w:rsidRDefault="004E2966">
            <w:pPr>
              <w:rPr>
                <w:rFonts w:asciiTheme="majorEastAsia" w:eastAsiaTheme="majorEastAsia" w:hAnsiTheme="majorEastAsia"/>
                <w:kern w:val="0"/>
                <w:sz w:val="22"/>
                <w:szCs w:val="20"/>
              </w:rPr>
            </w:pPr>
          </w:p>
        </w:tc>
        <w:tc>
          <w:tcPr>
            <w:tcW w:w="1156"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w:t>
            </w:r>
          </w:p>
        </w:tc>
        <w:tc>
          <w:tcPr>
            <w:tcW w:w="1420" w:type="dxa"/>
            <w:gridSpan w:val="3"/>
          </w:tcPr>
          <w:p w:rsidR="004E2966" w:rsidRDefault="004E2966">
            <w:pPr>
              <w:rPr>
                <w:rFonts w:asciiTheme="majorEastAsia" w:eastAsiaTheme="majorEastAsia" w:hAnsiTheme="majorEastAsia"/>
                <w:kern w:val="0"/>
                <w:sz w:val="22"/>
                <w:szCs w:val="20"/>
              </w:rPr>
            </w:pPr>
          </w:p>
        </w:tc>
        <w:tc>
          <w:tcPr>
            <w:tcW w:w="3023" w:type="dxa"/>
            <w:gridSpan w:val="5"/>
          </w:tcPr>
          <w:p w:rsidR="004E2966" w:rsidRDefault="004E2966">
            <w:pPr>
              <w:rPr>
                <w:rFonts w:asciiTheme="majorEastAsia" w:eastAsiaTheme="majorEastAsia" w:hAnsiTheme="majorEastAsia"/>
                <w:kern w:val="0"/>
                <w:sz w:val="22"/>
                <w:szCs w:val="20"/>
              </w:rPr>
            </w:pPr>
          </w:p>
        </w:tc>
        <w:tc>
          <w:tcPr>
            <w:tcW w:w="2254" w:type="dxa"/>
          </w:tcPr>
          <w:p w:rsidR="004E2966" w:rsidRDefault="004E2966">
            <w:pPr>
              <w:rPr>
                <w:rFonts w:asciiTheme="majorEastAsia" w:eastAsiaTheme="majorEastAsia" w:hAnsiTheme="majorEastAsia"/>
                <w:kern w:val="0"/>
                <w:sz w:val="22"/>
                <w:szCs w:val="20"/>
              </w:rPr>
            </w:pPr>
          </w:p>
        </w:tc>
      </w:tr>
      <w:tr w:rsidR="007A5E1B" w:rsidTr="007A5E1B">
        <w:trPr>
          <w:trHeight w:val="1568"/>
        </w:trPr>
        <w:tc>
          <w:tcPr>
            <w:tcW w:w="1623" w:type="dxa"/>
            <w:vMerge/>
            <w:vAlign w:val="center"/>
          </w:tcPr>
          <w:p w:rsidR="004E2966" w:rsidRDefault="004E2966">
            <w:pPr>
              <w:rPr>
                <w:rFonts w:asciiTheme="majorEastAsia" w:eastAsiaTheme="majorEastAsia" w:hAnsiTheme="majorEastAsia"/>
                <w:kern w:val="0"/>
                <w:sz w:val="22"/>
                <w:szCs w:val="20"/>
              </w:rPr>
            </w:pPr>
          </w:p>
        </w:tc>
        <w:tc>
          <w:tcPr>
            <w:tcW w:w="1156" w:type="dxa"/>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2</w:t>
            </w:r>
          </w:p>
        </w:tc>
        <w:tc>
          <w:tcPr>
            <w:tcW w:w="1420" w:type="dxa"/>
            <w:gridSpan w:val="3"/>
          </w:tcPr>
          <w:p w:rsidR="00A20EB5" w:rsidRPr="00A20EB5" w:rsidRDefault="00A20EB5" w:rsidP="00A20EB5">
            <w:pPr>
              <w:pStyle w:val="2"/>
            </w:pPr>
          </w:p>
        </w:tc>
        <w:tc>
          <w:tcPr>
            <w:tcW w:w="3023" w:type="dxa"/>
            <w:gridSpan w:val="5"/>
          </w:tcPr>
          <w:p w:rsidR="004E2966" w:rsidRDefault="004E2966">
            <w:pPr>
              <w:rPr>
                <w:rFonts w:asciiTheme="majorEastAsia" w:eastAsiaTheme="majorEastAsia" w:hAnsiTheme="majorEastAsia"/>
                <w:kern w:val="0"/>
                <w:sz w:val="22"/>
                <w:szCs w:val="20"/>
              </w:rPr>
            </w:pPr>
          </w:p>
        </w:tc>
        <w:tc>
          <w:tcPr>
            <w:tcW w:w="2254" w:type="dxa"/>
          </w:tcPr>
          <w:p w:rsidR="004E2966" w:rsidRDefault="004E2966">
            <w:pPr>
              <w:rPr>
                <w:rFonts w:asciiTheme="majorEastAsia" w:eastAsiaTheme="majorEastAsia" w:hAnsiTheme="majorEastAsia"/>
                <w:kern w:val="0"/>
                <w:sz w:val="22"/>
                <w:szCs w:val="20"/>
              </w:rPr>
            </w:pPr>
          </w:p>
        </w:tc>
      </w:tr>
      <w:tr w:rsidR="00A20EB5" w:rsidTr="007A5E1B">
        <w:trPr>
          <w:trHeight w:val="3812"/>
        </w:trPr>
        <w:tc>
          <w:tcPr>
            <w:tcW w:w="1623" w:type="dxa"/>
            <w:vAlign w:val="center"/>
          </w:tcPr>
          <w:p w:rsidR="004E2966" w:rsidRDefault="00244A6C">
            <w:pPr>
              <w:jc w:val="left"/>
              <w:rPr>
                <w:rFonts w:asciiTheme="majorEastAsia" w:eastAsiaTheme="majorEastAsia" w:hAnsiTheme="majorEastAsia"/>
                <w:kern w:val="0"/>
                <w:sz w:val="22"/>
                <w:szCs w:val="20"/>
              </w:rPr>
            </w:pPr>
            <w:r>
              <w:rPr>
                <w:rFonts w:asciiTheme="majorEastAsia" w:eastAsiaTheme="majorEastAsia" w:hAnsiTheme="majorEastAsia" w:hint="eastAsia"/>
                <w:b/>
                <w:bCs/>
                <w:kern w:val="0"/>
                <w:sz w:val="22"/>
                <w:szCs w:val="20"/>
              </w:rPr>
              <w:lastRenderedPageBreak/>
              <w:t>论证小组意见</w:t>
            </w:r>
          </w:p>
        </w:tc>
        <w:tc>
          <w:tcPr>
            <w:tcW w:w="7853" w:type="dxa"/>
            <w:gridSpan w:val="10"/>
          </w:tcPr>
          <w:p w:rsidR="004E2966" w:rsidRDefault="004E2966">
            <w:pPr>
              <w:rPr>
                <w:rFonts w:asciiTheme="majorEastAsia" w:eastAsiaTheme="majorEastAsia" w:hAnsiTheme="majorEastAsia"/>
                <w:kern w:val="0"/>
                <w:sz w:val="22"/>
                <w:szCs w:val="20"/>
              </w:rPr>
            </w:pPr>
          </w:p>
          <w:p w:rsidR="004E2966" w:rsidRDefault="004E2966">
            <w:pPr>
              <w:rPr>
                <w:rFonts w:asciiTheme="majorEastAsia" w:eastAsiaTheme="majorEastAsia" w:hAnsiTheme="majorEastAsia"/>
                <w:kern w:val="0"/>
                <w:sz w:val="22"/>
                <w:szCs w:val="20"/>
              </w:rPr>
            </w:pPr>
          </w:p>
          <w:p w:rsidR="004E2966" w:rsidRDefault="004E2966">
            <w:pPr>
              <w:rPr>
                <w:rFonts w:asciiTheme="majorEastAsia" w:eastAsiaTheme="majorEastAsia" w:hAnsiTheme="majorEastAsia"/>
                <w:kern w:val="0"/>
                <w:sz w:val="22"/>
                <w:szCs w:val="20"/>
              </w:rPr>
            </w:pPr>
          </w:p>
          <w:p w:rsidR="004E2966" w:rsidRDefault="004E2966">
            <w:pPr>
              <w:rPr>
                <w:rFonts w:asciiTheme="majorEastAsia" w:eastAsiaTheme="majorEastAsia" w:hAnsiTheme="majorEastAsia"/>
                <w:kern w:val="0"/>
                <w:sz w:val="22"/>
                <w:szCs w:val="20"/>
              </w:rPr>
            </w:pPr>
          </w:p>
          <w:p w:rsidR="004E2966" w:rsidRDefault="004E2966">
            <w:pPr>
              <w:rPr>
                <w:rFonts w:asciiTheme="majorEastAsia" w:eastAsiaTheme="majorEastAsia" w:hAnsiTheme="majorEastAsia"/>
                <w:kern w:val="0"/>
                <w:sz w:val="22"/>
                <w:szCs w:val="20"/>
              </w:rPr>
            </w:pPr>
          </w:p>
          <w:p w:rsidR="004E2966" w:rsidRDefault="00244A6C">
            <w:pPr>
              <w:wordWrap w:val="0"/>
              <w:jc w:val="righ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签名：                                </w:t>
            </w:r>
          </w:p>
        </w:tc>
      </w:tr>
      <w:tr w:rsidR="00A20EB5" w:rsidTr="007A5E1B">
        <w:trPr>
          <w:trHeight w:val="1321"/>
        </w:trPr>
        <w:tc>
          <w:tcPr>
            <w:tcW w:w="9476" w:type="dxa"/>
            <w:gridSpan w:val="11"/>
          </w:tcPr>
          <w:p w:rsidR="004E2966" w:rsidRDefault="00244A6C">
            <w:pPr>
              <w:rPr>
                <w:rFonts w:asciiTheme="majorEastAsia" w:eastAsiaTheme="majorEastAsia" w:hAnsiTheme="majorEastAsia" w:hint="eastAsia"/>
                <w:b/>
                <w:bCs/>
                <w:kern w:val="0"/>
                <w:sz w:val="22"/>
                <w:szCs w:val="20"/>
              </w:rPr>
            </w:pPr>
            <w:r>
              <w:rPr>
                <w:rFonts w:asciiTheme="majorEastAsia" w:eastAsiaTheme="majorEastAsia" w:hAnsiTheme="majorEastAsia" w:hint="eastAsia"/>
                <w:b/>
                <w:bCs/>
                <w:kern w:val="0"/>
                <w:sz w:val="22"/>
                <w:szCs w:val="20"/>
              </w:rPr>
              <w:t>使用单位主要领导签字：</w:t>
            </w:r>
          </w:p>
          <w:p w:rsidR="00A20EB5" w:rsidRDefault="00A20EB5" w:rsidP="00A20EB5">
            <w:pPr>
              <w:pStyle w:val="2"/>
              <w:rPr>
                <w:rFonts w:hint="eastAsia"/>
              </w:rPr>
            </w:pPr>
          </w:p>
          <w:p w:rsidR="00A20EB5" w:rsidRPr="00A20EB5" w:rsidRDefault="00A20EB5" w:rsidP="00A20EB5"/>
        </w:tc>
      </w:tr>
    </w:tbl>
    <w:p w:rsidR="004E2966" w:rsidRDefault="004E2966"/>
    <w:p w:rsidR="004E2966" w:rsidRDefault="004E2966">
      <w:pPr>
        <w:pStyle w:val="2"/>
      </w:pPr>
    </w:p>
    <w:p w:rsidR="004E2966" w:rsidRDefault="004E2966"/>
    <w:p w:rsidR="004E2966" w:rsidRDefault="004E2966">
      <w:pPr>
        <w:pStyle w:val="2"/>
      </w:pPr>
    </w:p>
    <w:p w:rsidR="004E2966" w:rsidRDefault="004E2966"/>
    <w:p w:rsidR="004E2966" w:rsidRDefault="004E2966">
      <w:pPr>
        <w:pStyle w:val="2"/>
      </w:pPr>
    </w:p>
    <w:p w:rsidR="004E2966" w:rsidRDefault="004E2966"/>
    <w:p w:rsidR="004E2966" w:rsidRDefault="004E2966">
      <w:pPr>
        <w:pStyle w:val="2"/>
      </w:pPr>
    </w:p>
    <w:p w:rsidR="004E2966" w:rsidRDefault="004E2966"/>
    <w:p w:rsidR="004E2966" w:rsidRDefault="004E2966">
      <w:pPr>
        <w:pStyle w:val="2"/>
      </w:pPr>
    </w:p>
    <w:p w:rsidR="004E2966" w:rsidRDefault="004E2966"/>
    <w:p w:rsidR="004E2966" w:rsidRDefault="004E2966">
      <w:pPr>
        <w:pStyle w:val="2"/>
      </w:pPr>
    </w:p>
    <w:p w:rsidR="004E2966" w:rsidRDefault="004E2966"/>
    <w:p w:rsidR="004E2966" w:rsidRDefault="00244A6C">
      <w:pPr>
        <w:rPr>
          <w:b/>
        </w:rPr>
      </w:pPr>
      <w:r>
        <w:rPr>
          <w:rFonts w:ascii="Calibri" w:eastAsia="宋体" w:hAnsi="Calibri" w:cs="宋体" w:hint="eastAsia"/>
          <w:b/>
          <w:lang w:bidi="ar"/>
        </w:rPr>
        <w:t>附件</w:t>
      </w:r>
    </w:p>
    <w:tbl>
      <w:tblPr>
        <w:tblW w:w="9460" w:type="dxa"/>
        <w:tblInd w:w="93" w:type="dxa"/>
        <w:tblLayout w:type="fixed"/>
        <w:tblLook w:val="04A0" w:firstRow="1" w:lastRow="0" w:firstColumn="1" w:lastColumn="0" w:noHBand="0" w:noVBand="1"/>
      </w:tblPr>
      <w:tblGrid>
        <w:gridCol w:w="640"/>
        <w:gridCol w:w="1260"/>
        <w:gridCol w:w="1260"/>
        <w:gridCol w:w="1260"/>
        <w:gridCol w:w="1260"/>
        <w:gridCol w:w="1260"/>
        <w:gridCol w:w="1260"/>
        <w:gridCol w:w="1260"/>
      </w:tblGrid>
      <w:tr w:rsidR="004E2966">
        <w:trPr>
          <w:trHeight w:val="300"/>
        </w:trPr>
        <w:tc>
          <w:tcPr>
            <w:tcW w:w="6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color w:val="FF0000"/>
                <w:kern w:val="0"/>
                <w:sz w:val="22"/>
              </w:rPr>
            </w:pPr>
            <w:r>
              <w:rPr>
                <w:rFonts w:ascii="微软雅黑" w:eastAsia="微软雅黑" w:hAnsi="微软雅黑" w:cs="Arial" w:hint="eastAsia"/>
                <w:color w:val="000000"/>
                <w:kern w:val="0"/>
                <w:sz w:val="22"/>
                <w:lang w:bidi="ar"/>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物资名称</w:t>
            </w:r>
          </w:p>
        </w:tc>
        <w:tc>
          <w:tcPr>
            <w:tcW w:w="1260" w:type="dxa"/>
            <w:tcBorders>
              <w:top w:val="single" w:sz="4" w:space="0" w:color="000000"/>
              <w:left w:val="nil"/>
              <w:bottom w:val="single" w:sz="4" w:space="0" w:color="000000"/>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申报数量</w:t>
            </w:r>
          </w:p>
        </w:tc>
        <w:tc>
          <w:tcPr>
            <w:tcW w:w="1260" w:type="dxa"/>
            <w:tcBorders>
              <w:top w:val="single" w:sz="4" w:space="0" w:color="000000"/>
              <w:left w:val="nil"/>
              <w:bottom w:val="single" w:sz="4" w:space="0" w:color="000000"/>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单价(元)</w:t>
            </w:r>
          </w:p>
        </w:tc>
        <w:tc>
          <w:tcPr>
            <w:tcW w:w="1260" w:type="dxa"/>
            <w:tcBorders>
              <w:top w:val="single" w:sz="4" w:space="0" w:color="000000"/>
              <w:left w:val="nil"/>
              <w:bottom w:val="single" w:sz="4" w:space="0" w:color="000000"/>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物资单位</w:t>
            </w:r>
          </w:p>
        </w:tc>
        <w:tc>
          <w:tcPr>
            <w:tcW w:w="1260" w:type="dxa"/>
            <w:tcBorders>
              <w:top w:val="single" w:sz="4" w:space="0" w:color="000000"/>
              <w:left w:val="nil"/>
              <w:bottom w:val="nil"/>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参考型号</w:t>
            </w:r>
          </w:p>
        </w:tc>
        <w:tc>
          <w:tcPr>
            <w:tcW w:w="1260" w:type="dxa"/>
            <w:tcBorders>
              <w:top w:val="single" w:sz="4" w:space="0" w:color="000000"/>
              <w:left w:val="nil"/>
              <w:bottom w:val="nil"/>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技术参数</w:t>
            </w:r>
          </w:p>
        </w:tc>
        <w:tc>
          <w:tcPr>
            <w:tcW w:w="1260" w:type="dxa"/>
            <w:tcBorders>
              <w:top w:val="single" w:sz="4" w:space="0" w:color="000000"/>
              <w:left w:val="nil"/>
              <w:bottom w:val="nil"/>
              <w:right w:val="single" w:sz="4" w:space="0" w:color="000000"/>
            </w:tcBorders>
            <w:shd w:val="clear" w:color="auto" w:fill="FFFFFF"/>
            <w:noWrap/>
            <w:vAlign w:val="center"/>
          </w:tcPr>
          <w:p w:rsidR="004E2966" w:rsidRDefault="00244A6C">
            <w:pPr>
              <w:widowControl/>
              <w:jc w:val="center"/>
              <w:rPr>
                <w:rFonts w:ascii="微软雅黑" w:eastAsia="微软雅黑" w:hAnsi="微软雅黑" w:cs="Arial"/>
                <w:b/>
                <w:kern w:val="0"/>
                <w:sz w:val="22"/>
              </w:rPr>
            </w:pPr>
            <w:r>
              <w:rPr>
                <w:rFonts w:ascii="微软雅黑" w:eastAsia="微软雅黑" w:hAnsi="微软雅黑" w:cs="Arial" w:hint="eastAsia"/>
                <w:b/>
                <w:kern w:val="0"/>
                <w:sz w:val="22"/>
                <w:lang w:bidi="ar"/>
              </w:rPr>
              <w:t>备注</w:t>
            </w:r>
          </w:p>
        </w:tc>
      </w:tr>
      <w:tr w:rsidR="004E2966">
        <w:trPr>
          <w:trHeight w:val="1080"/>
        </w:trPr>
        <w:tc>
          <w:tcPr>
            <w:tcW w:w="640" w:type="dxa"/>
            <w:tcBorders>
              <w:top w:val="single" w:sz="4" w:space="0" w:color="000000"/>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lastRenderedPageBreak/>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石竹</w:t>
            </w:r>
          </w:p>
        </w:tc>
        <w:tc>
          <w:tcPr>
            <w:tcW w:w="1260" w:type="dxa"/>
            <w:tcBorders>
              <w:top w:val="single" w:sz="4" w:space="0" w:color="auto"/>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16650</w:t>
            </w:r>
          </w:p>
        </w:tc>
        <w:tc>
          <w:tcPr>
            <w:tcW w:w="1260" w:type="dxa"/>
            <w:tcBorders>
              <w:top w:val="single" w:sz="4" w:space="0" w:color="auto"/>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2</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三色堇</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18000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0.8</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杯径8厘米</w:t>
            </w:r>
            <w:proofErr w:type="gramEnd"/>
            <w:r>
              <w:rPr>
                <w:rFonts w:asciiTheme="majorEastAsia" w:eastAsiaTheme="majorEastAsia" w:hAnsiTheme="majorEastAsia" w:hint="eastAsia"/>
                <w:kern w:val="0"/>
                <w:sz w:val="22"/>
                <w:szCs w:val="20"/>
              </w:rPr>
              <w:t>及以上，高15厘米及以上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3</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夏</w:t>
            </w:r>
            <w:proofErr w:type="gramStart"/>
            <w:r>
              <w:rPr>
                <w:rFonts w:asciiTheme="majorEastAsia" w:eastAsiaTheme="majorEastAsia" w:hAnsiTheme="majorEastAsia" w:hint="eastAsia"/>
                <w:kern w:val="0"/>
                <w:sz w:val="22"/>
                <w:szCs w:val="20"/>
              </w:rPr>
              <w:t>堇</w:t>
            </w:r>
            <w:proofErr w:type="gramEnd"/>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0.8</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杯径8厘米</w:t>
            </w:r>
            <w:proofErr w:type="gramEnd"/>
            <w:r>
              <w:rPr>
                <w:rFonts w:asciiTheme="majorEastAsia" w:eastAsiaTheme="majorEastAsia" w:hAnsiTheme="majorEastAsia" w:hint="eastAsia"/>
                <w:kern w:val="0"/>
                <w:sz w:val="22"/>
                <w:szCs w:val="20"/>
              </w:rPr>
              <w:t>及以上，高15厘米及以上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4</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凤仙花</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4004</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5</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杯径18厘米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5</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金盏菊</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8000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0.8</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杯径8厘米</w:t>
            </w:r>
            <w:proofErr w:type="gramEnd"/>
            <w:r>
              <w:rPr>
                <w:rFonts w:asciiTheme="majorEastAsia" w:eastAsiaTheme="majorEastAsia" w:hAnsiTheme="majorEastAsia" w:hint="eastAsia"/>
                <w:kern w:val="0"/>
                <w:sz w:val="22"/>
                <w:szCs w:val="20"/>
              </w:rPr>
              <w:t>及以上，高15厘米及以上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6</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一串红</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0.8</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杯径8厘米</w:t>
            </w:r>
            <w:proofErr w:type="gramEnd"/>
            <w:r>
              <w:rPr>
                <w:rFonts w:asciiTheme="majorEastAsia" w:eastAsiaTheme="majorEastAsia" w:hAnsiTheme="majorEastAsia" w:hint="eastAsia"/>
                <w:kern w:val="0"/>
                <w:sz w:val="22"/>
                <w:szCs w:val="20"/>
              </w:rPr>
              <w:t>及以上，高15厘米及以上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7</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彩叶草</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8000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8</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雨衣甘蓝</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35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9</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郁金香</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15000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1.8</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个</w:t>
            </w:r>
            <w:proofErr w:type="gramEnd"/>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DH系列，规格12+，包装600球/箱，高度55厘米</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10</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鸡冠花</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lastRenderedPageBreak/>
              <w:t>11</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孔雀草</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太阳花</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23000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13</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四季海棠</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1.3</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08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14</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矮牵牛</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1.2</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杯径12厘米</w:t>
            </w:r>
            <w:proofErr w:type="gramEnd"/>
            <w:r>
              <w:rPr>
                <w:rFonts w:asciiTheme="majorEastAsia" w:eastAsiaTheme="majorEastAsia" w:hAnsiTheme="majorEastAsia" w:hint="eastAsia"/>
                <w:kern w:val="0"/>
                <w:sz w:val="22"/>
                <w:szCs w:val="20"/>
              </w:rPr>
              <w:t>及以上，高25厘米及以上</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35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15</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麦冬</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30</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高度15厘米以上，2年生,1000平方，看地挖苗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54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16</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草籽</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1500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20</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斤</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50斤/袋，品种黑麦草</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135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17</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月季</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8000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3</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颗</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proofErr w:type="gramStart"/>
            <w:r>
              <w:rPr>
                <w:rFonts w:asciiTheme="majorEastAsia" w:eastAsiaTheme="majorEastAsia" w:hAnsiTheme="majorEastAsia" w:hint="eastAsia"/>
                <w:kern w:val="0"/>
                <w:sz w:val="22"/>
                <w:szCs w:val="20"/>
              </w:rPr>
              <w:t>杯径18厘米</w:t>
            </w:r>
            <w:proofErr w:type="gramEnd"/>
            <w:r>
              <w:rPr>
                <w:rFonts w:asciiTheme="majorEastAsia" w:eastAsiaTheme="majorEastAsia" w:hAnsiTheme="majorEastAsia" w:hint="eastAsia"/>
                <w:kern w:val="0"/>
                <w:sz w:val="22"/>
                <w:szCs w:val="20"/>
              </w:rPr>
              <w:t>及以上、高度16厘米及以上，3个及以上花头</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27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18</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佛甲草</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60</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27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19</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鸡心草</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60</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r w:rsidR="004E2966">
        <w:trPr>
          <w:trHeight w:val="540"/>
        </w:trPr>
        <w:tc>
          <w:tcPr>
            <w:tcW w:w="640" w:type="dxa"/>
            <w:tcBorders>
              <w:top w:val="nil"/>
              <w:left w:val="single" w:sz="4" w:space="0" w:color="000000"/>
              <w:bottom w:val="single" w:sz="4" w:space="0" w:color="000000"/>
              <w:right w:val="nil"/>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kern w:val="0"/>
                <w:sz w:val="22"/>
                <w:szCs w:val="20"/>
              </w:rPr>
              <w:t>20</w:t>
            </w:r>
          </w:p>
        </w:tc>
        <w:tc>
          <w:tcPr>
            <w:tcW w:w="1260" w:type="dxa"/>
            <w:tcBorders>
              <w:top w:val="nil"/>
              <w:left w:val="single" w:sz="4" w:space="0" w:color="auto"/>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草坪</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100</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20</w:t>
            </w:r>
          </w:p>
        </w:tc>
        <w:tc>
          <w:tcPr>
            <w:tcW w:w="1260" w:type="dxa"/>
            <w:tcBorders>
              <w:top w:val="nil"/>
              <w:left w:val="nil"/>
              <w:bottom w:val="single" w:sz="4" w:space="0" w:color="auto"/>
              <w:right w:val="single" w:sz="4" w:space="0" w:color="auto"/>
            </w:tcBorders>
            <w:shd w:val="clear" w:color="auto" w:fill="auto"/>
            <w:noWrap/>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平方</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1平方/捆，品种马尼拉</w:t>
            </w:r>
          </w:p>
        </w:tc>
        <w:tc>
          <w:tcPr>
            <w:tcW w:w="1260" w:type="dxa"/>
            <w:tcBorders>
              <w:top w:val="nil"/>
              <w:left w:val="nil"/>
              <w:bottom w:val="single" w:sz="4" w:space="0" w:color="auto"/>
              <w:right w:val="single" w:sz="4" w:space="0" w:color="auto"/>
            </w:tcBorders>
            <w:shd w:val="clear" w:color="auto" w:fill="auto"/>
            <w:noWrap/>
            <w:vAlign w:val="bottom"/>
          </w:tcPr>
          <w:p w:rsidR="004E2966" w:rsidRDefault="00244A6C">
            <w:pPr>
              <w:jc w:val="center"/>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t xml:space="preserve">　</w:t>
            </w:r>
          </w:p>
        </w:tc>
      </w:tr>
    </w:tbl>
    <w:p w:rsidR="004E2966" w:rsidRDefault="004E2966">
      <w:pPr>
        <w:jc w:val="center"/>
        <w:rPr>
          <w:rFonts w:asciiTheme="majorEastAsia" w:eastAsiaTheme="majorEastAsia" w:hAnsiTheme="majorEastAsia"/>
          <w:kern w:val="0"/>
          <w:sz w:val="22"/>
          <w:szCs w:val="20"/>
        </w:rPr>
      </w:pPr>
    </w:p>
    <w:p w:rsidR="004E2966" w:rsidRDefault="004E2966">
      <w:pPr>
        <w:pStyle w:val="2"/>
      </w:pPr>
    </w:p>
    <w:sectPr w:rsidR="004E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11" w:rsidRDefault="00AF0411" w:rsidP="00355B0E">
      <w:r>
        <w:separator/>
      </w:r>
    </w:p>
  </w:endnote>
  <w:endnote w:type="continuationSeparator" w:id="0">
    <w:p w:rsidR="00AF0411" w:rsidRDefault="00AF0411" w:rsidP="0035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11" w:rsidRDefault="00AF0411" w:rsidP="00355B0E">
      <w:r>
        <w:separator/>
      </w:r>
    </w:p>
  </w:footnote>
  <w:footnote w:type="continuationSeparator" w:id="0">
    <w:p w:rsidR="00AF0411" w:rsidRDefault="00AF0411" w:rsidP="0035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GQwNTQzNmQyYzAyNmVlYjU5ZTM4NDM2NGUyN2IifQ=="/>
  </w:docVars>
  <w:rsids>
    <w:rsidRoot w:val="00C6448C"/>
    <w:rsid w:val="F67B7D1A"/>
    <w:rsid w:val="F6DF05DF"/>
    <w:rsid w:val="00101AD4"/>
    <w:rsid w:val="00102CC8"/>
    <w:rsid w:val="00142C9E"/>
    <w:rsid w:val="00244A6C"/>
    <w:rsid w:val="00327673"/>
    <w:rsid w:val="00355B0E"/>
    <w:rsid w:val="004739E3"/>
    <w:rsid w:val="004E2966"/>
    <w:rsid w:val="007A5E1B"/>
    <w:rsid w:val="00A20EB5"/>
    <w:rsid w:val="00AF0411"/>
    <w:rsid w:val="00C6448C"/>
    <w:rsid w:val="00CF5610"/>
    <w:rsid w:val="00D91B0D"/>
    <w:rsid w:val="00E13B29"/>
    <w:rsid w:val="00F8366E"/>
    <w:rsid w:val="3FEFF8CA"/>
    <w:rsid w:val="4A186FD6"/>
    <w:rsid w:val="60B80627"/>
    <w:rsid w:val="67F791DB"/>
    <w:rsid w:val="6D4F2026"/>
    <w:rsid w:val="7B01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420"/>
    </w:pPr>
  </w:style>
  <w:style w:type="paragraph" w:styleId="a3">
    <w:name w:val="Body Text Indent"/>
    <w:basedOn w:val="a"/>
    <w:next w:val="a4"/>
    <w:pPr>
      <w:ind w:firstLine="420"/>
    </w:pPr>
    <w:rPr>
      <w:kern w:val="1"/>
    </w:rPr>
  </w:style>
  <w:style w:type="paragraph" w:styleId="a4">
    <w:name w:val="Normal Indent"/>
    <w:basedOn w:val="a"/>
    <w:next w:val="a3"/>
    <w:qFormat/>
    <w:pPr>
      <w:ind w:firstLine="420"/>
    </w:pPr>
    <w:rPr>
      <w:kern w:val="1"/>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styleId="a8">
    <w:name w:val="Balloon Text"/>
    <w:basedOn w:val="a"/>
    <w:link w:val="Char1"/>
    <w:uiPriority w:val="99"/>
    <w:semiHidden/>
    <w:unhideWhenUsed/>
    <w:rsid w:val="007A5E1B"/>
    <w:rPr>
      <w:sz w:val="18"/>
      <w:szCs w:val="18"/>
    </w:rPr>
  </w:style>
  <w:style w:type="character" w:customStyle="1" w:styleId="Char1">
    <w:name w:val="批注框文本 Char"/>
    <w:basedOn w:val="a0"/>
    <w:link w:val="a8"/>
    <w:uiPriority w:val="99"/>
    <w:semiHidden/>
    <w:rsid w:val="007A5E1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420"/>
    </w:pPr>
  </w:style>
  <w:style w:type="paragraph" w:styleId="a3">
    <w:name w:val="Body Text Indent"/>
    <w:basedOn w:val="a"/>
    <w:next w:val="a4"/>
    <w:pPr>
      <w:ind w:firstLine="420"/>
    </w:pPr>
    <w:rPr>
      <w:kern w:val="1"/>
    </w:rPr>
  </w:style>
  <w:style w:type="paragraph" w:styleId="a4">
    <w:name w:val="Normal Indent"/>
    <w:basedOn w:val="a"/>
    <w:next w:val="a3"/>
    <w:qFormat/>
    <w:pPr>
      <w:ind w:firstLine="420"/>
    </w:pPr>
    <w:rPr>
      <w:kern w:val="1"/>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styleId="a8">
    <w:name w:val="Balloon Text"/>
    <w:basedOn w:val="a"/>
    <w:link w:val="Char1"/>
    <w:uiPriority w:val="99"/>
    <w:semiHidden/>
    <w:unhideWhenUsed/>
    <w:rsid w:val="007A5E1B"/>
    <w:rPr>
      <w:sz w:val="18"/>
      <w:szCs w:val="18"/>
    </w:rPr>
  </w:style>
  <w:style w:type="character" w:customStyle="1" w:styleId="Char1">
    <w:name w:val="批注框文本 Char"/>
    <w:basedOn w:val="a0"/>
    <w:link w:val="a8"/>
    <w:uiPriority w:val="99"/>
    <w:semiHidden/>
    <w:rsid w:val="007A5E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1A396-54FB-46AE-B2FC-E19D43A9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392</Words>
  <Characters>2238</Characters>
  <Application>Microsoft Office Word</Application>
  <DocSecurity>0</DocSecurity>
  <Lines>18</Lines>
  <Paragraphs>5</Paragraphs>
  <ScaleCrop>false</ScaleCrop>
  <Company>P R C</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2024-04-24T01:27:00Z</cp:lastPrinted>
  <dcterms:created xsi:type="dcterms:W3CDTF">2024-04-16T22:09:00Z</dcterms:created>
  <dcterms:modified xsi:type="dcterms:W3CDTF">2024-04-24T01:28:00Z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02DB9092D8974C90B57D9EB338EB3A4A_12</vt:lpwstr>
  </property>
</Properties>
</file>