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852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13"/>
        <w:gridCol w:w="7009"/>
      </w:tblGrid>
      <w:tr w14:paraId="38B09E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13" w:type="dxa"/>
            <w:vAlign w:val="center"/>
          </w:tcPr>
          <w:p w14:paraId="432DA4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ascii="仿宋_GB2312" w:hAnsi="仿宋_GB2312" w:eastAsia="仿宋_GB2312" w:cs="仿宋_GB2312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eastAsia="zh-CN"/>
              </w:rPr>
              <w:t>采购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  <w:t>人</w:t>
            </w:r>
          </w:p>
        </w:tc>
        <w:tc>
          <w:tcPr>
            <w:tcW w:w="7009" w:type="dxa"/>
            <w:vAlign w:val="center"/>
          </w:tcPr>
          <w:p w14:paraId="4EA1C8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highlight w:val="none"/>
                <w:lang w:val="en-US" w:eastAsia="zh-CN"/>
              </w:rPr>
            </w:pPr>
            <w:bookmarkStart w:id="0" w:name="_Hlk133311871"/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val="en-US" w:eastAsia="zh-CN"/>
              </w:rPr>
              <w:t>兰溪市金兰创新城开发建设中心</w:t>
            </w:r>
            <w:bookmarkEnd w:id="0"/>
          </w:p>
        </w:tc>
      </w:tr>
      <w:tr w14:paraId="29BF89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13" w:type="dxa"/>
            <w:vAlign w:val="center"/>
          </w:tcPr>
          <w:p w14:paraId="15AFCE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ascii="仿宋_GB2312" w:hAnsi="仿宋_GB2312" w:eastAsia="仿宋_GB2312" w:cs="仿宋_GB2312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  <w:t>项目名称</w:t>
            </w:r>
          </w:p>
        </w:tc>
        <w:tc>
          <w:tcPr>
            <w:tcW w:w="7009" w:type="dxa"/>
            <w:vAlign w:val="center"/>
          </w:tcPr>
          <w:p w14:paraId="45CFFD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val="en-US" w:eastAsia="zh-CN"/>
              </w:rPr>
              <w:t>兰溪市上华片区LX10单元控制性详细规划LX1002街区和LX1004街区局部地块修编</w:t>
            </w:r>
          </w:p>
        </w:tc>
      </w:tr>
      <w:tr w14:paraId="641D0E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13" w:type="dxa"/>
            <w:vAlign w:val="center"/>
          </w:tcPr>
          <w:p w14:paraId="69B0D4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val="en-US" w:eastAsia="zh-CN"/>
              </w:rPr>
              <w:t>采购内容</w:t>
            </w:r>
          </w:p>
        </w:tc>
        <w:tc>
          <w:tcPr>
            <w:tcW w:w="7009" w:type="dxa"/>
            <w:vAlign w:val="center"/>
          </w:tcPr>
          <w:p w14:paraId="6793F8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控制性详细规划设计</w:t>
            </w:r>
          </w:p>
        </w:tc>
      </w:tr>
      <w:tr w14:paraId="50F4AD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13" w:type="dxa"/>
            <w:vAlign w:val="center"/>
          </w:tcPr>
          <w:p w14:paraId="16F62D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val="en-US" w:eastAsia="zh-CN"/>
              </w:rPr>
              <w:t>项目情况</w:t>
            </w:r>
          </w:p>
        </w:tc>
        <w:tc>
          <w:tcPr>
            <w:tcW w:w="7009" w:type="dxa"/>
            <w:vAlign w:val="center"/>
          </w:tcPr>
          <w:p w14:paraId="0C0B90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val="en-US" w:eastAsia="zh-CN"/>
              </w:rPr>
              <w:t>LX1002街区局部地块北至上华路，南至创智路，东至扬子江路，西至迎宾大道，约38公顷</w:t>
            </w: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。</w:t>
            </w:r>
          </w:p>
          <w:p w14:paraId="1F0E56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val="en-US" w:eastAsia="zh-CN"/>
              </w:rPr>
              <w:t>LX1004街区局部地块北至行知南路，南至规划南一路，东至规划环华东路、西至迎宾大道，约57公顷。</w:t>
            </w:r>
          </w:p>
        </w:tc>
      </w:tr>
      <w:tr w14:paraId="7AA60F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13" w:type="dxa"/>
            <w:vAlign w:val="center"/>
          </w:tcPr>
          <w:p w14:paraId="5950A4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ascii="仿宋_GB2312" w:hAnsi="仿宋_GB2312" w:eastAsia="仿宋_GB2312" w:cs="仿宋_GB2312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  <w:t>最高限价</w:t>
            </w:r>
          </w:p>
        </w:tc>
        <w:tc>
          <w:tcPr>
            <w:tcW w:w="7009" w:type="dxa"/>
            <w:vAlign w:val="center"/>
          </w:tcPr>
          <w:p w14:paraId="428E8D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105000元人民币</w:t>
            </w:r>
          </w:p>
        </w:tc>
      </w:tr>
      <w:tr w14:paraId="766B5F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13" w:type="dxa"/>
            <w:vAlign w:val="center"/>
          </w:tcPr>
          <w:p w14:paraId="6EA4D2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val="en-US" w:eastAsia="zh-CN"/>
              </w:rPr>
              <w:t>编制要求</w:t>
            </w:r>
          </w:p>
        </w:tc>
        <w:tc>
          <w:tcPr>
            <w:tcW w:w="7009" w:type="dxa"/>
            <w:vAlign w:val="center"/>
          </w:tcPr>
          <w:p w14:paraId="7B44F28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exact"/>
              <w:ind w:left="0" w:right="0"/>
              <w:jc w:val="both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val="en-US" w:eastAsia="zh-CN"/>
              </w:rPr>
              <w:t>依据金华市城市规划管理技术规定的要求，完成控制性详细规划修编的工作要求，包括梳理明确基地周边及自身的发展特质，综合评估现状存在问题，对上轮控规编制进行充分评估;明确片区功能定位与功能构成，把握片区发展对于提升城镇功能、促进城市机体健康可持续发展方面的重要作用;处理好规划片区与周边区域生态保护、交通系统、功能布局等方面的若干重要关系;确定规划范围内各地块规划控制指标、建筑后退距离等刚性要求;确定规划区块开发容量;对范围内各级道路进行梳理优化;根据规划容量，确定工程管线走向、管径和工程设施的用地界线;处理好规划实施的可行性、弹性与长远性之间的关系</w:t>
            </w: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；</w:t>
            </w:r>
          </w:p>
          <w:p w14:paraId="121066F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exact"/>
              <w:ind w:left="0" w:right="0"/>
              <w:jc w:val="both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成果包含控规修改论证报告、法定文本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与图集</w:t>
            </w: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、GIS数据等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，配合甲方完成相关规划审批</w:t>
            </w: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。</w:t>
            </w:r>
          </w:p>
        </w:tc>
      </w:tr>
      <w:tr w14:paraId="30A383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13" w:type="dxa"/>
            <w:vAlign w:val="center"/>
          </w:tcPr>
          <w:p w14:paraId="529B13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ascii="仿宋_GB2312" w:hAnsi="仿宋_GB2312" w:eastAsia="仿宋_GB2312" w:cs="仿宋_GB2312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  <w:t>工期要求</w:t>
            </w:r>
          </w:p>
        </w:tc>
        <w:tc>
          <w:tcPr>
            <w:tcW w:w="7009" w:type="dxa"/>
            <w:vAlign w:val="center"/>
          </w:tcPr>
          <w:p w14:paraId="6004FE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75日历天</w:t>
            </w:r>
          </w:p>
        </w:tc>
      </w:tr>
      <w:tr w14:paraId="34BB35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13" w:type="dxa"/>
            <w:vAlign w:val="center"/>
          </w:tcPr>
          <w:p w14:paraId="1A4BD7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  <w:t>资质要求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eastAsia="zh-CN"/>
              </w:rPr>
              <w:t>及人员等级</w:t>
            </w:r>
          </w:p>
        </w:tc>
        <w:tc>
          <w:tcPr>
            <w:tcW w:w="7009" w:type="dxa"/>
            <w:vAlign w:val="center"/>
          </w:tcPr>
          <w:p w14:paraId="40E40F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  <w:t>具有国土空间规划乙级以上资质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eastAsia="zh-CN"/>
              </w:rPr>
              <w:t>；注册城乡规划师1人以上，中级以上职称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eastAsia="zh-CN"/>
              </w:rPr>
              <w:t>人以上</w:t>
            </w:r>
          </w:p>
        </w:tc>
      </w:tr>
      <w:tr w14:paraId="468F3F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13" w:type="dxa"/>
            <w:vAlign w:val="center"/>
          </w:tcPr>
          <w:p w14:paraId="51B1E4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ascii="仿宋_GB2312" w:hAnsi="仿宋_GB2312" w:eastAsia="仿宋_GB2312" w:cs="仿宋_GB2312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</w:rPr>
              <w:t>联系人及联系电话</w:t>
            </w:r>
          </w:p>
        </w:tc>
        <w:tc>
          <w:tcPr>
            <w:tcW w:w="7009" w:type="dxa"/>
            <w:vAlign w:val="center"/>
          </w:tcPr>
          <w:p w14:paraId="2CAC01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val="en-US" w:eastAsia="zh-CN"/>
              </w:rPr>
              <w:t xml:space="preserve">陈女士  </w:t>
            </w:r>
            <w:r>
              <w:rPr>
                <w:rFonts w:ascii="仿宋_GB2312" w:hAnsi="仿宋_GB2312" w:eastAsia="仿宋_GB2312" w:cs="仿宋_GB2312"/>
                <w:sz w:val="21"/>
                <w:szCs w:val="21"/>
                <w:highlight w:val="none"/>
              </w:rPr>
              <w:t>15058563144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lang w:val="en-US" w:eastAsia="zh-CN"/>
              </w:rPr>
              <w:t xml:space="preserve">         </w:t>
            </w:r>
          </w:p>
        </w:tc>
      </w:tr>
    </w:tbl>
    <w:p w14:paraId="1968E948">
      <w:pPr>
        <w:rPr>
          <w:rFonts w:hint="eastAsia" w:ascii="仿宋_GB2312" w:hAnsi="仿宋_GB2312" w:eastAsia="仿宋_GB2312" w:cs="仿宋_GB2312"/>
          <w:sz w:val="21"/>
          <w:szCs w:val="21"/>
          <w:highlight w:val="none"/>
        </w:rPr>
      </w:pPr>
    </w:p>
    <w:p w14:paraId="4EB08D01">
      <w:pPr>
        <w:rPr>
          <w:rFonts w:hint="eastAsia" w:ascii="仿宋_GB2312" w:hAnsi="仿宋_GB2312" w:eastAsia="仿宋_GB2312" w:cs="仿宋_GB2312"/>
          <w:sz w:val="21"/>
          <w:szCs w:val="21"/>
          <w:highlight w:val="none"/>
        </w:rPr>
      </w:pPr>
    </w:p>
    <w:p w14:paraId="3699D19A">
      <w:pPr>
        <w:rPr>
          <w:rFonts w:hint="eastAsia" w:ascii="仿宋_GB2312" w:hAnsi="仿宋_GB2312" w:eastAsia="仿宋_GB2312" w:cs="仿宋_GB2312"/>
          <w:sz w:val="21"/>
          <w:szCs w:val="21"/>
          <w:highlight w:val="none"/>
        </w:rPr>
      </w:pPr>
    </w:p>
    <w:p w14:paraId="1F9171D4"/>
    <w:p w14:paraId="06B67DD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方正小标宋简体" w:eastAsia="方正小标宋简体"/>
          <w:sz w:val="44"/>
          <w:szCs w:val="44"/>
          <w:lang w:val="en-US" w:eastAsia="zh-CN"/>
        </w:rPr>
      </w:pP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2.地块区位图</w:t>
      </w:r>
    </w:p>
    <w:p w14:paraId="6DAE2A5A">
      <w:pPr>
        <w:jc w:val="center"/>
        <w:rPr>
          <w:rFonts w:hint="eastAsia"/>
        </w:rPr>
      </w:pPr>
      <w:r>
        <w:drawing>
          <wp:inline distT="0" distB="0" distL="114300" distR="114300">
            <wp:extent cx="4705350" cy="4048125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05350" cy="404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55F3E83"/>
    <w:multiLevelType w:val="singleLevel"/>
    <w:tmpl w:val="C55F3E83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A0D27FF"/>
    <w:rsid w:val="051303DF"/>
    <w:rsid w:val="30A038EE"/>
    <w:rsid w:val="3A0D27FF"/>
    <w:rsid w:val="4D17513D"/>
    <w:rsid w:val="60D65B3E"/>
    <w:rsid w:val="74055B35"/>
    <w:rsid w:val="78C37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首行缩进"/>
    <w:basedOn w:val="1"/>
    <w:qFormat/>
    <w:uiPriority w:val="0"/>
    <w:pPr>
      <w:spacing w:line="360" w:lineRule="auto"/>
      <w:ind w:firstLine="480" w:firstLineChars="200"/>
    </w:pPr>
    <w:rPr>
      <w:sz w:val="24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548</Words>
  <Characters>592</Characters>
  <Lines>0</Lines>
  <Paragraphs>0</Paragraphs>
  <TotalTime>0</TotalTime>
  <ScaleCrop>false</ScaleCrop>
  <LinksUpToDate>false</LinksUpToDate>
  <CharactersWithSpaces>603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2025-03-31T02:38:00Z</dcterms:created>
  <dc:creator>zzZj</dc:creator>
  <cp:lastModifiedBy>zzZj</cp:lastModifiedBy>
  <dcterms:modified xsi:type="dcterms:W3CDTF">2025-03-31T03:37:13Z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870AABC4769A4922B2B7B584B2659EDB_13</vt:lpwstr>
  </property>
  <property fmtid="{D5CDD505-2E9C-101B-9397-08002B2CF9AE}" pid="4" name="KSOTemplateDocerSaveRecord">
    <vt:lpwstr>eyJoZGlkIjoiMjRlMWY4NDVlZDI2YjhhYmM2NzEzYWRlYzk4OGE4MGQiLCJ1c2VySWQiOiIzMTg3NTQwMDYifQ==</vt:lpwstr>
  </property>
</Properties>
</file>