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429593">
      <w:pPr>
        <w:keepNext w:val="0"/>
        <w:keepLines w:val="0"/>
        <w:pageBreakBefore w:val="0"/>
        <w:widowControl/>
        <w:suppressLineNumbers w:val="0"/>
        <w:kinsoku/>
        <w:wordWrap/>
        <w:overflowPunct/>
        <w:topLinePunct w:val="0"/>
        <w:bidi w:val="0"/>
        <w:snapToGrid/>
        <w:spacing w:after="159" w:afterLines="50" w:afterAutospacing="0" w:line="400" w:lineRule="exact"/>
        <w:jc w:val="center"/>
        <w:rPr>
          <w:rFonts w:hint="eastAsia" w:ascii="宋体" w:hAnsi="宋体" w:eastAsia="宋体" w:cs="宋体"/>
          <w:b/>
          <w:bCs/>
          <w:color w:val="auto"/>
          <w:kern w:val="0"/>
          <w:sz w:val="32"/>
          <w:szCs w:val="32"/>
          <w:lang w:val="en-US" w:eastAsia="zh-CN" w:bidi="ar"/>
        </w:rPr>
      </w:pPr>
      <w:r>
        <w:rPr>
          <w:rFonts w:hint="eastAsia" w:ascii="宋体" w:hAnsi="宋体" w:eastAsia="宋体" w:cs="宋体"/>
          <w:b/>
          <w:bCs/>
          <w:color w:val="auto"/>
          <w:kern w:val="0"/>
          <w:sz w:val="32"/>
          <w:szCs w:val="32"/>
          <w:lang w:val="en-US" w:eastAsia="zh-CN" w:bidi="ar"/>
        </w:rPr>
        <w:t>商务要求</w:t>
      </w:r>
    </w:p>
    <w:p w14:paraId="40ECA267">
      <w:pPr>
        <w:keepNext w:val="0"/>
        <w:keepLines w:val="0"/>
        <w:pageBreakBefore w:val="0"/>
        <w:numPr>
          <w:ilvl w:val="0"/>
          <w:numId w:val="1"/>
        </w:numPr>
        <w:kinsoku/>
        <w:wordWrap/>
        <w:overflowPunct/>
        <w:topLinePunct w:val="0"/>
        <w:autoSpaceDE/>
        <w:autoSpaceDN/>
        <w:bidi w:val="0"/>
        <w:adjustRightInd/>
        <w:snapToGrid/>
        <w:spacing w:beforeAutospacing="0"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整个项目为交钥匙工程，投标金额包括投标商供应的产品到达买方并能正常使用的一切费用，含税金，运输费，装卸费，保险费，安装调试费，技术服务费，测试费，保修费等。在中标后3天内交货到现场采购人指定地点，完成安装、调试等工作，并验收通过。</w:t>
      </w:r>
    </w:p>
    <w:p w14:paraId="3D7542E4">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本采购文件作为报价人在政采云电子卖场竞价系统报价的必须附件，报价人必须在政采云电子卖场竞价系统按要求报价方为有效，报价不得高于本项目采购预算价格。根据《浙江省财政厅关于印发浙江省政府采购电子卖场采购管理暂行办法的通知》（浙财采监[2017]29号）第十七条规定：供应商应按照采购附件清单中的推荐品牌进行报价，本次竟价不接受非推荐品牌型号的报价。中标后供应商在1日内必须提供其证明投标品牌的相关资料及相关的检测报告给业主审核审查，未按要求的视作报价无效。</w:t>
      </w:r>
      <w:bookmarkStart w:id="0" w:name="_GoBack"/>
      <w:bookmarkEnd w:id="0"/>
    </w:p>
    <w:p w14:paraId="50DC7749">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报价人对本文件所述全部条款和内容不得修改，未按要求填报的视作报价无效。</w:t>
      </w:r>
      <w:r>
        <w:rPr>
          <w:rFonts w:hint="eastAsia" w:ascii="宋体" w:hAnsi="宋体" w:eastAsia="宋体" w:cs="宋体"/>
          <w:i w:val="0"/>
          <w:iCs w:val="0"/>
          <w:caps w:val="0"/>
          <w:color w:val="auto"/>
          <w:spacing w:val="0"/>
          <w:sz w:val="24"/>
          <w:szCs w:val="24"/>
          <w:shd w:val="clear" w:fill="FFFFFF"/>
        </w:rPr>
        <w:t>考虑</w:t>
      </w:r>
      <w:r>
        <w:rPr>
          <w:rFonts w:hint="eastAsia" w:ascii="宋体" w:hAnsi="宋体" w:eastAsia="宋体" w:cs="宋体"/>
          <w:i w:val="0"/>
          <w:iCs w:val="0"/>
          <w:caps w:val="0"/>
          <w:color w:val="auto"/>
          <w:spacing w:val="0"/>
          <w:sz w:val="24"/>
          <w:szCs w:val="24"/>
          <w:shd w:val="clear" w:fill="FFFFFF"/>
          <w:lang w:eastAsia="zh-CN"/>
        </w:rPr>
        <w:t>幼儿园户外玩具</w:t>
      </w:r>
      <w:r>
        <w:rPr>
          <w:rFonts w:hint="eastAsia" w:ascii="宋体" w:hAnsi="宋体" w:eastAsia="宋体" w:cs="宋体"/>
          <w:i w:val="0"/>
          <w:iCs w:val="0"/>
          <w:caps w:val="0"/>
          <w:color w:val="auto"/>
          <w:spacing w:val="0"/>
          <w:sz w:val="24"/>
          <w:szCs w:val="24"/>
          <w:shd w:val="clear" w:fill="FFFFFF"/>
        </w:rPr>
        <w:t>的环保性、安全性、式样美观、产品质量、售后服务等性能因素，本幼儿园推荐以下三个品牌:</w:t>
      </w:r>
      <w:r>
        <w:rPr>
          <w:rFonts w:hint="eastAsia" w:ascii="宋体" w:hAnsi="宋体" w:eastAsia="宋体" w:cs="宋体"/>
          <w:i w:val="0"/>
          <w:iCs w:val="0"/>
          <w:caps w:val="0"/>
          <w:color w:val="FF0000"/>
          <w:spacing w:val="0"/>
          <w:sz w:val="24"/>
          <w:szCs w:val="24"/>
          <w:shd w:val="clear" w:fill="FFFFFF"/>
          <w:lang w:eastAsia="zh-CN"/>
        </w:rPr>
        <w:t>宇海</w:t>
      </w:r>
      <w:r>
        <w:rPr>
          <w:rFonts w:hint="eastAsia" w:ascii="宋体" w:hAnsi="宋体" w:eastAsia="宋体" w:cs="宋体"/>
          <w:i w:val="0"/>
          <w:iCs w:val="0"/>
          <w:caps w:val="0"/>
          <w:color w:val="auto"/>
          <w:spacing w:val="0"/>
          <w:sz w:val="24"/>
          <w:szCs w:val="24"/>
          <w:shd w:val="clear" w:fill="FFFFFF"/>
          <w:lang w:eastAsia="zh-CN"/>
        </w:rPr>
        <w:t>、</w:t>
      </w:r>
      <w:r>
        <w:rPr>
          <w:rFonts w:hint="eastAsia" w:ascii="宋体" w:hAnsi="宋体" w:eastAsia="宋体" w:cs="宋体"/>
          <w:i w:val="0"/>
          <w:iCs w:val="0"/>
          <w:caps w:val="0"/>
          <w:color w:val="FF0000"/>
          <w:spacing w:val="0"/>
          <w:sz w:val="24"/>
          <w:szCs w:val="24"/>
          <w:shd w:val="clear" w:fill="FFFFFF"/>
          <w:lang w:eastAsia="zh-CN"/>
        </w:rPr>
        <w:t>亿童</w:t>
      </w:r>
      <w:r>
        <w:rPr>
          <w:rFonts w:hint="eastAsia" w:ascii="宋体" w:hAnsi="宋体" w:eastAsia="宋体" w:cs="宋体"/>
          <w:i w:val="0"/>
          <w:iCs w:val="0"/>
          <w:caps w:val="0"/>
          <w:color w:val="auto"/>
          <w:spacing w:val="0"/>
          <w:sz w:val="24"/>
          <w:szCs w:val="24"/>
          <w:shd w:val="clear" w:fill="FFFFFF"/>
          <w:lang w:eastAsia="zh-CN"/>
        </w:rPr>
        <w:t>、</w:t>
      </w:r>
      <w:r>
        <w:rPr>
          <w:rFonts w:hint="eastAsia" w:ascii="宋体" w:hAnsi="宋体" w:eastAsia="宋体" w:cs="宋体"/>
          <w:i w:val="0"/>
          <w:iCs w:val="0"/>
          <w:caps w:val="0"/>
          <w:color w:val="FF0000"/>
          <w:spacing w:val="0"/>
          <w:sz w:val="24"/>
          <w:szCs w:val="24"/>
          <w:shd w:val="clear" w:fill="FFFFFF"/>
          <w:lang w:val="en-US" w:eastAsia="zh-CN"/>
        </w:rPr>
        <w:t>华森葳</w:t>
      </w:r>
      <w:r>
        <w:rPr>
          <w:rFonts w:hint="eastAsia" w:ascii="宋体" w:hAnsi="宋体" w:eastAsia="宋体" w:cs="宋体"/>
          <w:i w:val="0"/>
          <w:iCs w:val="0"/>
          <w:caps w:val="0"/>
          <w:color w:val="auto"/>
          <w:spacing w:val="0"/>
          <w:sz w:val="24"/>
          <w:szCs w:val="24"/>
          <w:shd w:val="clear" w:fill="FFFFFF"/>
        </w:rPr>
        <w:t>，</w:t>
      </w:r>
      <w:r>
        <w:rPr>
          <w:rFonts w:hint="eastAsia" w:ascii="宋体" w:hAnsi="宋体" w:eastAsia="宋体" w:cs="宋体"/>
          <w:color w:val="auto"/>
          <w:kern w:val="0"/>
          <w:sz w:val="24"/>
          <w:szCs w:val="24"/>
          <w:lang w:val="en-US" w:eastAsia="zh-CN" w:bidi="ar"/>
        </w:rPr>
        <w:t>为防止三无产品或贴标，必须从三个推荐品牌中任选一款进行投标报价，报价必须上传产品报价明细表，并加盖公章，否则视为投标无效。报价人在报价时，需仔细核对报价商品是否符合本项目采购要求的技术和商务条款。未按要求盖章的视作报价无效。</w:t>
      </w:r>
    </w:p>
    <w:p w14:paraId="6BD6F042">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要求投标人充分理解项目需求，建议投标前进行实地勘察，切实为用户提供优质的解决方案。项目实施完成后，应向采购单位项目负责人提供详尽完整的文档资料（包括配置文档、资料、相关的检测报告等，</w:t>
      </w:r>
      <w:r>
        <w:rPr>
          <w:rFonts w:hint="eastAsia" w:ascii="宋体" w:hAnsi="宋体" w:eastAsia="宋体" w:cs="宋体"/>
          <w:i w:val="0"/>
          <w:iCs w:val="0"/>
          <w:caps w:val="0"/>
          <w:color w:val="auto"/>
          <w:spacing w:val="0"/>
          <w:sz w:val="24"/>
          <w:szCs w:val="24"/>
          <w:shd w:val="clear" w:fill="FFFFFF"/>
          <w:lang w:eastAsia="zh-CN"/>
        </w:rPr>
        <w:t>玩具说明书上均应体现玩具的产品质量规格等</w:t>
      </w:r>
      <w:r>
        <w:rPr>
          <w:rFonts w:hint="eastAsia" w:ascii="宋体" w:hAnsi="宋体" w:eastAsia="宋体" w:cs="宋体"/>
          <w:color w:val="auto"/>
          <w:kern w:val="0"/>
          <w:sz w:val="24"/>
          <w:szCs w:val="24"/>
          <w:lang w:val="en-US" w:eastAsia="zh-CN" w:bidi="ar"/>
        </w:rPr>
        <w:t>）。</w:t>
      </w:r>
    </w:p>
    <w:p w14:paraId="2F9A4974">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★在“采购附件清单”中采购人没有通知采购的货品，中标人不得以此表为借口强制采购人签收；中标人应在接到采购人通知后免费送货，随需随送，不得以货品量小而拒绝送货安装。</w:t>
      </w:r>
    </w:p>
    <w:p w14:paraId="52A687E6">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如发生所供产品与“采购附件清单”及“商务要求”中规定的产品（或材料）品牌、功能、性能、参数等不符的，采购人有权拒收该批次的所有产品并不支付任何费用，由此产生的一切责任和后果由中标人承担。</w:t>
      </w:r>
    </w:p>
    <w:p w14:paraId="65905350">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本次项目不允许主要产品参数负偏离投标，如发现某项材质、参数未满足要求，虚假应标，耽误项目进度，后果由预中标人自行承担，进行退货及赔偿。若发现不按要求响应，招标方有权取消其资格，作无效标处理。</w:t>
      </w:r>
    </w:p>
    <w:p w14:paraId="134ADBE4">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招标文件技术要求中所列的产品数量为预估值，可能会根据本项目实际实施进行必要调整，但投标人不应以此为理由例外要求追加成交单价。</w:t>
      </w:r>
    </w:p>
    <w:p w14:paraId="68DFE56B">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采购人在招标文件所列采购清单中，只列主要产品、设备的名称、数量、技术参数等要求，其他辅助材料、配套等未详细列入，均应包括在相应产品、设备器材中，投标人在报价时自行考虑。</w:t>
      </w:r>
    </w:p>
    <w:p w14:paraId="4CEACA1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如招标文件中遗漏了必须具备的设备、配件或服务，请投标人在投标文件中指出，并提出解决方案供采购人参考；投标人有义务保证采购人系统的完整性，如项目实施过程中因缺少设备、配件或服务导致采购人系统无法正常运行，中标人须免费提供，报价时自行考虑。</w:t>
      </w:r>
    </w:p>
    <w:p w14:paraId="70836DB5">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▲列入国家生产许可和3C目录的产品在项目实施前必须取得并提供相应说明资料备查。</w:t>
      </w:r>
    </w:p>
    <w:p w14:paraId="33CD460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▲项目方案及安装调试方案具体在实施前须报经采购人同意后方可执行，否则后果自负。</w:t>
      </w:r>
    </w:p>
    <w:p w14:paraId="767D1E09">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中标人应保护采购人在使用该产品、服务或其任何一部分时不受第三方提出侵犯专利权、商标权或工业设计权等知识产权的指控。如果任何第三方提出侵权指控，中标人须与第三方交涉并承担可能发生的一切法律责任和费用。</w:t>
      </w:r>
    </w:p>
    <w:p w14:paraId="15AF57F2">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投标人提供的设备必须是全新的原装优质产品（包括所有零部件、元器件、附件、备件），符合相应的国家标准的，并须提供相关产品的产品合格证、产品说明书和安装说明等资料，投标人所提供的产品在安装调试完成后，应构成一个完整的系统，能按照技术要求连续运行。所有设备须原包装到位，需要的配件必须是原包装到达采购人，未经采购人允许不得私自预先安装。</w:t>
      </w:r>
    </w:p>
    <w:p w14:paraId="6AE2C8D8">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FF0000"/>
          <w:kern w:val="0"/>
          <w:sz w:val="24"/>
          <w:szCs w:val="24"/>
          <w:lang w:val="en-US" w:eastAsia="zh-CN" w:bidi="ar"/>
        </w:rPr>
      </w:pPr>
      <w:r>
        <w:rPr>
          <w:rFonts w:hint="eastAsia" w:ascii="宋体" w:hAnsi="宋体" w:eastAsia="宋体" w:cs="宋体"/>
          <w:color w:val="FF0000"/>
          <w:kern w:val="0"/>
          <w:sz w:val="24"/>
          <w:szCs w:val="24"/>
          <w:lang w:val="en-US" w:eastAsia="zh-CN" w:bidi="ar"/>
        </w:rPr>
        <w:t>保修期（免费维修期）</w:t>
      </w:r>
    </w:p>
    <w:p w14:paraId="70E55489">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FF0000"/>
          <w:kern w:val="0"/>
          <w:sz w:val="24"/>
          <w:szCs w:val="24"/>
          <w:lang w:val="en-US" w:eastAsia="zh-CN" w:bidi="ar"/>
        </w:rPr>
      </w:pPr>
      <w:r>
        <w:rPr>
          <w:rFonts w:hint="eastAsia" w:ascii="宋体" w:hAnsi="宋体" w:eastAsia="宋体" w:cs="宋体"/>
          <w:color w:val="FF0000"/>
          <w:kern w:val="0"/>
          <w:sz w:val="24"/>
          <w:szCs w:val="24"/>
          <w:lang w:val="en-US" w:eastAsia="zh-CN" w:bidi="ar"/>
        </w:rPr>
        <w:t>①保修期从整个项目产品安装调试完毕，并经验收合格之日开始计算。除非采购人另有要求，保修期内的服务均为免费上门服务。</w:t>
      </w:r>
    </w:p>
    <w:p w14:paraId="6E7237A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FF0000"/>
          <w:kern w:val="0"/>
          <w:sz w:val="24"/>
          <w:szCs w:val="24"/>
          <w:lang w:val="en-US" w:eastAsia="zh-CN" w:bidi="ar"/>
        </w:rPr>
      </w:pPr>
      <w:r>
        <w:rPr>
          <w:rFonts w:hint="eastAsia" w:ascii="宋体" w:hAnsi="宋体" w:eastAsia="宋体" w:cs="宋体"/>
          <w:color w:val="FF0000"/>
          <w:kern w:val="0"/>
          <w:sz w:val="24"/>
          <w:szCs w:val="24"/>
          <w:lang w:val="en-US" w:eastAsia="zh-CN" w:bidi="ar"/>
        </w:rPr>
        <w:t>②质量保证：整体项目免费维护维修至少五年，采购产品为户外玩具，因符合耐高温、耐低温的要求，如在三年内出现非人为破损，由供应商无条件更换玩具及配件，质保期内，中标人需每学期入园维护或维修一次，分别在暑假后、寒假后，配件遗失或损坏的，中标人无条件上门维修及更换，具体以中标人投标承诺的质保期为准。</w:t>
      </w:r>
    </w:p>
    <w:p w14:paraId="4BF3732C">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FF0000"/>
          <w:kern w:val="0"/>
          <w:sz w:val="24"/>
          <w:szCs w:val="24"/>
          <w:lang w:val="en-US" w:eastAsia="zh-CN" w:bidi="ar"/>
        </w:rPr>
      </w:pPr>
      <w:r>
        <w:rPr>
          <w:rFonts w:hint="eastAsia" w:ascii="宋体" w:hAnsi="宋体" w:eastAsia="宋体" w:cs="宋体"/>
          <w:color w:val="FF0000"/>
          <w:kern w:val="0"/>
          <w:sz w:val="24"/>
          <w:szCs w:val="24"/>
          <w:lang w:val="en-US" w:eastAsia="zh-CN" w:bidi="ar"/>
        </w:rPr>
        <w:t>③在保修期内，采购人有故障申报，中标人须在至少2小时内响应提供解决方案，若不能以电话方式解决故障，须在6小时内到达现场，一般故障到达现场后6小时内解决，现场解决不了的重大故障，应在24小时内解决。若不能现场解决，须提供同等性能、同等配置的设备替换，以确保采购人不中断使用运行。</w:t>
      </w:r>
    </w:p>
    <w:p w14:paraId="39D809C0">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FF0000"/>
          <w:kern w:val="0"/>
          <w:sz w:val="24"/>
          <w:szCs w:val="24"/>
          <w:lang w:val="en-US" w:eastAsia="zh-CN" w:bidi="ar"/>
        </w:rPr>
      </w:pPr>
      <w:r>
        <w:rPr>
          <w:rFonts w:hint="eastAsia" w:ascii="宋体" w:hAnsi="宋体" w:eastAsia="宋体" w:cs="宋体"/>
          <w:color w:val="FF0000"/>
          <w:kern w:val="0"/>
          <w:sz w:val="24"/>
          <w:szCs w:val="24"/>
          <w:lang w:val="en-US" w:eastAsia="zh-CN" w:bidi="ar"/>
        </w:rPr>
        <w:t>④保修期内，与维修相关的所有费用、安全等由中标人自负。</w:t>
      </w:r>
    </w:p>
    <w:p w14:paraId="1BAFCEF8">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验收标准及要求</w:t>
      </w:r>
    </w:p>
    <w:p w14:paraId="001AC00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根据中华人民共和国现行技术标准，按招标文件以及合同规定的验收评定标准等规范，由采购人组织验收。</w:t>
      </w:r>
    </w:p>
    <w:p w14:paraId="1EFCD54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①验收在材料、设备到齐时，由采购人组织人员对材料、设备等投标响应要求进行初次验收，经验收合格中标人方可实施；投标人必须按照招标要求及采购人的要求准备完整的验收材料。验收费用由中标人承担。</w:t>
      </w:r>
    </w:p>
    <w:p w14:paraId="06FAD474">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②所供产品的规格、数量符合采购文件供应商投标承诺及采购合同约定的要求。 </w:t>
      </w:r>
    </w:p>
    <w:p w14:paraId="4D69D85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③所供产品的材质、颜色符合采购文件供应商投标承诺及采购合同约定的要求。 </w:t>
      </w:r>
    </w:p>
    <w:p w14:paraId="431B0269">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④所供产品的外观完好，无严重碰撞、表皮脱落、五金件生锈等明显瑕疵。 </w:t>
      </w:r>
    </w:p>
    <w:p w14:paraId="21D83D25">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⑤所供产品结构牢固，无安全隐患。 </w:t>
      </w:r>
    </w:p>
    <w:p w14:paraId="2C181A55">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 xml:space="preserve">⑥如有抽检要求的，检测结果符合招标文件供应商投标承诺及采购合同约定的要求。 </w:t>
      </w:r>
    </w:p>
    <w:p w14:paraId="01EECCFB">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⑦采购文件供应商投标承诺及采购合同约定的附件、工具、技术资料等齐全；提供产品使用说明书、合格证。</w:t>
      </w:r>
    </w:p>
    <w:p w14:paraId="15E25BFE">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b/>
          <w:bCs/>
          <w:i w:val="0"/>
          <w:iCs w:val="0"/>
          <w:caps w:val="0"/>
          <w:color w:val="FF0000"/>
          <w:spacing w:val="0"/>
          <w:sz w:val="24"/>
          <w:szCs w:val="24"/>
          <w:shd w:val="clear" w:fill="FFFFFF"/>
        </w:rPr>
      </w:pPr>
      <w:r>
        <w:rPr>
          <w:rFonts w:hint="eastAsia" w:ascii="宋体" w:hAnsi="宋体" w:eastAsia="宋体" w:cs="宋体"/>
          <w:b/>
          <w:bCs/>
          <w:i w:val="0"/>
          <w:iCs w:val="0"/>
          <w:caps w:val="0"/>
          <w:color w:val="FF0000"/>
          <w:spacing w:val="0"/>
          <w:sz w:val="24"/>
          <w:szCs w:val="24"/>
          <w:shd w:val="clear" w:fill="FFFFFF"/>
          <w:lang w:eastAsia="zh-CN"/>
        </w:rPr>
        <w:t>供货</w:t>
      </w:r>
      <w:r>
        <w:rPr>
          <w:rFonts w:hint="eastAsia" w:ascii="宋体" w:hAnsi="宋体" w:eastAsia="宋体" w:cs="宋体"/>
          <w:b/>
          <w:bCs/>
          <w:i w:val="0"/>
          <w:iCs w:val="0"/>
          <w:caps w:val="0"/>
          <w:color w:val="FF0000"/>
          <w:spacing w:val="0"/>
          <w:sz w:val="24"/>
          <w:szCs w:val="24"/>
          <w:shd w:val="clear" w:fill="FFFFFF"/>
        </w:rPr>
        <w:t>时间：</w:t>
      </w:r>
      <w:r>
        <w:rPr>
          <w:rFonts w:hint="eastAsia" w:ascii="宋体" w:hAnsi="宋体" w:eastAsia="宋体" w:cs="宋体"/>
          <w:b/>
          <w:bCs/>
          <w:i w:val="0"/>
          <w:iCs w:val="0"/>
          <w:caps w:val="0"/>
          <w:color w:val="FF0000"/>
          <w:spacing w:val="0"/>
          <w:sz w:val="24"/>
          <w:szCs w:val="24"/>
          <w:shd w:val="clear" w:fill="FFFFFF"/>
          <w:lang w:eastAsia="zh-CN"/>
        </w:rPr>
        <w:t>合同签订后</w:t>
      </w:r>
      <w:r>
        <w:rPr>
          <w:rFonts w:hint="eastAsia" w:ascii="宋体" w:hAnsi="宋体" w:eastAsia="宋体" w:cs="宋体"/>
          <w:b/>
          <w:bCs/>
          <w:i w:val="0"/>
          <w:iCs w:val="0"/>
          <w:caps w:val="0"/>
          <w:color w:val="FF0000"/>
          <w:spacing w:val="0"/>
          <w:sz w:val="24"/>
          <w:szCs w:val="24"/>
          <w:shd w:val="clear" w:fill="FFFFFF"/>
          <w:lang w:val="en-US" w:eastAsia="zh-CN"/>
        </w:rPr>
        <w:t>3个工作日</w:t>
      </w:r>
      <w:r>
        <w:rPr>
          <w:rFonts w:hint="eastAsia" w:ascii="宋体" w:hAnsi="宋体" w:eastAsia="宋体" w:cs="宋体"/>
          <w:b/>
          <w:bCs/>
          <w:i w:val="0"/>
          <w:iCs w:val="0"/>
          <w:caps w:val="0"/>
          <w:color w:val="FF0000"/>
          <w:spacing w:val="0"/>
          <w:sz w:val="24"/>
          <w:szCs w:val="24"/>
          <w:shd w:val="clear" w:fill="FFFFFF"/>
          <w:lang w:eastAsia="zh-CN"/>
        </w:rPr>
        <w:t>内完成供货</w:t>
      </w:r>
    </w:p>
    <w:p w14:paraId="2EECD32B">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default" w:ascii="宋体" w:hAnsi="宋体" w:eastAsia="宋体" w:cs="宋体"/>
          <w:i w:val="0"/>
          <w:iCs w:val="0"/>
          <w:caps w:val="0"/>
          <w:color w:val="auto"/>
          <w:spacing w:val="0"/>
          <w:sz w:val="24"/>
          <w:szCs w:val="24"/>
          <w:shd w:val="clear" w:fill="FFFFFF"/>
          <w:lang w:val="en-US" w:eastAsia="zh-CN"/>
        </w:rPr>
      </w:pPr>
      <w:r>
        <w:rPr>
          <w:rFonts w:hint="eastAsia" w:ascii="宋体" w:hAnsi="宋体" w:eastAsia="宋体" w:cs="宋体"/>
          <w:b/>
          <w:bCs/>
          <w:i w:val="0"/>
          <w:iCs w:val="0"/>
          <w:caps w:val="0"/>
          <w:color w:val="FF0000"/>
          <w:spacing w:val="0"/>
          <w:sz w:val="24"/>
          <w:szCs w:val="24"/>
          <w:shd w:val="clear" w:fill="FFFFFF"/>
        </w:rPr>
        <w:t>样品：</w:t>
      </w:r>
      <w:r>
        <w:rPr>
          <w:rFonts w:hint="eastAsia" w:ascii="宋体" w:hAnsi="宋体" w:eastAsia="宋体" w:cs="宋体"/>
          <w:b/>
          <w:bCs/>
          <w:i w:val="0"/>
          <w:iCs w:val="0"/>
          <w:caps w:val="0"/>
          <w:color w:val="FF0000"/>
          <w:spacing w:val="0"/>
          <w:sz w:val="24"/>
          <w:szCs w:val="24"/>
          <w:shd w:val="clear" w:fill="FFFFFF"/>
          <w:lang w:val="en-US" w:eastAsia="zh-CN"/>
        </w:rPr>
        <w:t>★“正方形孔洞款（灰绿色）”1块。</w:t>
      </w:r>
    </w:p>
    <w:p w14:paraId="2844DD3B">
      <w:pPr>
        <w:keepNext w:val="0"/>
        <w:keepLines w:val="0"/>
        <w:pageBreakBefore w:val="0"/>
        <w:numPr>
          <w:ilvl w:val="0"/>
          <w:numId w:val="1"/>
        </w:numPr>
        <w:kinsoku/>
        <w:wordWrap/>
        <w:overflowPunct/>
        <w:topLinePunct w:val="0"/>
        <w:autoSpaceDE/>
        <w:autoSpaceDN/>
        <w:bidi w:val="0"/>
        <w:adjustRightInd/>
        <w:snapToGrid/>
        <w:spacing w:line="360" w:lineRule="auto"/>
        <w:ind w:left="0" w:leftChars="0" w:firstLine="480" w:firstLineChars="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提供以下检测报告(复印件盖章)，以附件形式上传以便核实，已失效或撤销或未获得的取消询价结果。【证书需获得CMA、CNAS认证，可在中国国家认证认可监督管理委员会查询平台查询到，必须在有效期内，已失效或撤销或未获得的取消询价结果】</w:t>
      </w:r>
    </w:p>
    <w:p w14:paraId="44E730B2">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FF0000"/>
          <w:kern w:val="0"/>
          <w:sz w:val="24"/>
          <w:szCs w:val="24"/>
          <w:lang w:val="en-US" w:eastAsia="zh-CN" w:bidi="ar"/>
        </w:rPr>
      </w:pPr>
      <w:r>
        <w:rPr>
          <w:rFonts w:hint="eastAsia" w:ascii="宋体" w:hAnsi="宋体" w:eastAsia="宋体" w:cs="宋体"/>
          <w:color w:val="FF0000"/>
          <w:kern w:val="0"/>
          <w:sz w:val="24"/>
          <w:szCs w:val="24"/>
          <w:lang w:val="en-US" w:eastAsia="zh-CN" w:bidi="ar"/>
        </w:rPr>
        <w:t>①★提供“洞洞吸吸积木组”、“户外收纳架”符合GB6675.1-2014、GB6675.2-2014、GB6675.3-2014、GB6675.4-2014、GB-6675.11-2014国家标准规范要求的检测报告。</w:t>
      </w:r>
    </w:p>
    <w:p w14:paraId="13E98E0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15.培训服务</w:t>
      </w:r>
      <w:r>
        <w:rPr>
          <w:rFonts w:hint="eastAsia" w:ascii="宋体" w:hAnsi="宋体" w:eastAsia="宋体" w:cs="宋体"/>
          <w:color w:val="FF0000"/>
          <w:kern w:val="0"/>
          <w:sz w:val="24"/>
          <w:szCs w:val="24"/>
          <w:lang w:val="en-US" w:eastAsia="zh-CN" w:bidi="ar"/>
        </w:rPr>
        <w:t>（报价供应商需针对本次招标产品，在满足商务要求的基础上需要提供培训培训服务</w:t>
      </w:r>
      <w:r>
        <w:rPr>
          <w:rFonts w:hint="eastAsia" w:ascii="宋体" w:hAnsi="宋体" w:eastAsia="宋体" w:cs="宋体"/>
          <w:color w:val="FF0000"/>
          <w:sz w:val="24"/>
          <w:szCs w:val="24"/>
          <w:lang w:val="en-US" w:eastAsia="zh-CN"/>
        </w:rPr>
        <w:t>供货方免费提供3年内线上培训、教研不少于12次；线下实地参观及学习不少于3次，我们老师参加数量由甲方定）</w:t>
      </w:r>
      <w:r>
        <w:rPr>
          <w:rFonts w:hint="eastAsia" w:ascii="宋体" w:hAnsi="宋体" w:eastAsia="宋体" w:cs="宋体"/>
          <w:color w:val="auto"/>
          <w:kern w:val="0"/>
          <w:sz w:val="24"/>
          <w:szCs w:val="24"/>
          <w:lang w:val="en-US" w:eastAsia="zh-CN" w:bidi="ar"/>
        </w:rPr>
        <w:t>提供相关指导手册、活动方案，提交到园所。</w:t>
      </w:r>
    </w:p>
    <w:p w14:paraId="6ECEBF65">
      <w:pPr>
        <w:keepNext w:val="0"/>
        <w:keepLines w:val="0"/>
        <w:pageBreakBefore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lang w:val="en-US" w:eastAsia="zh-CN" w:bidi="ar"/>
        </w:rPr>
      </w:pPr>
      <w:r>
        <w:rPr>
          <w:rFonts w:hint="eastAsia" w:ascii="宋体" w:hAnsi="宋体" w:eastAsia="宋体" w:cs="宋体"/>
          <w:color w:val="auto"/>
          <w:kern w:val="0"/>
          <w:sz w:val="24"/>
          <w:szCs w:val="24"/>
          <w:lang w:val="en-US" w:eastAsia="zh-CN" w:bidi="ar"/>
        </w:rPr>
        <w:t>16.报价供应商必须符合以上商务要求，如有不符项，采购单位有权做废标处理。报价单位必须认真审核招标文件所有商务及清单要求，如明知不满足招标文件要求进行恶意竞争的，将根据《政采云平台电子卖场权益维护及纠纷处理规则》的规定报财政部门处理。</w:t>
      </w:r>
    </w:p>
    <w:p w14:paraId="4E428B3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lang w:val="en-US" w:eastAsia="zh-CN" w:bidi="ar"/>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24" w:lineRule="auto"/>
      </w:pPr>
      <w:r>
        <w:separator/>
      </w:r>
    </w:p>
  </w:footnote>
  <w:footnote w:type="continuationSeparator" w:id="1">
    <w:p>
      <w:pPr>
        <w:spacing w:line="324"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6BC5E52"/>
    <w:multiLevelType w:val="singleLevel"/>
    <w:tmpl w:val="36BC5E52"/>
    <w:lvl w:ilvl="0" w:tentative="0">
      <w:start w:val="1"/>
      <w:numFmt w:val="decimal"/>
      <w:suff w:val="space"/>
      <w:lvlText w:val="%1."/>
      <w:lvlJc w:val="left"/>
      <w:pPr>
        <w:ind w:left="0" w:firstLine="480"/>
      </w:pPr>
      <w:rPr>
        <w:rFonts w:hint="default"/>
        <w:b w:val="0"/>
        <w:bCs w:val="0"/>
        <w:color w:val="auto"/>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QxYTBhOTEyZGFjZTY5ZjkzMmIwZmRhNGJlODhmYzUifQ=="/>
  </w:docVars>
  <w:rsids>
    <w:rsidRoot w:val="546E4DE9"/>
    <w:rsid w:val="12CE7994"/>
    <w:rsid w:val="134E1173"/>
    <w:rsid w:val="1642249C"/>
    <w:rsid w:val="18D00A0C"/>
    <w:rsid w:val="190304AC"/>
    <w:rsid w:val="19503046"/>
    <w:rsid w:val="1A54263B"/>
    <w:rsid w:val="1AAD576A"/>
    <w:rsid w:val="1FB52813"/>
    <w:rsid w:val="20FC2B2A"/>
    <w:rsid w:val="216410C0"/>
    <w:rsid w:val="268C43D5"/>
    <w:rsid w:val="26907BF0"/>
    <w:rsid w:val="28D329A7"/>
    <w:rsid w:val="2ABA2434"/>
    <w:rsid w:val="2D861DE2"/>
    <w:rsid w:val="2EE80DAA"/>
    <w:rsid w:val="320A191B"/>
    <w:rsid w:val="35A5490D"/>
    <w:rsid w:val="35A857C3"/>
    <w:rsid w:val="35E62D20"/>
    <w:rsid w:val="370C1FBC"/>
    <w:rsid w:val="37F631FE"/>
    <w:rsid w:val="3AE00E50"/>
    <w:rsid w:val="3E157840"/>
    <w:rsid w:val="4B1B446B"/>
    <w:rsid w:val="4D8935E5"/>
    <w:rsid w:val="504B1B0B"/>
    <w:rsid w:val="546E4DE9"/>
    <w:rsid w:val="58AF61A6"/>
    <w:rsid w:val="5DE01285"/>
    <w:rsid w:val="5E9F1644"/>
    <w:rsid w:val="5EFF8214"/>
    <w:rsid w:val="682151FC"/>
    <w:rsid w:val="6C5D426C"/>
    <w:rsid w:val="6C6C6606"/>
    <w:rsid w:val="6E6104A9"/>
    <w:rsid w:val="705C05E6"/>
    <w:rsid w:val="7A765C27"/>
    <w:rsid w:val="7C407D3A"/>
    <w:rsid w:val="CC7F59F7"/>
    <w:rsid w:val="FBBDD5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324" w:lineRule="auto"/>
      <w:jc w:val="both"/>
    </w:pPr>
    <w:rPr>
      <w:rFonts w:hint="eastAsia" w:ascii="等线" w:hAnsi="等线" w:eastAsia="等线" w:cs="Times New Roman"/>
      <w:kern w:val="2"/>
      <w:sz w:val="21"/>
      <w:lang w:val="en-US" w:eastAsia="zh-CN" w:bidi="ar-SA"/>
    </w:rPr>
  </w:style>
  <w:style w:type="character" w:default="1" w:styleId="3">
    <w:name w:val="Default Paragraph Font"/>
    <w:autoRedefine/>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首行缩进"/>
    <w:autoRedefine/>
    <w:qFormat/>
    <w:uiPriority w:val="99"/>
    <w:pPr>
      <w:widowControl w:val="0"/>
      <w:suppressAutoHyphens/>
      <w:spacing w:line="360" w:lineRule="auto"/>
      <w:ind w:firstLine="480" w:firstLineChars="200"/>
      <w:jc w:val="both"/>
    </w:pPr>
    <w:rPr>
      <w:rFonts w:ascii="Calibri" w:hAnsi="Calibri" w:eastAsiaTheme="minorEastAsia" w:cstheme="minorBidi"/>
      <w:kern w:val="2"/>
      <w:sz w:val="24"/>
      <w:szCs w:val="22"/>
      <w:lang w:val="zh-CN"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2690</Words>
  <Characters>2771</Characters>
  <Lines>0</Lines>
  <Paragraphs>0</Paragraphs>
  <TotalTime>14</TotalTime>
  <ScaleCrop>false</ScaleCrop>
  <LinksUpToDate>false</LinksUpToDate>
  <CharactersWithSpaces>2776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2023-06-09T18:02:00Z</dcterms:created>
  <dc:creator>楼基宣</dc:creator>
  <cp:lastModifiedBy>盛意</cp:lastModifiedBy>
  <dcterms:modified xsi:type="dcterms:W3CDTF">2025-03-31T07:29:57Z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3528BFAC47454191B268C895BB317809_13</vt:lpwstr>
  </property>
  <property fmtid="{D5CDD505-2E9C-101B-9397-08002B2CF9AE}" pid="4" name="KSOTemplateDocerSaveRecord">
    <vt:lpwstr>eyJoZGlkIjoiODQxYTBhOTEyZGFjZTY5ZjkzMmIwZmRhNGJlODhmYzUiLCJ1c2VySWQiOiIzNjMyMzYxNzgifQ==</vt:lpwstr>
  </property>
</Properties>
</file>