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40"/>
        </w:rPr>
      </w:pPr>
      <w:bookmarkStart w:id="0" w:name="_GoBack"/>
      <w:bookmarkEnd w:id="0"/>
      <w:r>
        <w:rPr>
          <w:rFonts w:hint="eastAsia"/>
          <w:b/>
          <w:bCs/>
          <w:sz w:val="32"/>
          <w:szCs w:val="40"/>
        </w:rPr>
        <w:t>浦江法院核心交换机设备采购需求</w:t>
      </w:r>
    </w:p>
    <w:p>
      <w:pPr>
        <w:pStyle w:val="5"/>
        <w:rPr>
          <w:rFonts w:hint="eastAsia" w:ascii="宋体" w:hAnsi="宋体"/>
          <w:b/>
          <w:bCs/>
          <w:color w:val="000000"/>
          <w:szCs w:val="21"/>
        </w:rPr>
      </w:pPr>
      <w:r>
        <w:rPr>
          <w:rFonts w:hint="eastAsia" w:ascii="宋体" w:hAnsi="宋体"/>
          <w:b/>
          <w:bCs/>
          <w:color w:val="000000"/>
          <w:szCs w:val="21"/>
        </w:rPr>
        <w:t>一、采购清单及参数</w:t>
      </w:r>
    </w:p>
    <w:tbl>
      <w:tblPr>
        <w:tblStyle w:val="9"/>
        <w:tblW w:w="54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306"/>
        <w:gridCol w:w="1456"/>
        <w:gridCol w:w="3873"/>
        <w:gridCol w:w="757"/>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260" w:lineRule="exact"/>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bidi="ar"/>
              </w:rPr>
              <w:t>序号</w:t>
            </w:r>
          </w:p>
        </w:tc>
        <w:tc>
          <w:tcPr>
            <w:tcW w:w="1305" w:type="dxa"/>
            <w:vAlign w:val="center"/>
          </w:tcPr>
          <w:p>
            <w:pPr>
              <w:widowControl/>
              <w:spacing w:line="260" w:lineRule="exact"/>
              <w:jc w:val="center"/>
              <w:textAlignment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设备名称</w:t>
            </w:r>
          </w:p>
        </w:tc>
        <w:tc>
          <w:tcPr>
            <w:tcW w:w="1455" w:type="dxa"/>
            <w:vAlign w:val="center"/>
          </w:tcPr>
          <w:p>
            <w:pPr>
              <w:widowControl/>
              <w:spacing w:line="260" w:lineRule="exact"/>
              <w:jc w:val="center"/>
              <w:textAlignment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推荐品牌</w:t>
            </w:r>
          </w:p>
        </w:tc>
        <w:tc>
          <w:tcPr>
            <w:tcW w:w="3885" w:type="dxa"/>
            <w:vAlign w:val="center"/>
          </w:tcPr>
          <w:p>
            <w:pPr>
              <w:widowControl/>
              <w:spacing w:line="260" w:lineRule="exact"/>
              <w:jc w:val="center"/>
              <w:textAlignment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技术参数</w:t>
            </w:r>
          </w:p>
        </w:tc>
        <w:tc>
          <w:tcPr>
            <w:tcW w:w="753" w:type="dxa"/>
            <w:vAlign w:val="center"/>
          </w:tcPr>
          <w:p>
            <w:pPr>
              <w:widowControl/>
              <w:spacing w:line="260" w:lineRule="exact"/>
              <w:jc w:val="center"/>
              <w:textAlignment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数量</w:t>
            </w:r>
          </w:p>
        </w:tc>
        <w:tc>
          <w:tcPr>
            <w:tcW w:w="998" w:type="dxa"/>
            <w:vAlign w:val="center"/>
          </w:tcPr>
          <w:p>
            <w:pPr>
              <w:widowControl/>
              <w:spacing w:line="260" w:lineRule="exact"/>
              <w:jc w:val="center"/>
              <w:textAlignment w:val="center"/>
              <w:rPr>
                <w:rFonts w:hint="eastAsia" w:ascii="宋体" w:hAnsi="宋体" w:eastAsia="宋体" w:cs="宋体"/>
                <w:b/>
                <w:bCs/>
                <w:kern w:val="0"/>
                <w:sz w:val="21"/>
                <w:szCs w:val="21"/>
                <w:lang w:bidi="ar"/>
              </w:rPr>
            </w:pPr>
            <w:r>
              <w:rPr>
                <w:rFonts w:hint="eastAsia" w:ascii="宋体" w:hAnsi="宋体" w:eastAsia="宋体" w:cs="宋体"/>
                <w:b/>
                <w:bCs/>
                <w:kern w:val="0"/>
                <w:sz w:val="21"/>
                <w:szCs w:val="21"/>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vAlign w:val="center"/>
          </w:tcPr>
          <w:p>
            <w:pPr>
              <w:widowControl/>
              <w:spacing w:line="260" w:lineRule="exact"/>
              <w:jc w:val="center"/>
              <w:textAlignment w:val="center"/>
              <w:rPr>
                <w:rFonts w:hint="eastAsia" w:ascii="宋体" w:hAnsi="宋体" w:eastAsia="宋体" w:cs="宋体"/>
                <w:b/>
                <w:bCs/>
                <w:kern w:val="0"/>
                <w:sz w:val="21"/>
                <w:szCs w:val="21"/>
                <w:lang w:bidi="ar"/>
              </w:rPr>
            </w:pPr>
            <w:r>
              <w:rPr>
                <w:rFonts w:hint="eastAsia" w:ascii="宋体" w:hAnsi="宋体" w:eastAsia="宋体" w:cs="宋体"/>
                <w:b w:val="0"/>
                <w:bCs w:val="0"/>
                <w:kern w:val="0"/>
                <w:sz w:val="21"/>
                <w:szCs w:val="21"/>
                <w:lang w:bidi="ar"/>
              </w:rPr>
              <w:t>1</w:t>
            </w:r>
          </w:p>
        </w:tc>
        <w:tc>
          <w:tcPr>
            <w:tcW w:w="1305" w:type="dxa"/>
            <w:vAlign w:val="center"/>
          </w:tcPr>
          <w:p>
            <w:pPr>
              <w:widowControl/>
              <w:spacing w:line="260" w:lineRule="exact"/>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核心交换机</w:t>
            </w:r>
          </w:p>
        </w:tc>
        <w:tc>
          <w:tcPr>
            <w:tcW w:w="1455" w:type="dxa"/>
            <w:vAlign w:val="center"/>
          </w:tcPr>
          <w:p>
            <w:pPr>
              <w:widowControl/>
              <w:spacing w:line="260" w:lineRule="exact"/>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华为、浪潮、紫光恒越</w:t>
            </w:r>
          </w:p>
        </w:tc>
        <w:tc>
          <w:tcPr>
            <w:tcW w:w="3885" w:type="dxa"/>
            <w:vAlign w:val="center"/>
          </w:tcPr>
          <w:p>
            <w:pPr>
              <w:widowControl/>
              <w:spacing w:line="260" w:lineRule="exact"/>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1、采用国产芯片，提供官网截图证明或者提供权威第三方测试报告；</w:t>
            </w:r>
          </w:p>
          <w:p>
            <w:pPr>
              <w:widowControl/>
              <w:spacing w:line="260" w:lineRule="exact"/>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2、交换容量≥100Tbps，包转发率≥57600Mpps，以官网最小值为准，提供官网截图证明；</w:t>
            </w:r>
          </w:p>
          <w:p>
            <w:pPr>
              <w:widowControl/>
              <w:spacing w:line="260" w:lineRule="exact"/>
              <w:jc w:val="left"/>
              <w:textAlignment w:val="center"/>
              <w:rPr>
                <w:rFonts w:hint="eastAsia" w:ascii="宋体" w:hAnsi="宋体" w:cs="宋体"/>
                <w:kern w:val="0"/>
                <w:szCs w:val="21"/>
                <w:lang w:bidi="ar"/>
              </w:rPr>
            </w:pPr>
            <w:r>
              <w:rPr>
                <w:rFonts w:hint="eastAsia" w:ascii="宋体" w:hAnsi="宋体" w:eastAsia="宋体" w:cs="宋体"/>
                <w:kern w:val="0"/>
                <w:sz w:val="21"/>
                <w:szCs w:val="21"/>
                <w:lang w:bidi="ar"/>
              </w:rPr>
              <w:t>3、</w:t>
            </w:r>
            <w:r>
              <w:rPr>
                <w:rFonts w:hint="eastAsia" w:ascii="宋体" w:hAnsi="宋体" w:cs="宋体"/>
                <w:kern w:val="0"/>
                <w:szCs w:val="21"/>
                <w:lang w:bidi="ar"/>
              </w:rPr>
              <w:t>实配：双主控，2*800W电源，48个千兆电口，48个万兆光口，11个千兆多模光模块，N1-智简园区高级包 ；</w:t>
            </w:r>
          </w:p>
          <w:p>
            <w:pPr>
              <w:widowControl/>
              <w:spacing w:line="260" w:lineRule="exact"/>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4、主控引擎≥2；整机业务板槽位数≥6；</w:t>
            </w:r>
          </w:p>
          <w:p>
            <w:pPr>
              <w:widowControl/>
              <w:spacing w:line="260" w:lineRule="exact"/>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5、适用600mm深度机柜；</w:t>
            </w:r>
          </w:p>
          <w:p>
            <w:pPr>
              <w:widowControl/>
              <w:spacing w:line="260" w:lineRule="exact"/>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6、设备高度≤10U；</w:t>
            </w:r>
          </w:p>
          <w:p>
            <w:pPr>
              <w:widowControl/>
              <w:spacing w:line="260" w:lineRule="exact"/>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7、支持独立的硬件监控板卡, 控制平面和监控平面物理槽位分离，支持1+1备份，能集中监控风扇、电源等模块，能调节能耗，提供官网截图证明或者提供权威第三方测试报告；</w:t>
            </w:r>
          </w:p>
          <w:p>
            <w:pPr>
              <w:widowControl/>
              <w:spacing w:line="260" w:lineRule="exact"/>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8、支持ARP表项≥256K；ARP学习速率≥1000/s，MAC地址≥1M；MAC学习速率&gt;8000/s，提供官网截图证明或者提供权威第三方测试报告；</w:t>
            </w:r>
          </w:p>
          <w:p>
            <w:pPr>
              <w:widowControl/>
              <w:spacing w:line="260" w:lineRule="exact"/>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9、支持颗粒化电源，整机电源槽位数≥4；</w:t>
            </w:r>
          </w:p>
          <w:p>
            <w:pPr>
              <w:widowControl/>
              <w:spacing w:line="260" w:lineRule="exact"/>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10、支持VxLAN功能，支持VxLAN网络的自动化部署，提供官网截图证明或者提供权威第三方测试报告；</w:t>
            </w:r>
          </w:p>
          <w:p>
            <w:pPr>
              <w:widowControl/>
              <w:spacing w:line="260" w:lineRule="exact"/>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11、支持IEEE 802.1d(STP)、 802.w(RSTP)、 802.1s(MSTP)，提供官网截图证明；</w:t>
            </w:r>
          </w:p>
          <w:p>
            <w:pPr>
              <w:widowControl/>
              <w:spacing w:line="260" w:lineRule="exact"/>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12、支持PQ、WRR、DRR、PQ+WRR、PQ+DRR调度方式；</w:t>
            </w:r>
          </w:p>
          <w:p>
            <w:pPr>
              <w:widowControl/>
              <w:spacing w:line="260" w:lineRule="exact"/>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13、支持随路检测技术，使用可编程业务流检测网络质量，报文染色无需额外开销，计算真实业务流，并在任意时间地点检测链路质量，提供官网截图证明或者提供权威第三方测试报告；</w:t>
            </w:r>
          </w:p>
          <w:p>
            <w:pPr>
              <w:widowControl/>
              <w:spacing w:line="260" w:lineRule="exact"/>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14、支持静态路由、RIP、RIPng、OSPF、OSPFv3、BGP、BGP4+、ISIS、ISISv6；</w:t>
            </w:r>
          </w:p>
          <w:p>
            <w:pPr>
              <w:widowControl/>
              <w:spacing w:line="260" w:lineRule="exact"/>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15、考虑有线连接安全性，交换机支持Macsec，提供官网截图证明或者提供权威第三方测试报告；</w:t>
            </w:r>
          </w:p>
          <w:p>
            <w:pPr>
              <w:widowControl/>
              <w:spacing w:line="260" w:lineRule="exact"/>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 xml:space="preserve">16、支持 Telemetry 技术； </w:t>
            </w:r>
          </w:p>
          <w:p>
            <w:pPr>
              <w:widowControl/>
              <w:spacing w:line="260" w:lineRule="exact"/>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17、提供工信部入网证书</w:t>
            </w:r>
          </w:p>
          <w:p>
            <w:pPr>
              <w:widowControl/>
              <w:spacing w:line="260" w:lineRule="exact"/>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18、提供3年原厂质保函；</w:t>
            </w:r>
          </w:p>
          <w:p>
            <w:pPr>
              <w:widowControl/>
              <w:spacing w:line="260" w:lineRule="exact"/>
              <w:jc w:val="left"/>
              <w:textAlignment w:val="center"/>
              <w:rPr>
                <w:rFonts w:hint="eastAsia" w:ascii="宋体" w:hAnsi="宋体"/>
                <w:sz w:val="24"/>
                <w:szCs w:val="24"/>
                <w:lang w:val="en-US" w:eastAsia="zh-CN"/>
              </w:rPr>
            </w:pPr>
            <w:r>
              <w:rPr>
                <w:rFonts w:hint="eastAsia" w:asciiTheme="minorEastAsia" w:hAnsiTheme="minorEastAsia"/>
                <w:sz w:val="24"/>
              </w:rPr>
              <w:t>▲</w:t>
            </w:r>
            <w:r>
              <w:rPr>
                <w:rFonts w:hint="eastAsia" w:ascii="宋体" w:hAnsi="宋体" w:cs="宋体"/>
                <w:kern w:val="0"/>
                <w:sz w:val="21"/>
                <w:szCs w:val="21"/>
                <w:lang w:val="en-US" w:eastAsia="zh-CN" w:bidi="ar"/>
              </w:rPr>
              <w:t>19、根据省高院基础网络与网络安全集约化的要求，须与本院原有的S7706核心交换（</w:t>
            </w:r>
            <w:r>
              <w:rPr>
                <w:rFonts w:ascii="宋体" w:hAnsi="宋体"/>
                <w:sz w:val="24"/>
                <w:szCs w:val="24"/>
              </w:rPr>
              <w:t>SRUHX主控板</w:t>
            </w:r>
            <w:r>
              <w:rPr>
                <w:rFonts w:hint="eastAsia" w:ascii="宋体" w:hAnsi="宋体"/>
                <w:sz w:val="24"/>
                <w:szCs w:val="24"/>
                <w:lang w:eastAsia="zh-CN"/>
              </w:rPr>
              <w:t>）</w:t>
            </w:r>
            <w:r>
              <w:rPr>
                <w:rFonts w:hint="eastAsia" w:ascii="宋体" w:hAnsi="宋体"/>
                <w:sz w:val="24"/>
                <w:szCs w:val="24"/>
                <w:lang w:val="en-US" w:eastAsia="zh-CN"/>
              </w:rPr>
              <w:t>堆叠。</w:t>
            </w:r>
          </w:p>
          <w:p>
            <w:pPr>
              <w:widowControl/>
              <w:spacing w:line="260" w:lineRule="exact"/>
              <w:jc w:val="left"/>
              <w:textAlignment w:val="center"/>
              <w:rPr>
                <w:rFonts w:hint="default" w:ascii="宋体" w:hAnsi="宋体"/>
                <w:sz w:val="24"/>
                <w:szCs w:val="24"/>
                <w:lang w:val="en-US" w:eastAsia="zh-CN"/>
              </w:rPr>
            </w:pPr>
            <w:r>
              <w:rPr>
                <w:rFonts w:hint="eastAsia" w:ascii="宋体" w:hAnsi="宋体"/>
                <w:sz w:val="24"/>
                <w:szCs w:val="24"/>
                <w:lang w:val="en-US" w:eastAsia="zh-CN"/>
              </w:rPr>
              <w:t>20、交货要求：中标厂商需要将设备发往金华市中级人民法院作初始配置，待配置完成后发往本院机房上架。</w:t>
            </w:r>
          </w:p>
        </w:tc>
        <w:tc>
          <w:tcPr>
            <w:tcW w:w="753" w:type="dxa"/>
            <w:vAlign w:val="center"/>
          </w:tcPr>
          <w:p>
            <w:pPr>
              <w:widowControl/>
              <w:spacing w:line="260" w:lineRule="exact"/>
              <w:jc w:val="center"/>
              <w:textAlignment w:val="center"/>
              <w:rPr>
                <w:rFonts w:hint="eastAsia" w:ascii="宋体" w:hAnsi="宋体" w:eastAsia="宋体" w:cs="宋体"/>
                <w:b/>
                <w:bCs/>
                <w:kern w:val="0"/>
                <w:sz w:val="21"/>
                <w:szCs w:val="21"/>
                <w:lang w:bidi="ar"/>
              </w:rPr>
            </w:pPr>
            <w:r>
              <w:rPr>
                <w:rFonts w:hint="eastAsia" w:ascii="宋体" w:hAnsi="宋体" w:eastAsia="宋体" w:cs="宋体"/>
                <w:b w:val="0"/>
                <w:bCs w:val="0"/>
                <w:kern w:val="0"/>
                <w:sz w:val="32"/>
                <w:szCs w:val="32"/>
                <w:lang w:bidi="ar"/>
              </w:rPr>
              <w:t>1</w:t>
            </w:r>
          </w:p>
        </w:tc>
        <w:tc>
          <w:tcPr>
            <w:tcW w:w="998" w:type="dxa"/>
            <w:vAlign w:val="center"/>
          </w:tcPr>
          <w:p>
            <w:pPr>
              <w:widowControl/>
              <w:spacing w:line="260" w:lineRule="exact"/>
              <w:jc w:val="center"/>
              <w:textAlignment w:val="center"/>
              <w:rPr>
                <w:rFonts w:hint="eastAsia" w:ascii="宋体" w:hAnsi="宋体" w:eastAsia="宋体" w:cs="宋体"/>
                <w:b/>
                <w:bCs/>
                <w:kern w:val="0"/>
                <w:sz w:val="21"/>
                <w:szCs w:val="21"/>
                <w:lang w:bidi="ar"/>
              </w:rPr>
            </w:pPr>
            <w:r>
              <w:rPr>
                <w:rFonts w:hint="eastAsia" w:ascii="宋体" w:hAnsi="宋体" w:eastAsia="宋体" w:cs="宋体"/>
                <w:kern w:val="0"/>
                <w:sz w:val="21"/>
                <w:szCs w:val="21"/>
                <w:lang w:bidi="ar"/>
              </w:rPr>
              <w:t>台</w:t>
            </w:r>
          </w:p>
        </w:tc>
      </w:tr>
    </w:tbl>
    <w:p>
      <w:pPr>
        <w:rPr>
          <w:rFonts w:hint="eastAsia" w:ascii="宋体" w:hAnsi="宋体" w:cs="宋体"/>
          <w:szCs w:val="21"/>
        </w:rPr>
      </w:pPr>
    </w:p>
    <w:p>
      <w:pPr>
        <w:pStyle w:val="6"/>
        <w:spacing w:line="400" w:lineRule="exact"/>
        <w:ind w:left="0" w:leftChars="0" w:firstLine="0" w:firstLineChars="0"/>
        <w:jc w:val="left"/>
        <w:rPr>
          <w:rFonts w:hint="eastAsia" w:ascii="宋体" w:hAnsi="宋体" w:cs="宋体"/>
          <w:b/>
          <w:bCs/>
          <w:szCs w:val="21"/>
        </w:rPr>
      </w:pPr>
      <w:r>
        <w:rPr>
          <w:rFonts w:hint="eastAsia" w:ascii="宋体" w:hAnsi="宋体" w:cs="宋体"/>
          <w:b/>
          <w:bCs/>
          <w:szCs w:val="21"/>
        </w:rPr>
        <w:t>二、商务要求</w:t>
      </w:r>
    </w:p>
    <w:p>
      <w:pPr>
        <w:rPr>
          <w:rFonts w:hint="eastAsia" w:asciiTheme="minorEastAsia" w:hAnsiTheme="minorEastAsia"/>
          <w:sz w:val="24"/>
        </w:rPr>
      </w:pPr>
      <w:r>
        <w:rPr>
          <w:rFonts w:hint="eastAsia" w:asciiTheme="minorEastAsia" w:hAnsiTheme="minorEastAsia"/>
          <w:sz w:val="24"/>
        </w:rPr>
        <w:t>(一）、资格说明：</w:t>
      </w:r>
    </w:p>
    <w:p>
      <w:pPr>
        <w:rPr>
          <w:rFonts w:hint="eastAsia" w:asciiTheme="minorEastAsia" w:hAnsiTheme="minorEastAsia"/>
          <w:sz w:val="24"/>
        </w:rPr>
      </w:pPr>
      <w:r>
        <w:rPr>
          <w:rFonts w:hint="eastAsia" w:asciiTheme="minorEastAsia" w:hAnsiTheme="minorEastAsia"/>
          <w:sz w:val="24"/>
        </w:rPr>
        <w:t>供应商应确保中标后能正常供货，且必须满足以上全部商务条款，否则竟价无效。供应商参加此次竞价，即视为完全了解、明白并同意上述要求。一旦发现虚假响应，即使确认成交也将被取消供货资格，采购人有权追究供应商责任并向监督部门投诉。</w:t>
      </w:r>
    </w:p>
    <w:p>
      <w:pPr>
        <w:rPr>
          <w:rFonts w:hint="eastAsia" w:asciiTheme="minorEastAsia" w:hAnsiTheme="minorEastAsia"/>
          <w:sz w:val="24"/>
        </w:rPr>
      </w:pPr>
      <w:r>
        <w:rPr>
          <w:rFonts w:hint="eastAsia" w:asciiTheme="minorEastAsia" w:hAnsiTheme="minorEastAsia"/>
          <w:sz w:val="24"/>
        </w:rPr>
        <w:t>（二）、诚信与责任：</w:t>
      </w:r>
    </w:p>
    <w:p>
      <w:pPr>
        <w:rPr>
          <w:rFonts w:hint="eastAsia" w:asciiTheme="minorEastAsia" w:hAnsiTheme="minorEastAsia"/>
          <w:sz w:val="24"/>
          <w:highlight w:val="none"/>
        </w:rPr>
      </w:pPr>
      <w:r>
        <w:rPr>
          <w:rFonts w:hint="eastAsia" w:asciiTheme="minorEastAsia" w:hAnsiTheme="minorEastAsia"/>
          <w:sz w:val="24"/>
          <w:highlight w:val="none"/>
        </w:rPr>
        <w:t>1、招标所有参数作为实质性条款必须满足，否则视为无效报价。</w:t>
      </w:r>
    </w:p>
    <w:p>
      <w:pPr>
        <w:rPr>
          <w:rFonts w:hint="eastAsia" w:asciiTheme="minorEastAsia" w:hAnsiTheme="minorEastAsia"/>
          <w:sz w:val="24"/>
          <w:highlight w:val="none"/>
        </w:rPr>
      </w:pPr>
      <w:r>
        <w:rPr>
          <w:rFonts w:hint="eastAsia" w:asciiTheme="minorEastAsia" w:hAnsiTheme="minorEastAsia"/>
          <w:sz w:val="24"/>
          <w:highlight w:val="none"/>
        </w:rPr>
        <w:t>2、供应商使用不符合参数要求、非推荐品牌的商品和服务进行恶意、低价报价，无正当理由放弃成交结果，相互串通，不按询价单、竞价单、需求单要求报价，造成采购单位工期进度延迟的，将向政采云、监督部门进行反馈情况，后果由供应商承担。</w:t>
      </w:r>
    </w:p>
    <w:p>
      <w:pPr>
        <w:rPr>
          <w:rFonts w:hint="eastAsia" w:asciiTheme="minorEastAsia" w:hAnsiTheme="minorEastAsia"/>
          <w:sz w:val="24"/>
          <w:highlight w:val="none"/>
        </w:rPr>
      </w:pPr>
      <w:r>
        <w:rPr>
          <w:rFonts w:hint="eastAsia" w:asciiTheme="minorEastAsia" w:hAnsiTheme="minorEastAsia"/>
          <w:sz w:val="24"/>
          <w:highlight w:val="none"/>
        </w:rPr>
        <w:t>3、投标时，上传提供参数中要求提供的检测报告、证书复印件</w:t>
      </w:r>
      <w:r>
        <w:rPr>
          <w:rFonts w:hint="eastAsia" w:asciiTheme="minorEastAsia" w:hAnsiTheme="minorEastAsia"/>
          <w:sz w:val="24"/>
          <w:highlight w:val="none"/>
          <w:lang w:val="en-US" w:eastAsia="zh-CN"/>
        </w:rPr>
        <w:t>及质保函</w:t>
      </w:r>
      <w:r>
        <w:rPr>
          <w:rFonts w:hint="eastAsia" w:asciiTheme="minorEastAsia" w:hAnsiTheme="minorEastAsia"/>
          <w:sz w:val="24"/>
          <w:highlight w:val="none"/>
        </w:rPr>
        <w:t>(加盖生产厂家公章、供应商公章)，否则竟价无效。</w:t>
      </w:r>
    </w:p>
    <w:p>
      <w:pPr>
        <w:rPr>
          <w:rFonts w:hint="eastAsia" w:asciiTheme="minorEastAsia" w:hAnsiTheme="minorEastAsia"/>
          <w:sz w:val="24"/>
        </w:rPr>
      </w:pPr>
      <w:r>
        <w:rPr>
          <w:rFonts w:hint="eastAsia" w:asciiTheme="minorEastAsia" w:hAnsiTheme="minorEastAsia"/>
          <w:sz w:val="24"/>
        </w:rPr>
        <w:t>4、供货时商品原包装应完好无损，且未开封，包含所有官方原厂配件，说明书等资料。</w:t>
      </w:r>
    </w:p>
    <w:p>
      <w:pPr>
        <w:rPr>
          <w:rFonts w:hint="eastAsia" w:asciiTheme="minorEastAsia" w:hAnsiTheme="minorEastAsia"/>
          <w:sz w:val="24"/>
        </w:rPr>
      </w:pPr>
      <w:r>
        <w:rPr>
          <w:rFonts w:hint="eastAsia" w:asciiTheme="minorEastAsia" w:hAnsiTheme="minorEastAsia"/>
          <w:sz w:val="24"/>
        </w:rPr>
        <w:t>（三）、项目报价：</w:t>
      </w:r>
    </w:p>
    <w:p>
      <w:pPr>
        <w:rPr>
          <w:rFonts w:hint="eastAsia" w:asciiTheme="minorEastAsia" w:hAnsiTheme="minorEastAsia"/>
          <w:sz w:val="24"/>
        </w:rPr>
      </w:pPr>
      <w:r>
        <w:rPr>
          <w:rFonts w:hint="eastAsia" w:asciiTheme="minorEastAsia" w:hAnsiTheme="minorEastAsia"/>
          <w:sz w:val="24"/>
        </w:rPr>
        <w:t>1、本项目报价含供应商供应的产品交付采购方并能正常使用的一切费用，包括但不限于:税费，运输费、装卸费、安装调试费，系统对接费，培训费、技术服务费、测试费，文明施工费、现场清理费、垃圾清运费，未列明的辅材费等，采购人不再支付其他任何费用。</w:t>
      </w:r>
    </w:p>
    <w:p>
      <w:pPr>
        <w:rPr>
          <w:rFonts w:hint="eastAsia" w:asciiTheme="minorEastAsia" w:hAnsiTheme="minorEastAsia"/>
          <w:sz w:val="24"/>
        </w:rPr>
      </w:pPr>
      <w:r>
        <w:rPr>
          <w:rFonts w:hint="eastAsia" w:asciiTheme="minorEastAsia" w:hAnsiTheme="minorEastAsia"/>
          <w:sz w:val="24"/>
        </w:rPr>
        <w:t>2、报价时上传报价清单（格式后附）及技术偏离表（格式自拟），并加盖公章。若未提交“报价清单”按无效报价处理、若未提交“技术偏离表”视同完全响应满足技术参数要求。</w:t>
      </w:r>
    </w:p>
    <w:p>
      <w:pPr>
        <w:rPr>
          <w:rFonts w:hint="eastAsia" w:asciiTheme="minorEastAsia" w:hAnsiTheme="minorEastAsia"/>
          <w:sz w:val="24"/>
        </w:rPr>
      </w:pPr>
      <w:r>
        <w:rPr>
          <w:rFonts w:hint="eastAsia" w:asciiTheme="minorEastAsia" w:hAnsiTheme="minorEastAsia"/>
          <w:sz w:val="24"/>
        </w:rPr>
        <w:t>3、报价时间截止接用户预中标成交信息后，3个工作日内提供各产品技术参数中要求的相关资料，无法完整提供或逾期提供按无效报价处理。</w:t>
      </w:r>
    </w:p>
    <w:p>
      <w:pPr>
        <w:rPr>
          <w:rFonts w:hint="eastAsia" w:asciiTheme="minorEastAsia" w:hAnsiTheme="minorEastAsia"/>
          <w:sz w:val="24"/>
        </w:rPr>
      </w:pPr>
      <w:r>
        <w:rPr>
          <w:rFonts w:hint="eastAsia" w:asciiTheme="minorEastAsia" w:hAnsiTheme="minorEastAsia"/>
          <w:sz w:val="24"/>
        </w:rPr>
        <w:t>（四）、交货时间：</w:t>
      </w:r>
    </w:p>
    <w:p>
      <w:pPr>
        <w:rPr>
          <w:rFonts w:hint="eastAsia" w:asciiTheme="minorEastAsia" w:hAnsiTheme="minorEastAsia"/>
          <w:sz w:val="24"/>
        </w:rPr>
      </w:pPr>
      <w:r>
        <w:rPr>
          <w:rFonts w:hint="eastAsia" w:asciiTheme="minorEastAsia" w:hAnsiTheme="minorEastAsia"/>
          <w:sz w:val="24"/>
        </w:rPr>
        <w:t>合同签订后3日内交货到用户指定地点，必须一次性完成送货，不可分批送货，不接受快递、物流等方式送货；5日内完成安装调试。</w:t>
      </w:r>
    </w:p>
    <w:p>
      <w:pPr>
        <w:rPr>
          <w:rFonts w:hint="eastAsia" w:asciiTheme="minorEastAsia" w:hAnsiTheme="minorEastAsia"/>
          <w:sz w:val="24"/>
        </w:rPr>
      </w:pPr>
      <w:r>
        <w:rPr>
          <w:rFonts w:hint="eastAsia" w:asciiTheme="minorEastAsia" w:hAnsiTheme="minorEastAsia"/>
          <w:sz w:val="24"/>
        </w:rPr>
        <w:t>（五）、售后：</w:t>
      </w:r>
    </w:p>
    <w:p>
      <w:pPr>
        <w:rPr>
          <w:rFonts w:hint="eastAsia" w:asciiTheme="minorEastAsia" w:hAnsiTheme="minorEastAsia"/>
          <w:sz w:val="24"/>
        </w:rPr>
      </w:pPr>
      <w:r>
        <w:rPr>
          <w:rFonts w:hint="eastAsia" w:asciiTheme="minorEastAsia" w:hAnsiTheme="minorEastAsia"/>
          <w:sz w:val="24"/>
        </w:rPr>
        <w:t>1、核心交换机需提供3年质保服务（提供原厂商针对本项目质保承诺函原件）。</w:t>
      </w:r>
    </w:p>
    <w:p>
      <w:pPr>
        <w:rPr>
          <w:rFonts w:hint="eastAsia" w:asciiTheme="minorEastAsia" w:hAnsiTheme="minorEastAsia"/>
          <w:sz w:val="24"/>
          <w:lang w:eastAsia="zh-CN"/>
        </w:rPr>
      </w:pPr>
      <w:r>
        <w:rPr>
          <w:rFonts w:hint="eastAsia" w:asciiTheme="minorEastAsia" w:hAnsiTheme="minorEastAsia"/>
          <w:sz w:val="24"/>
          <w:lang w:val="en-US" w:eastAsia="zh-CN"/>
        </w:rPr>
        <w:t>2、</w:t>
      </w:r>
      <w:r>
        <w:rPr>
          <w:rFonts w:hint="eastAsia" w:asciiTheme="minorEastAsia" w:hAnsiTheme="minorEastAsia"/>
          <w:sz w:val="24"/>
        </w:rPr>
        <w:t>提供全面的售后服务，包括但不限于设备安装调试</w:t>
      </w:r>
      <w:r>
        <w:rPr>
          <w:rFonts w:hint="eastAsia" w:asciiTheme="minorEastAsia" w:hAnsiTheme="minorEastAsia"/>
          <w:sz w:val="24"/>
          <w:lang w:eastAsia="zh-CN"/>
        </w:rPr>
        <w:t>（</w:t>
      </w:r>
      <w:r>
        <w:rPr>
          <w:rFonts w:hint="eastAsia" w:asciiTheme="minorEastAsia" w:hAnsiTheme="minorEastAsia"/>
          <w:sz w:val="24"/>
        </w:rPr>
        <w:t>包括IP地址、子网掩码、网关</w:t>
      </w:r>
      <w:r>
        <w:rPr>
          <w:rFonts w:hint="eastAsia" w:asciiTheme="minorEastAsia" w:hAnsiTheme="minorEastAsia"/>
          <w:sz w:val="24"/>
          <w:lang w:eastAsia="zh-CN"/>
        </w:rPr>
        <w:t>，</w:t>
      </w:r>
      <w:r>
        <w:rPr>
          <w:rFonts w:hint="eastAsia" w:asciiTheme="minorEastAsia" w:hAnsiTheme="minorEastAsia"/>
          <w:sz w:val="24"/>
          <w:highlight w:val="none"/>
          <w:lang w:val="en-US" w:eastAsia="zh-CN"/>
        </w:rPr>
        <w:t>与上级法院的对接</w:t>
      </w:r>
      <w:r>
        <w:rPr>
          <w:rFonts w:hint="eastAsia" w:asciiTheme="minorEastAsia" w:hAnsiTheme="minorEastAsia"/>
          <w:sz w:val="24"/>
          <w:highlight w:val="none"/>
        </w:rPr>
        <w:t>等</w:t>
      </w:r>
      <w:r>
        <w:rPr>
          <w:rFonts w:hint="eastAsia" w:asciiTheme="minorEastAsia" w:hAnsiTheme="minorEastAsia"/>
          <w:sz w:val="24"/>
          <w:highlight w:val="none"/>
          <w:lang w:eastAsia="zh-CN"/>
        </w:rPr>
        <w:t>）</w:t>
      </w:r>
      <w:r>
        <w:rPr>
          <w:rFonts w:hint="eastAsia" w:asciiTheme="minorEastAsia" w:hAnsiTheme="minorEastAsia"/>
          <w:sz w:val="24"/>
        </w:rPr>
        <w:t>、故障排除、技术培训和系统升级</w:t>
      </w:r>
      <w:r>
        <w:rPr>
          <w:rFonts w:hint="eastAsia" w:asciiTheme="minorEastAsia" w:hAnsiTheme="minorEastAsia"/>
          <w:sz w:val="24"/>
          <w:lang w:eastAsia="zh-CN"/>
        </w:rPr>
        <w:t>。</w:t>
      </w:r>
    </w:p>
    <w:p>
      <w:pPr>
        <w:rPr>
          <w:rFonts w:hint="eastAsia" w:asciiTheme="minorEastAsia" w:hAnsiTheme="minorEastAsia"/>
          <w:sz w:val="24"/>
        </w:rPr>
      </w:pPr>
      <w:r>
        <w:rPr>
          <w:rFonts w:hint="eastAsia" w:asciiTheme="minorEastAsia" w:hAnsiTheme="minorEastAsia"/>
          <w:sz w:val="24"/>
          <w:lang w:val="en-US" w:eastAsia="zh-CN"/>
        </w:rPr>
        <w:t>3</w:t>
      </w:r>
      <w:r>
        <w:rPr>
          <w:rFonts w:hint="eastAsia" w:asciiTheme="minorEastAsia" w:hAnsiTheme="minorEastAsia"/>
          <w:sz w:val="24"/>
        </w:rPr>
        <w:t>、投标供应商若非本地公司须在本地有分公司、办事处或售后服务网点，配有专人和专线电话。设备出现故障或维修需求后，30分钟内响应，1小时内到达现场；如不能解决问题的，提供备机。</w:t>
      </w:r>
    </w:p>
    <w:p>
      <w:pPr>
        <w:rPr>
          <w:rFonts w:hint="eastAsia" w:asciiTheme="minorEastAsia" w:hAnsiTheme="minorEastAsia"/>
          <w:sz w:val="24"/>
        </w:rPr>
      </w:pPr>
      <w:r>
        <w:rPr>
          <w:rFonts w:hint="eastAsia" w:asciiTheme="minorEastAsia" w:hAnsiTheme="minorEastAsia"/>
          <w:sz w:val="24"/>
          <w:lang w:val="en-US" w:eastAsia="zh-CN"/>
        </w:rPr>
        <w:t>4</w:t>
      </w:r>
      <w:r>
        <w:rPr>
          <w:rFonts w:hint="eastAsia" w:asciiTheme="minorEastAsia" w:hAnsiTheme="minorEastAsia"/>
          <w:sz w:val="24"/>
        </w:rPr>
        <w:t>、出现故障后，中标人如未按上述要求进行响应，采购人可以采取必要的补救措施，由此产生的风险和费用将由中标人承担。</w:t>
      </w:r>
    </w:p>
    <w:p>
      <w:pPr>
        <w:rPr>
          <w:rFonts w:hint="eastAsia" w:asciiTheme="minorEastAsia" w:hAnsiTheme="minorEastAsia"/>
          <w:sz w:val="24"/>
        </w:rPr>
      </w:pPr>
      <w:r>
        <w:rPr>
          <w:rFonts w:hint="eastAsia" w:asciiTheme="minorEastAsia" w:hAnsiTheme="minorEastAsia"/>
          <w:sz w:val="24"/>
          <w:lang w:val="en-US" w:eastAsia="zh-CN"/>
        </w:rPr>
        <w:t>5</w:t>
      </w:r>
      <w:r>
        <w:rPr>
          <w:rFonts w:hint="eastAsia" w:asciiTheme="minorEastAsia" w:hAnsiTheme="minorEastAsia"/>
          <w:sz w:val="24"/>
        </w:rPr>
        <w:t>、供应商供货时附上设备标签条，标签内容包含：设备名称、供应商名称、维保期限、维保电话等相关信息。</w:t>
      </w:r>
    </w:p>
    <w:p>
      <w:pPr>
        <w:rPr>
          <w:rFonts w:hint="eastAsia" w:asciiTheme="minorEastAsia" w:hAnsiTheme="minorEastAsia"/>
          <w:sz w:val="24"/>
        </w:rPr>
      </w:pPr>
      <w:r>
        <w:rPr>
          <w:rFonts w:hint="eastAsia" w:asciiTheme="minorEastAsia" w:hAnsiTheme="minorEastAsia"/>
          <w:sz w:val="24"/>
        </w:rPr>
        <w:t>▲以上商务条款中标供应商必须全部满足，否则报价无效。</w:t>
      </w:r>
    </w:p>
    <w:p>
      <w:pPr>
        <w:rPr>
          <w:rFonts w:hint="eastAsia" w:asciiTheme="minorEastAsia" w:hAnsiTheme="minorEastAsia"/>
          <w:sz w:val="24"/>
        </w:rPr>
      </w:pPr>
    </w:p>
    <w:p>
      <w:pPr>
        <w:pStyle w:val="6"/>
        <w:ind w:left="0" w:leftChars="0" w:firstLine="0" w:firstLineChars="0"/>
        <w:rPr>
          <w:rFonts w:hint="eastAsia" w:ascii="宋体" w:hAnsi="宋体" w:cs="宋体"/>
          <w:b/>
          <w:bCs/>
          <w:szCs w:val="21"/>
        </w:rPr>
      </w:pPr>
    </w:p>
    <w:p>
      <w:pPr>
        <w:pStyle w:val="6"/>
        <w:ind w:left="0" w:leftChars="0" w:firstLine="0" w:firstLineChars="0"/>
        <w:rPr>
          <w:rFonts w:hint="eastAsia" w:ascii="宋体" w:hAnsi="宋体" w:cs="宋体"/>
          <w:b/>
          <w:bCs/>
          <w:szCs w:val="21"/>
        </w:rPr>
      </w:pPr>
      <w:r>
        <w:rPr>
          <w:rFonts w:hint="eastAsia" w:ascii="宋体" w:hAnsi="宋体" w:cs="宋体"/>
          <w:b/>
          <w:bCs/>
          <w:szCs w:val="21"/>
        </w:rPr>
        <w:t>附件一：</w:t>
      </w:r>
      <w:r>
        <w:rPr>
          <w:rFonts w:ascii="宋体" w:hAnsi="宋体" w:cs="宋体"/>
          <w:b/>
          <w:bCs/>
          <w:szCs w:val="21"/>
        </w:rPr>
        <w:t>报价</w:t>
      </w:r>
      <w:r>
        <w:rPr>
          <w:rFonts w:hint="eastAsia" w:ascii="宋体" w:hAnsi="宋体" w:cs="宋体"/>
          <w:b/>
          <w:bCs/>
          <w:szCs w:val="21"/>
        </w:rPr>
        <w:t>清</w:t>
      </w:r>
      <w:r>
        <w:rPr>
          <w:rFonts w:ascii="宋体" w:hAnsi="宋体" w:cs="宋体"/>
          <w:b/>
          <w:bCs/>
          <w:szCs w:val="21"/>
        </w:rPr>
        <w:t>单格式</w:t>
      </w:r>
    </w:p>
    <w:tbl>
      <w:tblPr>
        <w:tblStyle w:val="8"/>
        <w:tblW w:w="9953" w:type="dxa"/>
        <w:tblInd w:w="-734" w:type="dxa"/>
        <w:tblLayout w:type="fixed"/>
        <w:tblCellMar>
          <w:top w:w="0" w:type="dxa"/>
          <w:left w:w="108" w:type="dxa"/>
          <w:bottom w:w="0" w:type="dxa"/>
          <w:right w:w="108" w:type="dxa"/>
        </w:tblCellMar>
      </w:tblPr>
      <w:tblGrid>
        <w:gridCol w:w="836"/>
        <w:gridCol w:w="571"/>
        <w:gridCol w:w="1407"/>
        <w:gridCol w:w="1167"/>
        <w:gridCol w:w="1296"/>
        <w:gridCol w:w="1031"/>
        <w:gridCol w:w="1095"/>
        <w:gridCol w:w="990"/>
        <w:gridCol w:w="1560"/>
      </w:tblGrid>
      <w:tr>
        <w:tblPrEx>
          <w:tblCellMar>
            <w:top w:w="0" w:type="dxa"/>
            <w:left w:w="108" w:type="dxa"/>
            <w:bottom w:w="0" w:type="dxa"/>
            <w:right w:w="108" w:type="dxa"/>
          </w:tblCellMar>
        </w:tblPrEx>
        <w:trPr>
          <w:trHeight w:val="600" w:hRule="atLeast"/>
        </w:trPr>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1978"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设备名称</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品牌</w:t>
            </w:r>
          </w:p>
        </w:tc>
        <w:tc>
          <w:tcPr>
            <w:tcW w:w="1296"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b/>
                <w:bCs/>
                <w:color w:val="000000"/>
                <w:szCs w:val="21"/>
                <w:lang w:val="en-US" w:eastAsia="zh-CN"/>
              </w:rPr>
            </w:pPr>
            <w:r>
              <w:rPr>
                <w:rFonts w:hint="eastAsia" w:ascii="宋体" w:hAnsi="宋体" w:cs="宋体"/>
                <w:b/>
                <w:bCs/>
                <w:color w:val="000000"/>
                <w:kern w:val="0"/>
                <w:szCs w:val="21"/>
                <w:lang w:val="en-US" w:eastAsia="zh-CN" w:bidi="ar"/>
              </w:rPr>
              <w:t>型号</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val="en-US" w:eastAsia="zh-CN" w:bidi="ar"/>
              </w:rPr>
              <w:t>数量</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color w:val="000000"/>
                <w:szCs w:val="21"/>
                <w:lang w:eastAsia="zh-CN"/>
              </w:rPr>
            </w:pPr>
            <w:r>
              <w:rPr>
                <w:rFonts w:hint="eastAsia" w:ascii="宋体" w:hAnsi="宋体" w:cs="宋体"/>
                <w:b/>
                <w:bCs/>
                <w:color w:val="000000"/>
                <w:szCs w:val="21"/>
                <w:lang w:val="en-US" w:eastAsia="zh-CN"/>
              </w:rPr>
              <w:t>单位</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color w:val="000000"/>
                <w:kern w:val="0"/>
                <w:szCs w:val="21"/>
                <w:lang w:eastAsia="zh-CN" w:bidi="ar"/>
              </w:rPr>
            </w:pPr>
            <w:r>
              <w:rPr>
                <w:rFonts w:hint="eastAsia" w:ascii="宋体" w:hAnsi="宋体" w:cs="宋体"/>
                <w:b/>
                <w:bCs/>
                <w:color w:val="000000"/>
                <w:kern w:val="0"/>
                <w:szCs w:val="21"/>
                <w:lang w:val="en-US" w:eastAsia="zh-CN" w:bidi="ar"/>
              </w:rPr>
              <w:t>单价</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color w:val="000000"/>
                <w:kern w:val="0"/>
                <w:szCs w:val="21"/>
                <w:lang w:eastAsia="zh-CN" w:bidi="ar"/>
              </w:rPr>
            </w:pPr>
            <w:r>
              <w:rPr>
                <w:rFonts w:hint="eastAsia" w:ascii="宋体" w:hAnsi="宋体" w:cs="宋体"/>
                <w:b/>
                <w:bCs/>
                <w:color w:val="000000"/>
                <w:kern w:val="0"/>
                <w:szCs w:val="21"/>
                <w:lang w:val="en-US" w:eastAsia="zh-CN" w:bidi="ar"/>
              </w:rPr>
              <w:t>金额</w:t>
            </w:r>
          </w:p>
        </w:tc>
      </w:tr>
      <w:tr>
        <w:tblPrEx>
          <w:tblCellMar>
            <w:top w:w="0" w:type="dxa"/>
            <w:left w:w="108" w:type="dxa"/>
            <w:bottom w:w="0" w:type="dxa"/>
            <w:right w:w="108" w:type="dxa"/>
          </w:tblCellMar>
        </w:tblPrEx>
        <w:trPr>
          <w:trHeight w:val="600" w:hRule="atLeast"/>
        </w:trPr>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textAlignment w:val="center"/>
              <w:rPr>
                <w:rFonts w:hint="eastAsia" w:ascii="宋体" w:hAnsi="宋体" w:cs="宋体"/>
                <w:color w:val="000000"/>
                <w:szCs w:val="21"/>
              </w:rPr>
            </w:pPr>
            <w:r>
              <w:rPr>
                <w:rFonts w:hint="eastAsia" w:ascii="宋体" w:hAnsi="宋体" w:cs="宋体"/>
                <w:color w:val="000000"/>
                <w:szCs w:val="21"/>
              </w:rPr>
              <w:t>核心交换机</w:t>
            </w:r>
          </w:p>
        </w:tc>
        <w:tc>
          <w:tcPr>
            <w:tcW w:w="1167"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Cs w:val="21"/>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Cs w:val="21"/>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firstLineChars="200"/>
              <w:rPr>
                <w:rFonts w:hint="eastAsia" w:ascii="宋体" w:hAnsi="宋体" w:eastAsia="宋体" w:cs="宋体"/>
                <w:color w:val="auto"/>
                <w:szCs w:val="21"/>
                <w:lang w:val="en-US" w:eastAsia="zh-CN"/>
              </w:rPr>
            </w:pPr>
            <w:r>
              <w:rPr>
                <w:rFonts w:hint="eastAsia" w:ascii="宋体" w:hAnsi="宋体" w:cs="宋体"/>
                <w:color w:val="auto"/>
                <w:szCs w:val="21"/>
                <w:lang w:val="en-US" w:eastAsia="zh-CN"/>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FF0000"/>
                <w:szCs w:val="2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color w:val="FF0000"/>
                <w:szCs w:val="21"/>
              </w:rPr>
            </w:pPr>
          </w:p>
        </w:tc>
      </w:tr>
      <w:tr>
        <w:tblPrEx>
          <w:tblCellMar>
            <w:top w:w="0" w:type="dxa"/>
            <w:left w:w="108" w:type="dxa"/>
            <w:bottom w:w="0" w:type="dxa"/>
            <w:right w:w="108" w:type="dxa"/>
          </w:tblCellMar>
        </w:tblPrEx>
        <w:trPr>
          <w:trHeight w:val="600" w:hRule="atLeast"/>
        </w:trPr>
        <w:tc>
          <w:tcPr>
            <w:tcW w:w="14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b/>
                <w:bCs/>
                <w:color w:val="000000"/>
                <w:kern w:val="0"/>
                <w:szCs w:val="21"/>
                <w:lang w:bidi="ar"/>
              </w:rPr>
              <w:t>合计</w:t>
            </w:r>
          </w:p>
        </w:tc>
        <w:tc>
          <w:tcPr>
            <w:tcW w:w="854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6746" w:firstLineChars="3200"/>
              <w:rPr>
                <w:rFonts w:hint="eastAsia" w:ascii="宋体" w:hAnsi="宋体" w:cs="宋体"/>
                <w:color w:val="FF0000"/>
                <w:szCs w:val="21"/>
              </w:rPr>
            </w:pPr>
            <w:r>
              <w:rPr>
                <w:rFonts w:hint="eastAsia" w:ascii="宋体" w:hAnsi="宋体" w:cs="宋体"/>
                <w:b/>
                <w:bCs/>
                <w:color w:val="000000"/>
                <w:kern w:val="0"/>
                <w:szCs w:val="21"/>
                <w:lang w:bidi="ar"/>
              </w:rPr>
              <w:t>元整</w:t>
            </w:r>
          </w:p>
        </w:tc>
      </w:tr>
    </w:tbl>
    <w:p>
      <w:pPr>
        <w:rPr>
          <w:szCs w:val="21"/>
        </w:rPr>
      </w:pPr>
    </w:p>
    <w:p>
      <w:pPr>
        <w:pStyle w:val="6"/>
        <w:rPr>
          <w:szCs w:val="21"/>
        </w:rPr>
      </w:pPr>
    </w:p>
    <w:p>
      <w:pPr>
        <w:ind w:left="422" w:hanging="422" w:hangingChars="200"/>
        <w:rPr>
          <w:b/>
          <w:bCs/>
          <w:szCs w:val="21"/>
        </w:rPr>
      </w:pPr>
    </w:p>
    <w:p>
      <w:pPr>
        <w:ind w:left="422" w:hanging="422" w:hangingChars="200"/>
        <w:rPr>
          <w:b/>
          <w:bCs/>
          <w:szCs w:val="21"/>
        </w:rPr>
      </w:pPr>
      <w:r>
        <w:rPr>
          <w:rFonts w:hint="eastAsia"/>
          <w:b/>
          <w:bCs/>
          <w:szCs w:val="21"/>
        </w:rPr>
        <w:t>附件二：技术偏离表</w:t>
      </w:r>
    </w:p>
    <w:p>
      <w:pPr>
        <w:rPr>
          <w:szCs w:val="21"/>
        </w:rPr>
      </w:pPr>
      <w:r>
        <w:rPr>
          <w:rFonts w:hint="eastAsia"/>
          <w:szCs w:val="21"/>
        </w:rPr>
        <w:t>格式自拟</w:t>
      </w:r>
    </w:p>
    <w:p>
      <w:pPr>
        <w:pStyle w:val="6"/>
        <w:ind w:left="0" w:leftChars="0" w:firstLine="0" w:firstLineChars="0"/>
        <w:rPr>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仿宋 Std R">
    <w:altName w:val="宋体"/>
    <w:panose1 w:val="00000000000000000000"/>
    <w:charset w:val="86"/>
    <w:family w:val="roman"/>
    <w:pitch w:val="default"/>
    <w:sig w:usb0="00000000" w:usb1="0000000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554699"/>
    <w:rsid w:val="00336F28"/>
    <w:rsid w:val="00641A1E"/>
    <w:rsid w:val="009E74E4"/>
    <w:rsid w:val="04BC31E1"/>
    <w:rsid w:val="13CE4842"/>
    <w:rsid w:val="144A5052"/>
    <w:rsid w:val="147A02E6"/>
    <w:rsid w:val="1DAF6DB2"/>
    <w:rsid w:val="284A42FE"/>
    <w:rsid w:val="2FC305A3"/>
    <w:rsid w:val="315A71EA"/>
    <w:rsid w:val="3220256B"/>
    <w:rsid w:val="3E5F540E"/>
    <w:rsid w:val="45B03BD7"/>
    <w:rsid w:val="48B30DF6"/>
    <w:rsid w:val="49021D2F"/>
    <w:rsid w:val="4B554699"/>
    <w:rsid w:val="50506A50"/>
    <w:rsid w:val="56AD02B8"/>
    <w:rsid w:val="58142548"/>
    <w:rsid w:val="5999733F"/>
    <w:rsid w:val="6C264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styleId="3">
    <w:name w:val="Body Text Indent"/>
    <w:basedOn w:val="1"/>
    <w:next w:val="2"/>
    <w:qFormat/>
    <w:uiPriority w:val="0"/>
    <w:pPr>
      <w:spacing w:after="120"/>
      <w:ind w:left="420" w:leftChars="200"/>
    </w:pPr>
  </w:style>
  <w:style w:type="paragraph" w:styleId="4">
    <w:name w:val="annotation text"/>
    <w:basedOn w:val="1"/>
    <w:unhideWhenUsed/>
    <w:qFormat/>
    <w:uiPriority w:val="99"/>
    <w:pPr>
      <w:jc w:val="left"/>
    </w:pPr>
  </w:style>
  <w:style w:type="paragraph" w:styleId="5">
    <w:name w:val="Body Text"/>
    <w:basedOn w:val="1"/>
    <w:next w:val="1"/>
    <w:qFormat/>
    <w:uiPriority w:val="0"/>
    <w:pPr>
      <w:spacing w:after="120"/>
    </w:pPr>
  </w:style>
  <w:style w:type="paragraph" w:styleId="6">
    <w:name w:val="Body Text First Indent 2"/>
    <w:basedOn w:val="3"/>
    <w:next w:val="7"/>
    <w:qFormat/>
    <w:uiPriority w:val="0"/>
    <w:pPr>
      <w:ind w:firstLine="420" w:firstLineChars="200"/>
    </w:pPr>
  </w:style>
  <w:style w:type="paragraph" w:customStyle="1" w:styleId="7">
    <w:name w:val="xl53"/>
    <w:basedOn w:val="1"/>
    <w:next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1"/>
    <w:qFormat/>
    <w:uiPriority w:val="0"/>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1706</Words>
  <Characters>1870</Characters>
  <Lines>13</Lines>
  <Paragraphs>3</Paragraphs>
  <TotalTime>7</TotalTime>
  <ScaleCrop>false</ScaleCrop>
  <LinksUpToDate>false</LinksUpToDate>
  <CharactersWithSpaces>1878</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2024-11-21T07:35:00Z</dcterms:created>
  <dc:creator>A</dc:creator>
  <cp:lastModifiedBy>Administrator</cp:lastModifiedBy>
  <dcterms:modified xsi:type="dcterms:W3CDTF">2025-03-17T08:25:37Z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41864464706F4991854D233BB12F016C</vt:lpwstr>
  </property>
  <property fmtid="{D5CDD505-2E9C-101B-9397-08002B2CF9AE}" pid="4" name="KSOTemplateDocerSaveRecord">
    <vt:lpwstr>eyJoZGlkIjoiOTUwZTRiNTkyMTNlNzYyNTc4NDNjMTg4MTJkNzZmOTMiLCJ1c2VySWQiOiIxNTUxNDkyOTQ5In0=</vt:lpwstr>
  </property>
</Properties>
</file>