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40F285">
      <w:pPr>
        <w:jc w:val="center"/>
        <w:rPr>
          <w:rFonts w:hint="eastAsia" w:ascii="宋体" w:hAnsi="宋体" w:eastAsia="宋体" w:cs="宋体"/>
          <w:b/>
          <w:bCs/>
          <w:sz w:val="36"/>
          <w:szCs w:val="36"/>
        </w:rPr>
      </w:pPr>
      <w:r>
        <w:rPr>
          <w:rFonts w:hint="eastAsia" w:ascii="宋体" w:hAnsi="宋体" w:eastAsia="宋体" w:cs="宋体"/>
          <w:b/>
          <w:bCs/>
          <w:sz w:val="36"/>
          <w:szCs w:val="36"/>
        </w:rPr>
        <w:t>浦江县浦阳第五小学大屏一体机设备</w:t>
      </w:r>
    </w:p>
    <w:p w14:paraId="299479BD">
      <w:pPr>
        <w:jc w:val="center"/>
        <w:rPr>
          <w:rFonts w:hint="eastAsia" w:asciiTheme="majorEastAsia" w:hAnsiTheme="majorEastAsia" w:eastAsiaTheme="majorEastAsia" w:cstheme="majorEastAsia"/>
          <w:b/>
          <w:bCs/>
          <w:sz w:val="32"/>
          <w:szCs w:val="32"/>
        </w:rPr>
      </w:pPr>
      <w:r>
        <w:rPr>
          <w:rFonts w:hint="eastAsia" w:asciiTheme="majorEastAsia" w:hAnsiTheme="majorEastAsia" w:eastAsiaTheme="majorEastAsia" w:cstheme="majorEastAsia"/>
          <w:b/>
          <w:bCs/>
          <w:sz w:val="32"/>
          <w:szCs w:val="32"/>
        </w:rPr>
        <w:t>采购技术参数需求</w:t>
      </w:r>
    </w:p>
    <w:tbl>
      <w:tblPr>
        <w:tblStyle w:val="7"/>
        <w:tblW w:w="10710" w:type="dxa"/>
        <w:tblInd w:w="-8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089"/>
        <w:gridCol w:w="1080"/>
        <w:gridCol w:w="1125"/>
        <w:gridCol w:w="4480"/>
        <w:gridCol w:w="710"/>
        <w:gridCol w:w="629"/>
        <w:gridCol w:w="952"/>
      </w:tblGrid>
      <w:tr w14:paraId="62107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645" w:type="dxa"/>
            <w:shd w:val="clear" w:color="auto" w:fill="auto"/>
            <w:vAlign w:val="center"/>
          </w:tcPr>
          <w:p w14:paraId="5B5830CD">
            <w:pPr>
              <w:widowControl/>
              <w:jc w:val="center"/>
              <w:rPr>
                <w:rFonts w:hint="eastAsia" w:cs="宋体" w:asciiTheme="minorEastAsia" w:hAnsiTheme="minorEastAsia" w:eastAsiaTheme="minorEastAsia"/>
                <w:b/>
                <w:bCs/>
                <w:kern w:val="0"/>
                <w:sz w:val="20"/>
                <w:szCs w:val="20"/>
              </w:rPr>
            </w:pPr>
            <w:bookmarkStart w:id="0" w:name="_Hlk169082741"/>
            <w:r>
              <w:rPr>
                <w:rFonts w:hint="eastAsia" w:cs="宋体" w:asciiTheme="minorEastAsia" w:hAnsiTheme="minorEastAsia" w:eastAsiaTheme="minorEastAsia"/>
                <w:b/>
                <w:bCs/>
                <w:kern w:val="0"/>
                <w:sz w:val="20"/>
                <w:szCs w:val="20"/>
              </w:rPr>
              <w:t>序号</w:t>
            </w:r>
          </w:p>
        </w:tc>
        <w:tc>
          <w:tcPr>
            <w:tcW w:w="1089" w:type="dxa"/>
            <w:shd w:val="clear" w:color="auto" w:fill="auto"/>
            <w:vAlign w:val="center"/>
          </w:tcPr>
          <w:p w14:paraId="615513FE">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配置说明</w:t>
            </w:r>
          </w:p>
        </w:tc>
        <w:tc>
          <w:tcPr>
            <w:tcW w:w="1080" w:type="dxa"/>
            <w:shd w:val="clear" w:color="auto" w:fill="auto"/>
            <w:vAlign w:val="center"/>
          </w:tcPr>
          <w:p w14:paraId="17ECEA37">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设备名称</w:t>
            </w:r>
          </w:p>
        </w:tc>
        <w:tc>
          <w:tcPr>
            <w:tcW w:w="1125" w:type="dxa"/>
            <w:shd w:val="clear" w:color="auto" w:fill="auto"/>
            <w:vAlign w:val="center"/>
          </w:tcPr>
          <w:p w14:paraId="76E20BE1">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推荐品牌</w:t>
            </w:r>
          </w:p>
        </w:tc>
        <w:tc>
          <w:tcPr>
            <w:tcW w:w="4480" w:type="dxa"/>
            <w:shd w:val="clear" w:color="auto" w:fill="auto"/>
            <w:vAlign w:val="center"/>
          </w:tcPr>
          <w:p w14:paraId="58EEB704">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技术参数</w:t>
            </w:r>
          </w:p>
        </w:tc>
        <w:tc>
          <w:tcPr>
            <w:tcW w:w="710" w:type="dxa"/>
            <w:shd w:val="clear" w:color="auto" w:fill="auto"/>
            <w:vAlign w:val="center"/>
          </w:tcPr>
          <w:p w14:paraId="58EFED18">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数量</w:t>
            </w:r>
          </w:p>
        </w:tc>
        <w:tc>
          <w:tcPr>
            <w:tcW w:w="629" w:type="dxa"/>
            <w:shd w:val="clear" w:color="auto" w:fill="auto"/>
            <w:vAlign w:val="center"/>
          </w:tcPr>
          <w:p w14:paraId="076786FE">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单位</w:t>
            </w:r>
          </w:p>
        </w:tc>
        <w:tc>
          <w:tcPr>
            <w:tcW w:w="952" w:type="dxa"/>
            <w:shd w:val="clear" w:color="auto" w:fill="auto"/>
            <w:vAlign w:val="center"/>
          </w:tcPr>
          <w:p w14:paraId="2D9063F9">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备注</w:t>
            </w:r>
          </w:p>
          <w:p w14:paraId="51E89106">
            <w:pPr>
              <w:widowControl/>
              <w:jc w:val="center"/>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rPr>
              <w:t>说明</w:t>
            </w:r>
          </w:p>
        </w:tc>
      </w:tr>
      <w:tr w14:paraId="1C00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645" w:type="dxa"/>
            <w:shd w:val="clear" w:color="auto" w:fill="auto"/>
            <w:vAlign w:val="center"/>
          </w:tcPr>
          <w:p w14:paraId="2C893B1A">
            <w:pPr>
              <w:widowControl/>
              <w:jc w:val="center"/>
              <w:rPr>
                <w:rFonts w:hint="eastAsia" w:cs="宋体" w:asciiTheme="minorEastAsia" w:hAnsiTheme="minorEastAsia" w:eastAsiaTheme="minorEastAsia"/>
                <w:kern w:val="0"/>
                <w:sz w:val="20"/>
                <w:szCs w:val="20"/>
              </w:rPr>
            </w:pPr>
            <w:r>
              <w:rPr>
                <w:rFonts w:hint="eastAsia" w:cs="宋体" w:asciiTheme="minorEastAsia" w:hAnsiTheme="minorEastAsia" w:eastAsiaTheme="minorEastAsia"/>
                <w:kern w:val="0"/>
                <w:sz w:val="20"/>
                <w:szCs w:val="20"/>
              </w:rPr>
              <w:t>1</w:t>
            </w:r>
          </w:p>
        </w:tc>
        <w:tc>
          <w:tcPr>
            <w:tcW w:w="1089" w:type="dxa"/>
            <w:shd w:val="clear" w:color="auto" w:fill="auto"/>
            <w:vAlign w:val="center"/>
          </w:tcPr>
          <w:p w14:paraId="27AD0FCA">
            <w:pPr>
              <w:widowControl/>
              <w:jc w:val="center"/>
              <w:rPr>
                <w:rFonts w:hint="eastAsia" w:cs="宋体" w:asciiTheme="minorEastAsia" w:hAnsiTheme="minorEastAsia" w:eastAsiaTheme="minorEastAsia"/>
                <w:kern w:val="0"/>
                <w:sz w:val="20"/>
                <w:szCs w:val="20"/>
              </w:rPr>
            </w:pPr>
            <w:r>
              <w:rPr>
                <w:rFonts w:hint="eastAsia" w:cs="宋体" w:asciiTheme="minorEastAsia" w:hAnsiTheme="minorEastAsia" w:eastAsiaTheme="minorEastAsia"/>
                <w:kern w:val="0"/>
                <w:sz w:val="20"/>
                <w:szCs w:val="20"/>
              </w:rPr>
              <w:t>大屏一体机</w:t>
            </w:r>
          </w:p>
        </w:tc>
        <w:tc>
          <w:tcPr>
            <w:tcW w:w="1080" w:type="dxa"/>
            <w:shd w:val="clear" w:color="auto" w:fill="auto"/>
            <w:vAlign w:val="center"/>
          </w:tcPr>
          <w:p w14:paraId="35438CD4">
            <w:pPr>
              <w:widowControl/>
              <w:jc w:val="center"/>
              <w:rPr>
                <w:rFonts w:hint="eastAsia" w:cs="宋体" w:asciiTheme="minorEastAsia" w:hAnsiTheme="minorEastAsia" w:eastAsiaTheme="minorEastAsia"/>
                <w:kern w:val="0"/>
                <w:sz w:val="20"/>
                <w:szCs w:val="20"/>
              </w:rPr>
            </w:pPr>
            <w:r>
              <w:rPr>
                <w:rFonts w:hint="eastAsia" w:cs="宋体" w:asciiTheme="minorEastAsia" w:hAnsiTheme="minorEastAsia" w:eastAsiaTheme="minorEastAsia"/>
                <w:kern w:val="0"/>
                <w:sz w:val="20"/>
                <w:szCs w:val="20"/>
              </w:rPr>
              <w:t>86大屏一体机</w:t>
            </w:r>
          </w:p>
        </w:tc>
        <w:tc>
          <w:tcPr>
            <w:tcW w:w="1125" w:type="dxa"/>
            <w:shd w:val="clear" w:color="auto" w:fill="auto"/>
            <w:vAlign w:val="center"/>
          </w:tcPr>
          <w:p w14:paraId="7B7E6FB0">
            <w:pPr>
              <w:widowControl/>
              <w:jc w:val="center"/>
              <w:rPr>
                <w:rFonts w:hint="eastAsia" w:cs="宋体" w:asciiTheme="minorEastAsia" w:hAnsiTheme="minorEastAsia" w:eastAsiaTheme="minorEastAsia"/>
                <w:kern w:val="0"/>
                <w:sz w:val="20"/>
                <w:szCs w:val="20"/>
              </w:rPr>
            </w:pPr>
            <w:r>
              <w:rPr>
                <w:rFonts w:hint="eastAsia" w:cs="宋体" w:asciiTheme="minorEastAsia" w:hAnsiTheme="minorEastAsia" w:eastAsiaTheme="minorEastAsia"/>
                <w:kern w:val="0"/>
                <w:sz w:val="20"/>
                <w:szCs w:val="20"/>
              </w:rPr>
              <w:t>希沃/鸿合/京东方</w:t>
            </w:r>
          </w:p>
        </w:tc>
        <w:tc>
          <w:tcPr>
            <w:tcW w:w="4480" w:type="dxa"/>
            <w:shd w:val="clear" w:color="auto" w:fill="auto"/>
            <w:vAlign w:val="center"/>
          </w:tcPr>
          <w:p w14:paraId="66005F6D">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cs="宋体"/>
                <w:b/>
                <w:bCs/>
                <w:i w:val="0"/>
                <w:iCs w:val="0"/>
                <w:color w:val="000000"/>
                <w:sz w:val="20"/>
                <w:szCs w:val="20"/>
                <w:u w:val="none"/>
                <w:lang w:val="en-US" w:eastAsia="zh-CN"/>
              </w:rPr>
              <w:t>一</w:t>
            </w:r>
            <w:r>
              <w:rPr>
                <w:rFonts w:hint="eastAsia" w:ascii="宋体" w:hAnsi="宋体" w:eastAsia="宋体" w:cs="宋体"/>
                <w:b/>
                <w:bCs/>
                <w:i w:val="0"/>
                <w:iCs w:val="0"/>
                <w:color w:val="000000"/>
                <w:sz w:val="20"/>
                <w:szCs w:val="20"/>
                <w:u w:val="none"/>
              </w:rPr>
              <w:t>、整体设计</w:t>
            </w:r>
          </w:p>
          <w:p w14:paraId="03150FE3">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1、整机采用全金属外壳一体设计，防潮耐盐雾蚀锈。屏幕采用86英寸超高清LED液晶显示屏，显示比例16:9，分辨率3840×2160。</w:t>
            </w:r>
          </w:p>
          <w:p w14:paraId="5D246392">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2、采用全物理钢化防眩光玻璃，钢化玻璃表面硬度≥9H，有效保护屏幕显示画面；支持防眩光功能，减少用眼疲劳。</w:t>
            </w:r>
          </w:p>
          <w:p w14:paraId="65C816A6">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3、侧置输入接口具备2路HDMI、1路RS232、1路USB；输出接口具备1路音频输出、1路触控USB输出。前置1路Type-C、2路USB。</w:t>
            </w:r>
          </w:p>
          <w:p w14:paraId="051B123B">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4、前置USB接口具备防撞挡板设计，防撞挡板采用转轴式翻转。</w:t>
            </w:r>
          </w:p>
          <w:p w14:paraId="74DD816D">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5、内置摄像头、麦克风无需外接线材连接，无任何可见外接线材及模块化拼接痕迹，未占用整机设备端口。</w:t>
            </w:r>
          </w:p>
          <w:p w14:paraId="6ABA12F3">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★6、整机内置扬声器采用缝隙发声技术，槽式开口设计，不大于5.8mm；采用2.2声道扬声器，位于设备上边框，顶置朝前发声，额定总功率60W。（提供检验检测中心所出具的权威检测报告复印件并加盖厂家公章）</w:t>
            </w:r>
          </w:p>
          <w:p w14:paraId="053254C2">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7、整机可选择高级音效设置，支持修改左右声道平衡，调节中低频段、高频段。扬声器在100%音量下，可做到1米处声压级≥88db，10米处声压级≥79dB（提供检验检测中心所出具的权威检测报告复印件并加盖厂家公章）</w:t>
            </w:r>
          </w:p>
          <w:p w14:paraId="2EA8D314">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8、支持标准、听力、观影和AI空间感知音效模式，内置麦克风可采集教室物理环境声音，自动生成符合当前教室物理环境的频段、音量、音效，优化学习体验。（提供检验检测中心所出具的权威检测报告复印件并加盖厂家公章）</w:t>
            </w:r>
          </w:p>
          <w:p w14:paraId="17922C8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★9、整机内置非独立外扩展的8阵列麦克风，拾音角度≥180°，拾音距离≥12米，全面覆盖，保证教室内声音的清晰收录。（提供检验检测中心所出具的权威检测报告复印件并加盖厂家公章）</w:t>
            </w:r>
          </w:p>
          <w:p w14:paraId="757AEE49">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10、整机背光系统支持DC调光方式，避免频闪调光引起的视觉疲劳，在白颜色背景下可做到最暗亮度≤100nit，保护师生视力。（提供检验检测中心所出具的权威检测报告复印件并加盖厂家公章）</w:t>
            </w:r>
          </w:p>
          <w:p w14:paraId="7B7439E1">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11、整机系统支持人工智能画质调节模式（AI-PQ），在安卓通道下可根据屏幕内容自动调节画质参数，如调整对比度、饱和度、锐利度、色调色相值、高光/阴影等，以达到更好的观看体验。（提供检验检测中心所出具的权威检测报告复印件并加盖厂家公章）</w:t>
            </w:r>
          </w:p>
          <w:p w14:paraId="54DC9365">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12、整机屏幕蓝光占比＜50%；视网膜蓝光危害满足IECTR62778:2014蓝光危害RG0级别，低蓝光显示保护用眼安全。（提供检验检测中心所出具的权威检测报告复印件并加盖厂家公章）</w:t>
            </w:r>
          </w:p>
          <w:p w14:paraId="45078F18">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★13、整机在sRGB色彩空间下可做到高色准△E≤1，提供细腻的色彩表现，减少绚丽画面带来的用眼疲劳。（提供检验检测中心所出具的权威检测报告复印件并加盖厂家公章）</w:t>
            </w:r>
          </w:p>
          <w:p w14:paraId="5152411F">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14、整机全通道支持纸质护眼模式，该模式下，显示画面各像素点灰度不规则，减少背景干扰；可根据教学需求对画面纹理、透明度实时调整，获得纸质阅读的视觉感受；支持环境色温判断，根据环境调节合适的显示图像效果，提升观看舒适度。（提供检验检测中心所出具的权威检测报告复印件并加盖厂家公章）</w:t>
            </w:r>
          </w:p>
          <w:p w14:paraId="45B9929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★15、整机支持5个自定义前置按键，可将按键设置为批注、截屏、放大镜等教学小工具以及节能、护眼、自动亮度等模式的快捷开关。（提供检验检测中心所出具的权威检测报告复印件并加盖厂家公章）</w:t>
            </w:r>
          </w:p>
          <w:p w14:paraId="486F507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16、整机支持蓝牙Bluetooth5.4标准，设备连接更加稳定。（提供检验检测中心所出具的权威检测报告复印件并加盖厂家公章）</w:t>
            </w:r>
          </w:p>
          <w:p w14:paraId="06CB0BEE">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17、整机可发出超声波信号，当手机接收后，即使整机与手机不在同一局域网内，也可实现快速配对投屏，且用户无需输入投屏码或扫码，投屏更加快速便捷。（提供检验检测中心所出具的权威检测报告复印件并加盖厂家公章）</w:t>
            </w:r>
          </w:p>
          <w:p w14:paraId="7E967D1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18、整机内置传屏接收模块，无需附加设备，可将外部电脑、手机的音视频信号实时传输到整机；外部电脑传屏时，支持触摸回传及控制、勿扰模式、暂停投屏；开启勿扰模式时，不允许其他人传屏；投屏时可以选择过滤特定应用窗口，保障隐私安全。（提供检验检测中心所出具的权威检测报告复印件并加盖厂家公章）</w:t>
            </w:r>
          </w:p>
          <w:p w14:paraId="538729E1">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19、整机内置双WiFi6无线网卡（不接受外接），Wi-Fi制式IEEE802.11a/b/g/n/ac/ax。在Android下支持无线设备同时连接数量≥32个，。（提供检验检测中心所出具的权威检测报告复印件并加盖厂家公章）</w:t>
            </w:r>
          </w:p>
          <w:p w14:paraId="34E54463">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20、整机上边框内置非独立式广角摄像头和智能拼接摄像头，采用一体化集成设计，摄像头数量≥4个，均支持3D降噪算法和数字宽动态范围成像WDR技术。（提供检验检测中心所出具的权威检测报告复印件并加盖厂家公章）</w:t>
            </w:r>
          </w:p>
          <w:p w14:paraId="39B6E49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21、智能拼接摄像头，视场角≥141度且水平视场角≥139度，可拍摄≥1600万像素的照片，支持输出8192×2048分辨率的照片和视频，支持画面畸变矫正功能。可同时输出至少3路视频流。（提供检验检测中心所出具的权威检测报告复印件并加盖厂家公章）</w:t>
            </w:r>
          </w:p>
          <w:p w14:paraId="59E68D24">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22、广角高清摄像头，视场角≥142度且水平视场角≥121度，在清晰度为2592 x 1944分辨率下，支持30帧的视频输出。（提供检验检测中心所出具的权威检测报告复印件并加盖厂家公章）</w:t>
            </w:r>
          </w:p>
          <w:p w14:paraId="79067025">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23、整机摄像头支持人脸识别进行登录账号；支持识别所有学生，同时显示标记不少于60人，可随机抽选1人。支持距离摄像头位置≥10米的AI识别人脸。（提供检验检测中心所出具的权威检测报告复印件并加盖厂家公章）</w:t>
            </w:r>
          </w:p>
          <w:p w14:paraId="2B39A591">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二、触摸系统</w:t>
            </w:r>
          </w:p>
          <w:p w14:paraId="2005C77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★1、采用红外触控技术，支持40点或以上触控。（提供检验检测中心所出具的权威检测报告复印件并加盖厂家公章）</w:t>
            </w:r>
          </w:p>
          <w:p w14:paraId="5248BD3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★2、整机在书写速度≥50cm/s，笔迹与笔的距离小于20mm，书写过程流畅。（提供检验检测中心所出具的权威检测报告复印件并加盖厂家公章）</w:t>
            </w:r>
          </w:p>
          <w:p w14:paraId="7E8312B7">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3、触摸分辨率32768×32768，书写触控延迟≤25ms。触摸响应≤4ms，触摸最小识别物≤3mm，有效识别高度≤1.5mm；定位精度高，保证书写准确性。</w:t>
            </w:r>
          </w:p>
          <w:p w14:paraId="3ABB2A57">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4、整机检测到红外笔尖接触屏幕时，自动进入书写模式；并在唤醒提笔书写后，支持手笔分离功能，使用笔正常书写，使用手指可点击操作，满足多场景使用。（提供检验检测中心所出具的权威检测报告复印件并加盖厂家公章）</w:t>
            </w:r>
          </w:p>
          <w:p w14:paraId="04FD8AB8">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5、支持普通书写笔在整机上书写或点压时，整机可感应压力变化，呈现不同粗细的笔迹；支持同一支笔的笔头、笔尾书写不同颜色，且颜色可自定义。（提供检验检测中心所出具的权威检测报告复印件并加盖厂家公章）</w:t>
            </w:r>
          </w:p>
          <w:p w14:paraId="3F7749CE">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三、主要功能</w:t>
            </w:r>
          </w:p>
          <w:p w14:paraId="35DA5737">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1、整机支持故障检测、系统还原功能，无需额外工具辅助。</w:t>
            </w:r>
          </w:p>
          <w:p w14:paraId="609430A9">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2、整机支持通过Type-C接口进行手机充电，最大充电功率15W。</w:t>
            </w:r>
          </w:p>
          <w:p w14:paraId="58757D66">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3、外接电脑设备经双头Type-C线连接至整机，可调用整机内置的摄像头、麦克风、扬声器，在外接电脑即可控制整机拍摄教室画面；同时可将外接电脑的音视频、触摸信号传输到整机。</w:t>
            </w:r>
          </w:p>
          <w:p w14:paraId="37149447">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4、整机全通道侧边栏快捷菜单支持简洁、常规模式切换。在侧边栏快捷打开。侧边栏及中控菜单支持应用自由切换，全屏应用下无需退出即可进行切换。（提供检验检测中心所出具的权威检测报告复印件并加盖厂家公章）</w:t>
            </w:r>
          </w:p>
          <w:p w14:paraId="23124D9E">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5、整机全通道侧边栏快捷菜单中可实时查看物联设备，如视频展台、音响、麦克风、智能笔、传屏器的连接情况，支持读取设备型号，显示对应实物图片，点击设备图标即可调出中控菜单进行管控。（提供检验检测中心所出具的权威检测报告复印件并加盖厂家公章）</w:t>
            </w:r>
          </w:p>
          <w:p w14:paraId="62E29C37">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6、整机支持多人同时将手机文件传输到整机上，无需借助第三方网页、应用，当手机端登录账号与整机一致时，可快速接收文件，无需二次确认，传输文件格式支持文档、图片、音视频、压缩包等多类型。（提供检验检测中心所出具的权威检测报告复印件并加盖厂家公章）</w:t>
            </w:r>
          </w:p>
          <w:p w14:paraId="4E22E47A">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★7、整机支持文件传输应用，传输方式支持公网传输、局域网传输、WiFi 直连传输。支持通过扫码、wifi直联、超声三种方式与手机进行握手连接，实现文件传输功能。（提供检验检测中心所出具的权威检测报告复印件并加盖厂家公章）</w:t>
            </w:r>
          </w:p>
          <w:p w14:paraId="116A9123">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8、开启文件传输应用后，可自动打开整机热点并显示热点信息；接收的文件支持单份删除、全部清空；为防止误清空，全部清空需要经过二次确认。</w:t>
            </w:r>
          </w:p>
          <w:p w14:paraId="61D38CF6">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★9、整机设备自带地震预警软件；支持在地震预警页面中获取位置或手动校准；支持选择提醒阈值、开启和关闭地震预警服务。（提供检验检测中心所出具的权威检测报告复印件并加盖厂家公章）</w:t>
            </w:r>
          </w:p>
          <w:p w14:paraId="70CD4411">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10、整机设置教学专用桌面，提高课前准备效率。设备开机启动后，自动进入教学桌面，支持账号密码、手机扫码、人脸识别登录账号。登录后自动获取最近使用的教学课件，点击课件可直接进入授课模式，支持查看所有个人课件资源，无需再次输入账号密码重复登录。（提供检验检测中心所出具的权威检测报告复印件并加盖厂家公章）</w:t>
            </w:r>
          </w:p>
          <w:p w14:paraId="0CB9809D">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11、整机设备教学桌面支持查看本地磁盘、外接U盘、移动硬盘，点击即可打开该磁盘查看文件，文件按照文档、图片、音视频分类；当存储空间即将满载时候进行红色标记明显提示。（提供检验检测中心所出具的权威检测报告复印件并加盖厂家公章）</w:t>
            </w:r>
          </w:p>
          <w:p w14:paraId="061CCE4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12、整机设备教学桌面支持进行重启、关机、锁屏操作。当设备有其他输入源时，可在桌面点击信号源进行输入源切换。</w:t>
            </w:r>
          </w:p>
          <w:p w14:paraId="5B1C922F">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四、安卓系统</w:t>
            </w:r>
          </w:p>
          <w:p w14:paraId="5F033874">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★1、嵌入式系统版本不低于Android 13。内存≥2GB。存储空间≥8GB。（提供检验检测中心所出具的权威检测报告复印件并加盖厂家公章）</w:t>
            </w:r>
          </w:p>
          <w:p w14:paraId="669740AD">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2、嵌入式Android操作系统下，使用白板软件时，整机可自行调节屏幕亮度，白板支持对已经书写的笔迹和形状和颜色进行更换；支持全局漫游，并能在工具栏中对全局内容进行预览和移动。</w:t>
            </w:r>
          </w:p>
          <w:p w14:paraId="3F265CC9">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3、在嵌入式Android操作系统下，可使用白板书写、WPS软件和网页浏览。能对TV多媒体USB所读取到的文件进行自动归类，可分类查找文档、板书、图片、音视频，检索后可直接在界面中打开。</w:t>
            </w:r>
          </w:p>
          <w:p w14:paraId="51E1F473">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五、电脑模块</w:t>
            </w:r>
          </w:p>
          <w:p w14:paraId="416D6FA1">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★1、CPU 采用国产自主可控芯片，处理器核数≥8核，主频≥2.3GHz，内存：8GB或以上配置，硬盘：256GB或以上固态硬盘。（提供国家级检测机构所出具的权威检测报告复印件并加盖厂家公章）</w:t>
            </w:r>
          </w:p>
          <w:p w14:paraId="0806F4D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2、模块主体尺寸不小于尺寸≤28.1mm*5.3mm，PC模块可抽拉式插入整机，可实现无单独接线的插拔，和整机的连接采用万兆级接口，传输速率≥10Gbps。</w:t>
            </w:r>
          </w:p>
          <w:p w14:paraId="2672552D">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3、和整机的连接接口针脚数≤40pin，尺寸≤28.1mm*5.3mm。采用按压式卡扣，无需工具就可快速拆卸电脑模块。（提供国家级检测机构所出具的权威检测报告复印件并加盖厂家公章）</w:t>
            </w:r>
          </w:p>
          <w:p w14:paraId="65F31D6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4、具有独立非外扩展的视频输出接口：≥1路HDMI ，USB接口：≥3路USB，具有标准PC防盗锁孔。</w:t>
            </w:r>
          </w:p>
          <w:p w14:paraId="4DED7E9D">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★5、预装正版国产操作系统。（提供厂家授权证明）</w:t>
            </w:r>
          </w:p>
          <w:p w14:paraId="2CAA5D0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6、常用应用支持：支持火狐、奇安信浏览器、360 浏览器;提供自研软件，包括视频播放器、截图软件、刻录软件。</w:t>
            </w:r>
          </w:p>
          <w:p w14:paraId="5223DA14">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7、备份还原功能：系统默认提供备份还原工具，支持数据备份、数据还原，支持系统全量备份、系统增量备份，提供一键还原、一键 Ghost 功能。</w:t>
            </w:r>
          </w:p>
          <w:p w14:paraId="66F5DBB5">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8、为响应国家信创政策，OPS电脑模块须具备兼容国产操作系统（统信系统或麒麟系统）能力，提供相关国产操作系统公司出具的兼容性证明文件复印件。</w:t>
            </w:r>
          </w:p>
          <w:p w14:paraId="448FADF8">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sz w:val="20"/>
                <w:szCs w:val="20"/>
                <w:u w:val="none"/>
              </w:rPr>
              <w:t>六、教学软件</w:t>
            </w:r>
          </w:p>
          <w:p w14:paraId="52FAD4C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1、采用备授课一体化框架设计，为使用方全体教师配备个人账号，能够为教师提供500G的云存储空间，教师可在个人云空间中上传存储互动课件、云教案和其他教学资源。</w:t>
            </w:r>
          </w:p>
          <w:p w14:paraId="132E621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2、提供互动式教学课件资源，包含学科教 育各学段各地区教材版本不少于88个；包含学科教育各学段教材版本全部教学章节、专题教育多个主题教育、特殊教育三大分类不少于 160000 份的交互动课件。</w:t>
            </w:r>
          </w:p>
          <w:p w14:paraId="2F903443">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3、按照下载量、课件质量、相关性每天动 态更新课件列表， 提供按章节、主题筛 选和关键词搜索，支持模糊搜索。并提供默认排序、最多获取和最新上架三种排序方式。</w:t>
            </w:r>
          </w:p>
          <w:p w14:paraId="76A0698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4、课件支持直接预览并下载，预览时支持 拖动课堂活动、形状、几何、文本元素；下载时课件可同步至教师个人云空间；课件支持教师在线评分。</w:t>
            </w:r>
          </w:p>
          <w:p w14:paraId="75A00558">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5、支持PPT的原生解析，教师可将pptx课件转化为互动教学课件，支持单份导入和批量文件夹导入两种导入方式。</w:t>
            </w:r>
          </w:p>
          <w:p w14:paraId="12400B0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▲6、支持将互动课件导出为 pptx 、pdf、H5 或 web 链接。导出的课件支持进行二次编辑；互动教学课件支持定向分享，分享者可将互动课件、课件组推送至指定接收方账号云空间，接收方可在云空间接收并打开分享课件。（提供第三方检测机构所出具的检测报告复印件并加盖原厂商公章）</w:t>
            </w:r>
          </w:p>
          <w:p w14:paraId="6AE5B2F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7、提供拼音卡片、古诗词、汉字卡片、中文听写、数学画板、字母卡片、英汉词典、英文听写、化学实验、元素周期、化学方程、物理线图、星球、藏文卡片至少20种学科工具，可一键插入课件。学科工具支持教师自主设置在首页显示的功能，且该设置在备课和授课端之间可以同步。</w:t>
            </w:r>
          </w:p>
          <w:p w14:paraId="11E565CC">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8、可以在备课场景中搜索课件库课件资源，支持整份课件或按照课件页插入课件中。支持按照教学环节筛选对应课件页一键插入课件中，可导入新课、作者简介；按照元素类型思维导图、课堂活动选取需要的部分补充课件缺失的部分。</w:t>
            </w:r>
          </w:p>
          <w:p w14:paraId="77864BB6">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9、具有课堂活动智能填写功能，支持选词填空、判断对错和趣味选择三大课堂活动。输入文本后可以一键解析，自动将文本内容结构化填充至题干和正确选项，完成课堂活动的制作。</w:t>
            </w:r>
          </w:p>
          <w:p w14:paraId="2D88A685">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10、支持多种格式的试题批量上传，包含.doc、.docx、.png、.jpeg、.jpg等类型，并可自动转换为电子试题，便于老师优质试题的收集使用和作业布置。</w:t>
            </w:r>
          </w:p>
          <w:p w14:paraId="0F8F117F">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11、提供100节党建微课视频，包含革命篇、建设篇、改革篇、复兴篇4个篇章。微课内容可在线点播，下载至课件播放。微课视频支持视频关键帧打点标记，播放过程中可一键跳转至标记位置，同时支持一键对视频内容进行截图插入课件。</w:t>
            </w:r>
          </w:p>
          <w:p w14:paraId="121EB9FF">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12、空中课堂功能内置于交互式备授课软件中，无需额外安装部署直播软件，可实现语音直播、课件同步、互动工具等远程教学功能。包括一键开课、文本聊天工具、互动答题工具、远程互动工具、课堂奖励工具、远程考勤管理、课程回放。</w:t>
            </w:r>
          </w:p>
          <w:p w14:paraId="0952FA30">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13、支持直播评课全过程支持回放并自动生成字幕，支持回放视频形成回放链接分享，可直接下载导出，用于老师回顾课堂内容，分析老师的课堂表现和教学情况；同时支持一览课堂重要数据，智能分析授课内容生成高频词云，提炼师生互动生成课堂问答，老师可掌握课堂的重点与方向。（提供第三方检测机构所出具的检测报告复印件并加盖原厂商公章）14、支持实现信息化集体备课。可选择教案、课件、胶囊资源上传发起集备研讨，能够设置多重访问权限，可通过手机号搜索邀请外校老师，用于跨校教研场景。支持生成集备报告，报告生成后，参备人可查看具体报告内容和下载集备报告。报告内包含集备信息、数据统计、研讨记录的具体内容。</w:t>
            </w:r>
          </w:p>
          <w:p w14:paraId="138C8B3F">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15、提供教学软件著作权证书，软件具备公安部门出具的信息安全三级认证证书，提供证明文件并加盖原厂商公章。</w:t>
            </w:r>
          </w:p>
          <w:p w14:paraId="4F95F9F1">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16、教学软件与整机为同一品牌，为确保使用稳定拒绝使用第三方软件，提供软件著作权佐证并加盖原厂商公章。</w:t>
            </w:r>
          </w:p>
          <w:p w14:paraId="155DED0A">
            <w:pPr>
              <w:keepNext w:val="0"/>
              <w:keepLines w:val="0"/>
              <w:widowControl/>
              <w:suppressLineNumbers w:val="0"/>
              <w:jc w:val="left"/>
              <w:textAlignment w:val="center"/>
              <w:rPr>
                <w:rFonts w:hint="eastAsia" w:ascii="宋体" w:hAnsi="宋体" w:eastAsia="宋体" w:cs="宋体"/>
                <w:b w:val="0"/>
                <w:bCs w:val="0"/>
                <w:i w:val="0"/>
                <w:iCs w:val="0"/>
                <w:color w:val="000000"/>
                <w:sz w:val="20"/>
                <w:szCs w:val="20"/>
                <w:u w:val="none"/>
              </w:rPr>
            </w:pPr>
            <w:r>
              <w:rPr>
                <w:rFonts w:hint="eastAsia" w:ascii="宋体" w:hAnsi="宋体" w:eastAsia="宋体" w:cs="宋体"/>
                <w:b w:val="0"/>
                <w:bCs w:val="0"/>
                <w:i w:val="0"/>
                <w:iCs w:val="0"/>
                <w:color w:val="000000"/>
                <w:sz w:val="20"/>
                <w:szCs w:val="20"/>
                <w:u w:val="none"/>
              </w:rPr>
              <w:t>★17、为响应国家信创政策，教学软件须具备兼容国产操作系统（统信系统或麒麟系统）能力，提供相关国产操作系统公司出具的兼容性证明文件复印件并加盖原厂商公章。</w:t>
            </w:r>
          </w:p>
          <w:p w14:paraId="4B8B7951">
            <w:pPr>
              <w:widowControl/>
              <w:jc w:val="left"/>
              <w:rPr>
                <w:rFonts w:hint="eastAsia" w:cs="宋体" w:asciiTheme="minorEastAsia" w:hAnsiTheme="minorEastAsia" w:eastAsiaTheme="minorEastAsia"/>
                <w:b/>
                <w:bCs/>
                <w:kern w:val="0"/>
                <w:sz w:val="20"/>
                <w:szCs w:val="20"/>
              </w:rPr>
            </w:pPr>
            <w:r>
              <w:rPr>
                <w:rFonts w:hint="eastAsia" w:cs="宋体" w:asciiTheme="minorEastAsia" w:hAnsiTheme="minorEastAsia" w:eastAsiaTheme="minorEastAsia"/>
                <w:b/>
                <w:bCs/>
                <w:kern w:val="0"/>
                <w:sz w:val="20"/>
                <w:szCs w:val="20"/>
                <w:lang w:val="en-US" w:eastAsia="zh-CN"/>
              </w:rPr>
              <w:t>七</w:t>
            </w:r>
            <w:r>
              <w:rPr>
                <w:rFonts w:hint="eastAsia" w:cs="宋体" w:asciiTheme="minorEastAsia" w:hAnsiTheme="minorEastAsia" w:eastAsiaTheme="minorEastAsia"/>
                <w:b/>
                <w:bCs/>
                <w:kern w:val="0"/>
                <w:sz w:val="20"/>
                <w:szCs w:val="20"/>
              </w:rPr>
              <w:t>、安装服务</w:t>
            </w:r>
          </w:p>
          <w:p w14:paraId="3C8FA880">
            <w:pPr>
              <w:pStyle w:val="6"/>
              <w:ind w:left="0" w:leftChars="0" w:firstLine="0" w:firstLineChars="0"/>
              <w:jc w:val="left"/>
              <w:rPr>
                <w:rFonts w:hint="eastAsia" w:cs="宋体" w:asciiTheme="minorEastAsia" w:hAnsiTheme="minorEastAsia" w:eastAsiaTheme="minorEastAsia"/>
                <w:kern w:val="0"/>
                <w:sz w:val="20"/>
              </w:rPr>
            </w:pPr>
            <w:r>
              <w:rPr>
                <w:rFonts w:hint="eastAsia" w:cs="宋体" w:asciiTheme="minorEastAsia" w:hAnsiTheme="minorEastAsia" w:eastAsiaTheme="minorEastAsia"/>
                <w:kern w:val="0"/>
                <w:sz w:val="20"/>
              </w:rPr>
              <w:t>1.包含：设备运输、搬运、安装调试及培训</w:t>
            </w:r>
          </w:p>
        </w:tc>
        <w:tc>
          <w:tcPr>
            <w:tcW w:w="710" w:type="dxa"/>
            <w:shd w:val="clear" w:color="000000" w:fill="FFFFFF"/>
            <w:vAlign w:val="center"/>
          </w:tcPr>
          <w:p w14:paraId="6E401030">
            <w:pPr>
              <w:widowControl/>
              <w:rPr>
                <w:rFonts w:hint="eastAsia" w:cs="宋体" w:asciiTheme="minorEastAsia" w:hAnsiTheme="minorEastAsia" w:eastAsiaTheme="minorEastAsia"/>
                <w:kern w:val="0"/>
                <w:sz w:val="20"/>
                <w:szCs w:val="20"/>
              </w:rPr>
            </w:pPr>
            <w:r>
              <w:rPr>
                <w:rFonts w:hint="eastAsia" w:cs="宋体" w:asciiTheme="minorEastAsia" w:hAnsiTheme="minorEastAsia" w:eastAsiaTheme="minorEastAsia"/>
                <w:kern w:val="0"/>
                <w:sz w:val="20"/>
                <w:szCs w:val="20"/>
              </w:rPr>
              <w:t>1</w:t>
            </w:r>
          </w:p>
        </w:tc>
        <w:tc>
          <w:tcPr>
            <w:tcW w:w="629" w:type="dxa"/>
            <w:shd w:val="clear" w:color="auto" w:fill="auto"/>
            <w:vAlign w:val="center"/>
          </w:tcPr>
          <w:p w14:paraId="2AB9EB8A">
            <w:pPr>
              <w:widowControl/>
              <w:jc w:val="center"/>
              <w:rPr>
                <w:rFonts w:hint="eastAsia" w:cs="宋体" w:asciiTheme="minorEastAsia" w:hAnsiTheme="minorEastAsia" w:eastAsiaTheme="minorEastAsia"/>
                <w:color w:val="000000"/>
                <w:kern w:val="0"/>
                <w:sz w:val="20"/>
                <w:szCs w:val="20"/>
              </w:rPr>
            </w:pPr>
            <w:r>
              <w:rPr>
                <w:rFonts w:hint="eastAsia" w:cs="宋体" w:asciiTheme="minorEastAsia" w:hAnsiTheme="minorEastAsia" w:eastAsiaTheme="minorEastAsia"/>
                <w:color w:val="000000"/>
                <w:kern w:val="0"/>
                <w:sz w:val="20"/>
                <w:szCs w:val="20"/>
              </w:rPr>
              <w:t>台</w:t>
            </w:r>
          </w:p>
        </w:tc>
        <w:tc>
          <w:tcPr>
            <w:tcW w:w="952" w:type="dxa"/>
            <w:shd w:val="clear" w:color="auto" w:fill="auto"/>
            <w:vAlign w:val="center"/>
          </w:tcPr>
          <w:p w14:paraId="3A52F7FD">
            <w:pPr>
              <w:widowControl/>
              <w:jc w:val="left"/>
              <w:rPr>
                <w:rFonts w:hint="eastAsia" w:cs="宋体" w:asciiTheme="minorEastAsia" w:hAnsiTheme="minorEastAsia" w:eastAsiaTheme="minorEastAsia"/>
                <w:kern w:val="0"/>
                <w:sz w:val="20"/>
                <w:szCs w:val="20"/>
              </w:rPr>
            </w:pPr>
          </w:p>
        </w:tc>
      </w:tr>
      <w:bookmarkEnd w:id="0"/>
    </w:tbl>
    <w:p w14:paraId="6A784A10">
      <w:pPr>
        <w:pStyle w:val="6"/>
        <w:ind w:left="0" w:leftChars="0" w:firstLine="0" w:firstLineChars="0"/>
      </w:pPr>
      <w:bookmarkStart w:id="1" w:name="_GoBack"/>
      <w:bookmarkEnd w:id="1"/>
    </w:p>
    <w:sectPr>
      <w:footerReference r:id="rId3" w:type="default"/>
      <w:pgSz w:w="11906" w:h="16838"/>
      <w:pgMar w:top="1157" w:right="1519" w:bottom="1157" w:left="1519"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C62169">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4CD6CD6">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4CD6CD6">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wZDAzYzY5MTFkMzhlOTk5MWM3ODRjYmM0NjkwMWIifQ=="/>
  </w:docVars>
  <w:rsids>
    <w:rsidRoot w:val="001D3CF6"/>
    <w:rsid w:val="00106A91"/>
    <w:rsid w:val="001103D7"/>
    <w:rsid w:val="001D3CF6"/>
    <w:rsid w:val="002B518E"/>
    <w:rsid w:val="00514FF8"/>
    <w:rsid w:val="005836BC"/>
    <w:rsid w:val="005A6625"/>
    <w:rsid w:val="005B1E20"/>
    <w:rsid w:val="005C59FF"/>
    <w:rsid w:val="005D1001"/>
    <w:rsid w:val="005D5BF8"/>
    <w:rsid w:val="006065C5"/>
    <w:rsid w:val="00620688"/>
    <w:rsid w:val="007230B6"/>
    <w:rsid w:val="008541B9"/>
    <w:rsid w:val="00A452BD"/>
    <w:rsid w:val="00B03676"/>
    <w:rsid w:val="00B16A9F"/>
    <w:rsid w:val="00B969BF"/>
    <w:rsid w:val="00BD2F33"/>
    <w:rsid w:val="00C36A4F"/>
    <w:rsid w:val="00C43ED4"/>
    <w:rsid w:val="00CB5E17"/>
    <w:rsid w:val="00E6210F"/>
    <w:rsid w:val="04EC7C43"/>
    <w:rsid w:val="0BDA0F13"/>
    <w:rsid w:val="1347162C"/>
    <w:rsid w:val="2B5B0FA1"/>
    <w:rsid w:val="2DEF0778"/>
    <w:rsid w:val="32FC6DCD"/>
    <w:rsid w:val="33756B0C"/>
    <w:rsid w:val="35DA3A76"/>
    <w:rsid w:val="468C1F7A"/>
    <w:rsid w:val="47C21A33"/>
    <w:rsid w:val="4AB63FC7"/>
    <w:rsid w:val="54106B37"/>
    <w:rsid w:val="589469BF"/>
    <w:rsid w:val="5A817035"/>
    <w:rsid w:val="5AA331DD"/>
    <w:rsid w:val="6D371373"/>
    <w:rsid w:val="753541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0"/>
    <w:qFormat/>
    <w:uiPriority w:val="0"/>
    <w:pPr>
      <w:jc w:val="left"/>
    </w:pPr>
  </w:style>
  <w:style w:type="paragraph" w:styleId="3">
    <w:name w:val="Body Text Indent"/>
    <w:basedOn w:val="1"/>
    <w:semiHidden/>
    <w:unhideWhenUsed/>
    <w:qFormat/>
    <w:uiPriority w:val="99"/>
    <w:pPr>
      <w:spacing w:after="120"/>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Body Text First Indent 2"/>
    <w:basedOn w:val="3"/>
    <w:unhideWhenUsed/>
    <w:qFormat/>
    <w:uiPriority w:val="99"/>
    <w:pPr>
      <w:ind w:firstLine="420" w:firstLineChars="200"/>
    </w:pPr>
    <w:rPr>
      <w:szCs w:val="20"/>
    </w:rPr>
  </w:style>
  <w:style w:type="paragraph" w:styleId="9">
    <w:name w:val="List Paragraph"/>
    <w:basedOn w:val="1"/>
    <w:unhideWhenUsed/>
    <w:qFormat/>
    <w:uiPriority w:val="99"/>
    <w:pPr>
      <w:ind w:firstLine="420" w:firstLineChars="200"/>
    </w:pPr>
  </w:style>
  <w:style w:type="character" w:customStyle="1" w:styleId="10">
    <w:name w:val="批注文字 字符"/>
    <w:basedOn w:val="8"/>
    <w:link w:val="2"/>
    <w:qFormat/>
    <w:uiPriority w:val="0"/>
    <w:rPr>
      <w:rFonts w:ascii="Times New Roman" w:hAnsi="Times New Roman" w:eastAsia="宋体" w:cs="Times New Roman"/>
      <w:kern w:val="2"/>
      <w:sz w:val="21"/>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6625</Words>
  <Characters>7191</Characters>
  <Lines>54</Lines>
  <Paragraphs>15</Paragraphs>
  <TotalTime>1</TotalTime>
  <ScaleCrop>false</ScaleCrop>
  <LinksUpToDate>false</LinksUpToDate>
  <CharactersWithSpaces>8782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2024-07-08T06:32:00Z</dcterms:created>
  <dc:creator>WZZ</dc:creator>
  <cp:lastModifiedBy>精灵之翼</cp:lastModifiedBy>
  <dcterms:modified xsi:type="dcterms:W3CDTF">2025-03-31T01:59:03Z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CD74569FD2AA4512BBFDD49B2E3EB0E2_12</vt:lpwstr>
  </property>
  <property fmtid="{D5CDD505-2E9C-101B-9397-08002B2CF9AE}" pid="4" name="KSOTemplateDocerSaveRecord">
    <vt:lpwstr>eyJoZGlkIjoiYTM5NjllYjhkZmZjOTQ0MTdhZTZhMzgxMjQ1Njg3NGUiLCJ1c2VySWQiOiI0MjM4MzI4OTkifQ==</vt:lpwstr>
  </property>
</Properties>
</file>