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7B359">
      <w:pPr>
        <w:ind w:left="0" w:firstLine="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浦江</w:t>
      </w:r>
      <w:r>
        <w:rPr>
          <w:rFonts w:hint="eastAsia" w:ascii="宋体" w:hAnsi="宋体" w:eastAsia="宋体" w:cs="宋体"/>
          <w:b/>
          <w:bCs/>
          <w:sz w:val="28"/>
          <w:szCs w:val="28"/>
          <w:lang w:val="en-US" w:eastAsia="zh-CN"/>
        </w:rPr>
        <w:t>技工学校（浦江工匠学院）安检门</w:t>
      </w:r>
      <w:r>
        <w:rPr>
          <w:rFonts w:hint="eastAsia" w:ascii="宋体" w:hAnsi="宋体" w:eastAsia="宋体" w:cs="宋体"/>
          <w:b/>
          <w:bCs/>
          <w:sz w:val="28"/>
          <w:szCs w:val="28"/>
          <w:lang w:eastAsia="zh-CN"/>
        </w:rPr>
        <w:t>采购需求</w:t>
      </w:r>
    </w:p>
    <w:p w14:paraId="722CAE10">
      <w:pPr>
        <w:pStyle w:val="2"/>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一、采购清单及技术参数</w:t>
      </w:r>
    </w:p>
    <w:tbl>
      <w:tblPr>
        <w:tblStyle w:val="6"/>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094"/>
        <w:gridCol w:w="1349"/>
        <w:gridCol w:w="4819"/>
        <w:gridCol w:w="851"/>
        <w:gridCol w:w="850"/>
      </w:tblGrid>
      <w:tr w14:paraId="4F1A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60" w:type="dxa"/>
            <w:shd w:val="clear" w:color="auto" w:fill="auto"/>
            <w:vAlign w:val="center"/>
          </w:tcPr>
          <w:p w14:paraId="31580840">
            <w:pPr>
              <w:spacing w:after="0" w:line="240" w:lineRule="auto"/>
              <w:ind w:left="0" w:firstLine="0"/>
              <w:jc w:val="center"/>
              <w:rPr>
                <w:rFonts w:hint="eastAsia" w:ascii="宋体" w:hAnsi="宋体" w:eastAsia="宋体" w:cs="宋体"/>
                <w:b/>
                <w:bCs/>
                <w:color w:val="auto"/>
                <w:kern w:val="0"/>
                <w:sz w:val="21"/>
                <w:szCs w:val="21"/>
              </w:rPr>
            </w:pPr>
            <w:bookmarkStart w:id="0" w:name="_Hlk162689460"/>
            <w:r>
              <w:rPr>
                <w:rFonts w:hint="eastAsia" w:ascii="宋体" w:hAnsi="宋体" w:eastAsia="宋体" w:cs="宋体"/>
                <w:b/>
                <w:bCs/>
                <w:color w:val="auto"/>
                <w:kern w:val="0"/>
                <w:sz w:val="21"/>
                <w:szCs w:val="21"/>
              </w:rPr>
              <w:t>序号</w:t>
            </w:r>
          </w:p>
        </w:tc>
        <w:tc>
          <w:tcPr>
            <w:tcW w:w="1094" w:type="dxa"/>
            <w:shd w:val="clear" w:color="auto" w:fill="auto"/>
            <w:vAlign w:val="center"/>
          </w:tcPr>
          <w:p w14:paraId="10FB0AB3">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设备名称</w:t>
            </w:r>
          </w:p>
        </w:tc>
        <w:tc>
          <w:tcPr>
            <w:tcW w:w="1349" w:type="dxa"/>
            <w:shd w:val="clear" w:color="auto" w:fill="auto"/>
            <w:vAlign w:val="center"/>
          </w:tcPr>
          <w:p w14:paraId="5035E1E1">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推荐</w:t>
            </w:r>
            <w:r>
              <w:rPr>
                <w:rFonts w:hint="eastAsia" w:ascii="宋体" w:hAnsi="宋体" w:eastAsia="宋体" w:cs="宋体"/>
                <w:b/>
                <w:bCs/>
                <w:color w:val="auto"/>
                <w:kern w:val="0"/>
                <w:sz w:val="21"/>
                <w:szCs w:val="21"/>
              </w:rPr>
              <w:t>品牌</w:t>
            </w:r>
          </w:p>
        </w:tc>
        <w:tc>
          <w:tcPr>
            <w:tcW w:w="4819" w:type="dxa"/>
            <w:shd w:val="clear" w:color="auto" w:fill="auto"/>
            <w:vAlign w:val="center"/>
          </w:tcPr>
          <w:p w14:paraId="729B8ADA">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技术参数</w:t>
            </w:r>
          </w:p>
        </w:tc>
        <w:tc>
          <w:tcPr>
            <w:tcW w:w="851" w:type="dxa"/>
            <w:shd w:val="clear" w:color="auto" w:fill="auto"/>
            <w:vAlign w:val="center"/>
          </w:tcPr>
          <w:p w14:paraId="2B01DE7B">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850" w:type="dxa"/>
            <w:shd w:val="clear" w:color="auto" w:fill="auto"/>
            <w:vAlign w:val="center"/>
          </w:tcPr>
          <w:p w14:paraId="7F420571">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14:paraId="0DF2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60" w:type="dxa"/>
            <w:shd w:val="clear" w:color="auto" w:fill="auto"/>
            <w:vAlign w:val="center"/>
          </w:tcPr>
          <w:p w14:paraId="301DF0A5">
            <w:pPr>
              <w:spacing w:after="0" w:line="240" w:lineRule="auto"/>
              <w:ind w:left="0" w:firstLine="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094" w:type="dxa"/>
            <w:shd w:val="clear" w:color="auto" w:fill="auto"/>
            <w:vAlign w:val="center"/>
          </w:tcPr>
          <w:p w14:paraId="247EFE16">
            <w:pPr>
              <w:spacing w:after="0" w:line="240" w:lineRule="auto"/>
              <w:ind w:left="0" w:firstLine="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手机探测门</w:t>
            </w:r>
          </w:p>
        </w:tc>
        <w:tc>
          <w:tcPr>
            <w:tcW w:w="1349" w:type="dxa"/>
            <w:shd w:val="clear" w:color="auto" w:fill="auto"/>
            <w:vAlign w:val="center"/>
          </w:tcPr>
          <w:p w14:paraId="6FB15805">
            <w:pPr>
              <w:spacing w:after="0" w:line="240" w:lineRule="auto"/>
              <w:ind w:left="0" w:firstLine="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highlight w:val="none"/>
                <w:lang w:eastAsia="zh-CN"/>
              </w:rPr>
              <w:t>安天下、和创、正驰</w:t>
            </w:r>
          </w:p>
        </w:tc>
        <w:tc>
          <w:tcPr>
            <w:tcW w:w="4819" w:type="dxa"/>
            <w:shd w:val="clear" w:color="auto" w:fill="auto"/>
            <w:vAlign w:val="center"/>
          </w:tcPr>
          <w:p w14:paraId="7F9EBB6D">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检测装置通常使用金属探测技术，应为固定式，安装、移动简单快捷。</w:t>
            </w:r>
          </w:p>
          <w:p w14:paraId="450578F4">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整机重量不低于100KG。</w:t>
            </w:r>
          </w:p>
          <w:p w14:paraId="350D7D76">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应便于人无障碍同行，包括但不限于以下现象均不可出现：</w:t>
            </w:r>
          </w:p>
          <w:p w14:paraId="273FBB05">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可能勾起衣物或划伤皮肤的尖角锐棱；</w:t>
            </w:r>
          </w:p>
          <w:p w14:paraId="1FC94070">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高度超过5mm或者头部曲率半径小于2mm的突出物；</w:t>
            </w:r>
          </w:p>
          <w:p w14:paraId="380601F6">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裸露的导线或悬挂的物体。</w:t>
            </w:r>
          </w:p>
          <w:p w14:paraId="78D6962E">
            <w:pPr>
              <w:keepNext w:val="0"/>
              <w:keepLines w:val="0"/>
              <w:pageBreakBefore w:val="0"/>
              <w:widowControl/>
              <w:numPr>
                <w:ilvl w:val="0"/>
                <w:numId w:val="1"/>
              </w:numPr>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在运营时间内能连续运行。</w:t>
            </w:r>
          </w:p>
          <w:p w14:paraId="74696987">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一般通道尺寸：高度*宽度不小于1980×710mm，深度不大于910mm。</w:t>
            </w:r>
          </w:p>
          <w:p w14:paraId="011298A9">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应设置总电源开关、以便能切断或者接通全部电源，但位置不宜在随手可触及的地方。</w:t>
            </w:r>
          </w:p>
          <w:p w14:paraId="579EE048">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设备应该采用LINUX系统，驱动13.3寸大屏幕</w:t>
            </w:r>
          </w:p>
          <w:p w14:paraId="36CDCCD2">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可在屏幕显示通过人数、报警人数、金属报警程度等信息，便于现场安检员查看和处置。</w:t>
            </w:r>
          </w:p>
          <w:p w14:paraId="225C5A99">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设备应</w:t>
            </w:r>
            <w:r>
              <w:rPr>
                <w:rFonts w:hint="eastAsia" w:ascii="宋体" w:hAnsi="宋体" w:eastAsia="宋体" w:cs="宋体"/>
                <w:color w:val="auto"/>
                <w:kern w:val="0"/>
                <w:sz w:val="21"/>
                <w:szCs w:val="21"/>
                <w:highlight w:val="none"/>
                <w:lang w:val="en-US" w:eastAsia="zh-CN"/>
              </w:rPr>
              <w:t>可</w:t>
            </w:r>
            <w:r>
              <w:rPr>
                <w:rFonts w:hint="eastAsia" w:ascii="宋体" w:hAnsi="宋体" w:eastAsia="宋体" w:cs="宋体"/>
                <w:color w:val="auto"/>
                <w:kern w:val="0"/>
                <w:sz w:val="21"/>
                <w:szCs w:val="21"/>
                <w:highlight w:val="none"/>
              </w:rPr>
              <w:t>集成热成像和黑体，可对通过安检门的人员进行测温。测温范围为不少于30~45℃；样机距离测试黑体2m，在搭配其他黑体的情况下，测温示值误差的绝对值均应≤0.3℃。</w:t>
            </w:r>
          </w:p>
          <w:p w14:paraId="5385935C">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设备应内置13.3英寸的显示屏，无需其他屏幕可通过13.3寸显示屏调试参数和查看每个被携带金属物品通过探测门时的图示信号特征，可通过13.3寸显示屏显示通过人员数量、报警信息、虚拟人体图、违禁品所在虚拟人体图位置。</w:t>
            </w:r>
          </w:p>
          <w:p w14:paraId="196D2B1B">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设备应该通过13.3寸大屏幕展示每个探测传感器的波形特征，并能实时查看设备周围是否存在干扰信号</w:t>
            </w:r>
            <w:r>
              <w:rPr>
                <w:rFonts w:hint="eastAsia" w:ascii="宋体" w:hAnsi="宋体" w:eastAsia="宋体" w:cs="宋体"/>
                <w:color w:val="auto"/>
                <w:kern w:val="0"/>
                <w:sz w:val="21"/>
                <w:szCs w:val="21"/>
                <w:highlight w:val="none"/>
                <w:lang w:eastAsia="zh-CN"/>
              </w:rPr>
              <w:t>。</w:t>
            </w:r>
          </w:p>
          <w:p w14:paraId="53E70084">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设备可对通过安检门的人员进行佩戴口罩检测，对不带口罩的人员可联动系统声光报警提示，保证乘客乘车安全。</w:t>
            </w:r>
          </w:p>
          <w:p w14:paraId="52E6B7E8">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设备应一体化部署，集成设计，配置测温摄像机，简洁美观，无外置线缆等容易引发故障、影响正常使用的情况。具有温度异常报警功能，当检测到人员体温超过预设值时，可发出语音提示及声光报警信息、联动抓图并将图片上传，图片包括可见光图片及热成像图片。</w:t>
            </w:r>
          </w:p>
          <w:p w14:paraId="249B590A">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通行速度：应不小于1.8m/s。</w:t>
            </w:r>
          </w:p>
          <w:p w14:paraId="4FFB9628">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采用液晶屏显示，中文菜单，用于显示相关信息、调整参数及调整警示强弱，操作直观。</w:t>
            </w:r>
          </w:p>
          <w:p w14:paraId="6B721028">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具备计数功能：能够自动统计有效受检人数和报警次数，并具备红外计数、人脸计数两种计数模式，并且可以切换。</w:t>
            </w:r>
          </w:p>
          <w:p w14:paraId="59D45A30">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rPr>
              <w:t>产品应能至少分10个及以上区位进行报警提示。</w:t>
            </w:r>
          </w:p>
          <w:p w14:paraId="2DE62FE3">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产品应具有声光两种报警方式，与非报警声音有区别，用户能自定义设置录制的语音播报内容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2B6CA42A">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19.</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应能从静音到最大声强分档调节，最大声强不低于100dB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07A8283B">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报警显示:</w:t>
            </w:r>
          </w:p>
          <w:p w14:paraId="194A4AC5">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应与非报警显示有区别，且颜色宜为红色；</w:t>
            </w:r>
          </w:p>
          <w:p w14:paraId="6E30A1F7">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具有分区探测功能，分区定位一目了然，位置准确；</w:t>
            </w:r>
          </w:p>
          <w:p w14:paraId="04FEB80E">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在6000lx明亮环境和25lx昏暗环境下，距离报警器3m时，能清楚的观看到。</w:t>
            </w:r>
          </w:p>
          <w:p w14:paraId="73786EC6">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报警恢复:具有报警恢复功能，在自动恢复条件下，报警物离开探测区后，报警指示延续应不超过1s；</w:t>
            </w:r>
          </w:p>
          <w:p w14:paraId="6223C7B9">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金属物影响:在门体四周规定的范围以内的静止金属物体，不应使探测门产生误报警，规定的范围不宜大于1m；</w:t>
            </w:r>
          </w:p>
          <w:p w14:paraId="289F4D0D">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地面100mm以内的金属结构，不应对探测门造成明显的影响:在门体四周规定的范围以内的运动金属物体，不应使探测门产生误报警，规定的范围不宜大于1.5m。</w:t>
            </w:r>
          </w:p>
          <w:p w14:paraId="4E95ADBD">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rPr>
              <w:t>设备的灵敏度调节应≥3000个级别，总区与分区灵敏度均可调。</w:t>
            </w:r>
          </w:p>
          <w:p w14:paraId="30B3AF6E">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探测灵敏度：能够达混合类（I类、II类、III类）要求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484A26F4">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26.</w:t>
            </w:r>
            <w:r>
              <w:rPr>
                <w:rFonts w:hint="eastAsia" w:ascii="宋体" w:hAnsi="宋体" w:eastAsia="宋体" w:cs="宋体"/>
                <w:color w:val="auto"/>
                <w:kern w:val="0"/>
                <w:sz w:val="21"/>
                <w:szCs w:val="21"/>
                <w:highlight w:val="none"/>
              </w:rPr>
              <w:t>支持阈值模式，设备只对超过阈值的金属进行检测报警。</w:t>
            </w:r>
          </w:p>
          <w:p w14:paraId="4A5AFCE0">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27.</w:t>
            </w:r>
            <w:r>
              <w:rPr>
                <w:rFonts w:hint="eastAsia" w:ascii="宋体" w:hAnsi="宋体" w:eastAsia="宋体" w:cs="宋体"/>
                <w:color w:val="auto"/>
                <w:kern w:val="0"/>
                <w:sz w:val="21"/>
                <w:szCs w:val="21"/>
                <w:highlight w:val="none"/>
              </w:rPr>
              <w:t>参数可设密码保护，只允许专管人员操作，防止非授权人员操作，无需维护，无需定期校准。</w:t>
            </w:r>
          </w:p>
          <w:p w14:paraId="672C5022">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28.</w:t>
            </w:r>
            <w:r>
              <w:rPr>
                <w:rFonts w:hint="eastAsia" w:ascii="宋体" w:hAnsi="宋体" w:eastAsia="宋体" w:cs="宋体"/>
                <w:color w:val="auto"/>
                <w:kern w:val="0"/>
                <w:sz w:val="21"/>
                <w:szCs w:val="21"/>
                <w:highlight w:val="none"/>
              </w:rPr>
              <w:t>★门柱四侧由LED灯管组成，可直观看到人体携带藏匿违禁物品相应的位置，声光同时报警，报警时间可调，并能手动控制每个LED灯条的亮和灭，便于维护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4C7E657C">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29.</w:t>
            </w:r>
            <w:r>
              <w:rPr>
                <w:rFonts w:hint="eastAsia" w:ascii="宋体" w:hAnsi="宋体" w:eastAsia="宋体" w:cs="宋体"/>
                <w:color w:val="auto"/>
                <w:kern w:val="0"/>
                <w:sz w:val="21"/>
                <w:szCs w:val="21"/>
                <w:highlight w:val="none"/>
              </w:rPr>
              <w:t>设备应维护简单，无需定期维修。</w:t>
            </w:r>
          </w:p>
          <w:p w14:paraId="7C49A57E">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能够使用无线鼠标键盘参数进行控制，除了使探测门工作而必须的控制装置和工作参数外，其它影响探测性能的装置和参数都应加以保护，避免非授权人员擅自改动。</w:t>
            </w:r>
          </w:p>
          <w:p w14:paraId="220C613C">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设备支持过滤日常用品进行违禁品检测功能：人员携带手机、手表、首饰、金属纽扣、钥匙、腰带等日常金属用品通过安检门时，不应产生报警信息；当携带以下物品时系统有声光报警：对刀具、金属罐体以0.2-1.8m/s速度通过安检门时，报警检出率应≥99%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36CBD16B">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32.</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设备应支持探测物品报警类型选择，如手机及电子产品类、刀枪违禁品类、金属罐体类、轮椅及推车类、日常用品类，并支持语音播报违禁品类型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1E8A0D93">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33.</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探测门通电启动到操作系统加载完成；13.3寸屏幕主界面正常显示时间应小于36秒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00B87AEB">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辐身磁感应强度，在探测区左右边界各向内150mm的区域中辐射磁感应强度均应小于等于8.7μT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596C7263">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设备应能在违禁品探测模式、电子产品探测模式、电子产品及违禁品探测模式、全金属探测模式和用户自定义模式间进行切换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49ADEE87">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设备应能读取身份证、二维码、带NFC功能的手机的信息，应能抓取人脸图像与身份证信息进行比对，应将比对结果显示屏上</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40CDE796">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设备应能实时将视频图像传送至服务器管理平台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w:t>
            </w:r>
          </w:p>
          <w:p w14:paraId="568A90B3">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38.</w:t>
            </w:r>
            <w:r>
              <w:rPr>
                <w:rFonts w:hint="eastAsia" w:ascii="宋体" w:hAnsi="宋体" w:eastAsia="宋体" w:cs="宋体"/>
                <w:color w:val="auto"/>
                <w:kern w:val="0"/>
                <w:sz w:val="21"/>
                <w:szCs w:val="21"/>
                <w:highlight w:val="none"/>
              </w:rPr>
              <w:t>设备应能将报警人数、违禁品携带位置等信息通过网络传至服务器管理平台软件。平台软件应能各类参数进行数据查询。</w:t>
            </w:r>
          </w:p>
          <w:p w14:paraId="1FA79FC6">
            <w:pPr>
              <w:keepNext w:val="0"/>
              <w:keepLines w:val="0"/>
              <w:pageBreakBefore w:val="0"/>
              <w:widowControl/>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lang w:val="en-US" w:eastAsia="zh-CN"/>
              </w:rPr>
              <w:t>39.</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rPr>
              <w:t>满足GB15210-2018通过式金属探测门通用技术规范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rPr>
              <w:t>（提供公安部检验报告证明文件</w:t>
            </w:r>
            <w:r>
              <w:rPr>
                <w:rFonts w:hint="eastAsia" w:ascii="宋体" w:hAnsi="宋体" w:eastAsia="宋体" w:cs="宋体"/>
                <w:color w:val="auto"/>
                <w:kern w:val="0"/>
                <w:sz w:val="21"/>
                <w:szCs w:val="21"/>
                <w:highlight w:val="none"/>
                <w:lang w:eastAsia="zh-CN"/>
              </w:rPr>
              <w:t>并加盖原厂公章</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p>
        </w:tc>
        <w:tc>
          <w:tcPr>
            <w:tcW w:w="851" w:type="dxa"/>
            <w:shd w:val="clear" w:color="000000" w:fill="FFFFFF"/>
            <w:vAlign w:val="center"/>
          </w:tcPr>
          <w:p w14:paraId="29A19FF6">
            <w:pPr>
              <w:spacing w:after="0" w:line="240" w:lineRule="auto"/>
              <w:ind w:left="0" w:firstLine="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50" w:type="dxa"/>
            <w:shd w:val="clear" w:color="auto" w:fill="auto"/>
            <w:vAlign w:val="center"/>
          </w:tcPr>
          <w:p w14:paraId="7578026C">
            <w:pPr>
              <w:spacing w:after="0" w:line="240" w:lineRule="auto"/>
              <w:ind w:left="0" w:firstLine="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台</w:t>
            </w:r>
          </w:p>
        </w:tc>
      </w:tr>
      <w:bookmarkEnd w:id="0"/>
    </w:tbl>
    <w:p w14:paraId="603C3FF2">
      <w:pPr>
        <w:numPr>
          <w:ilvl w:val="0"/>
          <w:numId w:val="2"/>
        </w:numPr>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商务要求</w:t>
      </w:r>
    </w:p>
    <w:p w14:paraId="5A9EC6DE">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1、签订合同前提供原厂商对本项目壹年质保函(提供原厂商质保函并加盖鲜章）。</w:t>
      </w:r>
    </w:p>
    <w:p w14:paraId="1A7638E1">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手机探测门需符合省、市考试院安检要求，需与本地考试院使用的手机探测门统一品牌，做到互通互联无缝衔接，统一管理。在使用期间需提供国家教育考试指高考、学（选）考、成人高考、自学考试、专升本考试、教师资格笔试等考试项目三年的技术人员现场驻点服务。</w:t>
      </w:r>
    </w:p>
    <w:p w14:paraId="627767EE">
      <w:pPr>
        <w:bidi w:val="0"/>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3、投标时上传需提供▲参数中要求提供的检测报告(加盖生产厂家公章、供应商公章)，否则竞价无效。</w:t>
      </w:r>
    </w:p>
    <w:p w14:paraId="5B39EB98">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4、报价时上传报价清单（格式后附）及技术偏离表（格式自拟），并加盖公章。若未提交“报价清单”按无效报价处理、若未提交“技术偏离表”视同完全响应满足技术参数要求</w:t>
      </w:r>
    </w:p>
    <w:p w14:paraId="6B2A4034">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5、报价时间截止接用户预中标成交信息后，3个工作日内提供产品技术参数中要求的相关资料，无法完整提供或逾期提供按无效报价处理；</w:t>
      </w:r>
    </w:p>
    <w:p w14:paraId="125A1195">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6、合同签订后7日内交货到学校指定地点，10日内完成安装调试；必须一次性完成送货，不可分批送货，不接受快递、物流等方式送货。</w:t>
      </w:r>
    </w:p>
    <w:p w14:paraId="4CFAB5DE">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为确保服务及时性,投标供应商若非本地公司须在本地有分公司、办事处或售后服务网点（需提供相关证明），配有专人和专线电话。设备出现故障半小时内响应、1小时内赶到现场，如不能解决问题的，提供备机；所有设备在质量保质期内免费维修，维护，软件提供免费升级。</w:t>
      </w:r>
    </w:p>
    <w:p w14:paraId="5287949D">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8、出现故障后，中标人如未按上述要求进行响应，采购人可以采取必要的补救措施，由此产生的风险和费用将由中标人承担。</w:t>
      </w:r>
    </w:p>
    <w:p w14:paraId="005EABB6">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9、所提供的产品必须是原装正品，原厂原包装供货，所参数必须完全满足，否则视为无效报价，</w:t>
      </w:r>
      <w:r>
        <w:rPr>
          <w:rFonts w:hint="eastAsia" w:ascii="宋体" w:hAnsi="宋体" w:eastAsia="宋体" w:cs="宋体"/>
          <w:sz w:val="24"/>
          <w:szCs w:val="24"/>
          <w:highlight w:val="none"/>
          <w:lang w:val="en-US" w:eastAsia="zh-CN"/>
        </w:rPr>
        <w:t>推荐品牌之外的产品报价也视为无效报价。</w:t>
      </w:r>
      <w:r>
        <w:rPr>
          <w:rFonts w:hint="eastAsia" w:ascii="宋体" w:hAnsi="宋体" w:eastAsia="宋体" w:cs="宋体"/>
          <w:sz w:val="24"/>
          <w:szCs w:val="24"/>
          <w:lang w:val="en-US" w:eastAsia="zh-CN"/>
        </w:rPr>
        <w:t>如是假货及虚假应标</w:t>
      </w:r>
      <w:bookmarkStart w:id="1" w:name="_GoBack"/>
      <w:bookmarkEnd w:id="1"/>
      <w:r>
        <w:rPr>
          <w:rFonts w:hint="eastAsia" w:ascii="宋体" w:hAnsi="宋体" w:eastAsia="宋体" w:cs="宋体"/>
          <w:sz w:val="24"/>
          <w:szCs w:val="24"/>
          <w:lang w:val="en-US" w:eastAsia="zh-CN"/>
        </w:rPr>
        <w:t>按照政府采购法规处理。</w:t>
      </w:r>
    </w:p>
    <w:p w14:paraId="25A2D6B3">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10、成交供应商供货时附上设备标签条，标签内容包含：设备名称、供应商名称、维保期限、维保电话等相关信息。</w:t>
      </w:r>
    </w:p>
    <w:p w14:paraId="3A8E2152">
      <w:pPr>
        <w:pStyle w:val="2"/>
        <w:keepNext w:val="0"/>
        <w:keepLines w:val="0"/>
        <w:pageBreakBefore w:val="0"/>
        <w:widowControl/>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▲以上商务条款中标供应商必须全部满足，否则报价无效。</w:t>
      </w:r>
    </w:p>
    <w:p w14:paraId="73ABD663">
      <w:pPr>
        <w:pStyle w:val="2"/>
        <w:numPr>
          <w:ilvl w:val="0"/>
          <w:numId w:val="0"/>
        </w:numPr>
        <w:spacing w:after="120" w:afterLines="0" w:afterAutospacing="0" w:line="251" w:lineRule="auto"/>
        <w:jc w:val="both"/>
        <w:rPr>
          <w:rFonts w:hint="eastAsia" w:ascii="宋体" w:hAnsi="宋体" w:eastAsia="宋体" w:cs="宋体"/>
          <w:b/>
          <w:bCs/>
          <w:sz w:val="24"/>
          <w:szCs w:val="24"/>
          <w:lang w:eastAsia="zh-CN"/>
        </w:rPr>
      </w:pPr>
    </w:p>
    <w:p w14:paraId="7D1C9661">
      <w:pPr>
        <w:pStyle w:val="2"/>
        <w:numPr>
          <w:ilvl w:val="0"/>
          <w:numId w:val="2"/>
        </w:numPr>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附件　　</w:t>
      </w:r>
    </w:p>
    <w:p w14:paraId="6506B0DC">
      <w:pPr>
        <w:pStyle w:val="2"/>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附件一：报价清单</w:t>
      </w:r>
    </w:p>
    <w:tbl>
      <w:tblPr>
        <w:tblStyle w:val="6"/>
        <w:tblW w:w="991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620"/>
        <w:gridCol w:w="1296"/>
        <w:gridCol w:w="1336"/>
        <w:gridCol w:w="1006"/>
        <w:gridCol w:w="934"/>
        <w:gridCol w:w="1353"/>
        <w:gridCol w:w="1605"/>
      </w:tblGrid>
      <w:tr w14:paraId="06C0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8" w:type="dxa"/>
            <w:shd w:val="clear" w:color="auto" w:fill="auto"/>
            <w:vAlign w:val="center"/>
          </w:tcPr>
          <w:p w14:paraId="77024BAF">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620" w:type="dxa"/>
            <w:shd w:val="clear" w:color="auto" w:fill="auto"/>
            <w:vAlign w:val="center"/>
          </w:tcPr>
          <w:p w14:paraId="180FCB42">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设备名称</w:t>
            </w:r>
          </w:p>
        </w:tc>
        <w:tc>
          <w:tcPr>
            <w:tcW w:w="1296" w:type="dxa"/>
            <w:shd w:val="clear" w:color="auto" w:fill="auto"/>
            <w:vAlign w:val="center"/>
          </w:tcPr>
          <w:p w14:paraId="2E99F408">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报价</w:t>
            </w:r>
            <w:r>
              <w:rPr>
                <w:rFonts w:hint="eastAsia" w:ascii="宋体" w:hAnsi="宋体" w:eastAsia="宋体" w:cs="宋体"/>
                <w:b/>
                <w:bCs/>
                <w:color w:val="auto"/>
                <w:kern w:val="0"/>
                <w:sz w:val="24"/>
                <w:szCs w:val="24"/>
              </w:rPr>
              <w:t>品牌</w:t>
            </w:r>
          </w:p>
        </w:tc>
        <w:tc>
          <w:tcPr>
            <w:tcW w:w="1336" w:type="dxa"/>
            <w:shd w:val="clear" w:color="auto" w:fill="auto"/>
            <w:vAlign w:val="center"/>
          </w:tcPr>
          <w:p w14:paraId="0768EF6A">
            <w:pPr>
              <w:spacing w:after="0" w:line="240" w:lineRule="auto"/>
              <w:ind w:left="0" w:firstLine="0"/>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产品型号</w:t>
            </w:r>
          </w:p>
        </w:tc>
        <w:tc>
          <w:tcPr>
            <w:tcW w:w="1006" w:type="dxa"/>
            <w:shd w:val="clear" w:color="auto" w:fill="auto"/>
            <w:vAlign w:val="center"/>
          </w:tcPr>
          <w:p w14:paraId="4DAB9ADD">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934" w:type="dxa"/>
            <w:shd w:val="clear" w:color="auto" w:fill="auto"/>
            <w:vAlign w:val="center"/>
          </w:tcPr>
          <w:p w14:paraId="075EEB19">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1353" w:type="dxa"/>
            <w:shd w:val="clear" w:color="auto" w:fill="auto"/>
            <w:vAlign w:val="center"/>
          </w:tcPr>
          <w:p w14:paraId="1E8CEB45">
            <w:pPr>
              <w:spacing w:after="0" w:line="240" w:lineRule="auto"/>
              <w:ind w:left="0" w:firstLine="0"/>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报价单价</w:t>
            </w:r>
          </w:p>
        </w:tc>
        <w:tc>
          <w:tcPr>
            <w:tcW w:w="1605" w:type="dxa"/>
            <w:shd w:val="clear" w:color="auto" w:fill="auto"/>
            <w:vAlign w:val="center"/>
          </w:tcPr>
          <w:p w14:paraId="2F542865">
            <w:pPr>
              <w:spacing w:after="0" w:line="240" w:lineRule="auto"/>
              <w:ind w:left="0" w:firstLine="0"/>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报价金额</w:t>
            </w:r>
          </w:p>
        </w:tc>
      </w:tr>
      <w:tr w14:paraId="3AF5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8" w:type="dxa"/>
            <w:shd w:val="clear" w:color="auto" w:fill="auto"/>
            <w:vAlign w:val="center"/>
          </w:tcPr>
          <w:p w14:paraId="514DCAB8">
            <w:pPr>
              <w:spacing w:after="0" w:line="240" w:lineRule="auto"/>
              <w:ind w:left="0" w:firstLine="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620" w:type="dxa"/>
            <w:shd w:val="clear" w:color="auto" w:fill="auto"/>
            <w:vAlign w:val="center"/>
          </w:tcPr>
          <w:p w14:paraId="52826F95">
            <w:pPr>
              <w:spacing w:after="0" w:line="240" w:lineRule="auto"/>
              <w:ind w:left="0" w:firstLine="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手机探测门</w:t>
            </w:r>
          </w:p>
        </w:tc>
        <w:tc>
          <w:tcPr>
            <w:tcW w:w="1296" w:type="dxa"/>
            <w:shd w:val="clear" w:color="auto" w:fill="auto"/>
            <w:vAlign w:val="center"/>
          </w:tcPr>
          <w:p w14:paraId="2C1F7886">
            <w:pPr>
              <w:spacing w:after="0" w:line="240" w:lineRule="auto"/>
              <w:ind w:left="0" w:firstLine="0"/>
              <w:jc w:val="both"/>
              <w:rPr>
                <w:rFonts w:hint="eastAsia" w:ascii="宋体" w:hAnsi="宋体" w:eastAsia="宋体" w:cs="宋体"/>
                <w:kern w:val="0"/>
                <w:sz w:val="24"/>
                <w:szCs w:val="24"/>
                <w:lang w:eastAsia="zh-CN"/>
              </w:rPr>
            </w:pPr>
          </w:p>
        </w:tc>
        <w:tc>
          <w:tcPr>
            <w:tcW w:w="1336" w:type="dxa"/>
            <w:shd w:val="clear" w:color="auto" w:fill="auto"/>
            <w:vAlign w:val="center"/>
          </w:tcPr>
          <w:p w14:paraId="04D49936">
            <w:pPr>
              <w:spacing w:after="0" w:line="240" w:lineRule="auto"/>
              <w:ind w:left="0" w:firstLine="0"/>
              <w:jc w:val="left"/>
              <w:rPr>
                <w:rFonts w:hint="eastAsia" w:ascii="宋体" w:hAnsi="宋体" w:eastAsia="宋体" w:cs="宋体"/>
                <w:color w:val="auto"/>
                <w:kern w:val="0"/>
                <w:sz w:val="24"/>
                <w:szCs w:val="24"/>
              </w:rPr>
            </w:pPr>
          </w:p>
        </w:tc>
        <w:tc>
          <w:tcPr>
            <w:tcW w:w="1006" w:type="dxa"/>
            <w:shd w:val="clear" w:color="000000" w:fill="FFFFFF"/>
            <w:vAlign w:val="center"/>
          </w:tcPr>
          <w:p w14:paraId="3691CAF0">
            <w:pPr>
              <w:spacing w:after="0" w:line="240" w:lineRule="auto"/>
              <w:ind w:left="0" w:firstLine="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934" w:type="dxa"/>
            <w:shd w:val="clear" w:color="auto" w:fill="auto"/>
            <w:vAlign w:val="center"/>
          </w:tcPr>
          <w:p w14:paraId="32D79C12">
            <w:pPr>
              <w:spacing w:after="0" w:line="240" w:lineRule="auto"/>
              <w:ind w:left="0" w:firstLine="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台</w:t>
            </w:r>
          </w:p>
        </w:tc>
        <w:tc>
          <w:tcPr>
            <w:tcW w:w="1353" w:type="dxa"/>
            <w:shd w:val="clear" w:color="auto" w:fill="auto"/>
            <w:vAlign w:val="center"/>
          </w:tcPr>
          <w:p w14:paraId="2F7BE58B">
            <w:pPr>
              <w:spacing w:after="0" w:line="240" w:lineRule="auto"/>
              <w:ind w:left="0" w:firstLine="0"/>
              <w:jc w:val="center"/>
              <w:rPr>
                <w:rFonts w:hint="eastAsia" w:ascii="宋体" w:hAnsi="宋体" w:eastAsia="宋体" w:cs="宋体"/>
                <w:kern w:val="0"/>
                <w:sz w:val="24"/>
                <w:szCs w:val="24"/>
                <w:lang w:eastAsia="zh-CN"/>
              </w:rPr>
            </w:pPr>
          </w:p>
        </w:tc>
        <w:tc>
          <w:tcPr>
            <w:tcW w:w="1605" w:type="dxa"/>
            <w:shd w:val="clear" w:color="auto" w:fill="auto"/>
            <w:vAlign w:val="center"/>
          </w:tcPr>
          <w:p w14:paraId="0A69257F">
            <w:pPr>
              <w:spacing w:after="0" w:line="240" w:lineRule="auto"/>
              <w:ind w:left="0" w:firstLine="0"/>
              <w:jc w:val="center"/>
              <w:rPr>
                <w:rFonts w:hint="eastAsia" w:ascii="宋体" w:hAnsi="宋体" w:eastAsia="宋体" w:cs="宋体"/>
                <w:kern w:val="0"/>
                <w:sz w:val="24"/>
                <w:szCs w:val="24"/>
                <w:lang w:eastAsia="zh-CN"/>
              </w:rPr>
            </w:pPr>
          </w:p>
        </w:tc>
      </w:tr>
    </w:tbl>
    <w:p w14:paraId="32DE1A94">
      <w:pPr>
        <w:pStyle w:val="2"/>
        <w:numPr>
          <w:ilvl w:val="0"/>
          <w:numId w:val="0"/>
        </w:numPr>
        <w:rPr>
          <w:rFonts w:hint="eastAsia" w:ascii="宋体" w:hAnsi="宋体" w:eastAsia="宋体" w:cs="宋体"/>
          <w:b w:val="0"/>
          <w:bCs w:val="0"/>
          <w:sz w:val="24"/>
          <w:szCs w:val="24"/>
          <w:lang w:eastAsia="zh-CN"/>
        </w:rPr>
      </w:pPr>
    </w:p>
    <w:p w14:paraId="18E780BB">
      <w:pPr>
        <w:pStyle w:val="2"/>
        <w:numPr>
          <w:ilvl w:val="0"/>
          <w:numId w:val="0"/>
        </w:num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附件二：技术偏离表</w:t>
      </w:r>
    </w:p>
    <w:p w14:paraId="3B14783D">
      <w:pPr>
        <w:pStyle w:val="2"/>
        <w:numPr>
          <w:ilvl w:val="0"/>
          <w:numId w:val="0"/>
        </w:num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1" w:lineRule="auto"/>
      </w:pPr>
      <w:r>
        <w:separator/>
      </w:r>
    </w:p>
  </w:footnote>
  <w:footnote w:type="continuationSeparator" w:id="1">
    <w:p>
      <w:pPr>
        <w:spacing w:before="0" w:after="0" w:line="25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A0CE8"/>
    <w:multiLevelType w:val="singleLevel"/>
    <w:tmpl w:val="F5AA0CE8"/>
    <w:lvl w:ilvl="0" w:tentative="0">
      <w:start w:val="2"/>
      <w:numFmt w:val="chineseCounting"/>
      <w:suff w:val="nothing"/>
      <w:lvlText w:val="%1、"/>
      <w:lvlJc w:val="left"/>
      <w:rPr>
        <w:rFonts w:hint="eastAsia"/>
      </w:rPr>
    </w:lvl>
  </w:abstractNum>
  <w:abstractNum w:abstractNumId="1">
    <w:nsid w:val="39C375CF"/>
    <w:multiLevelType w:val="singleLevel"/>
    <w:tmpl w:val="39C375CF"/>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M2Q0ZTBjNTE5ZjZmZDg5Y2IwNmQ3ZmRiOTAwNDAifQ=="/>
  </w:docVars>
  <w:rsids>
    <w:rsidRoot w:val="74C953A5"/>
    <w:rsid w:val="00995688"/>
    <w:rsid w:val="064A387B"/>
    <w:rsid w:val="06C15EB9"/>
    <w:rsid w:val="08DD09D6"/>
    <w:rsid w:val="092327F4"/>
    <w:rsid w:val="108A1011"/>
    <w:rsid w:val="15E72E94"/>
    <w:rsid w:val="16027217"/>
    <w:rsid w:val="17211F8C"/>
    <w:rsid w:val="17B62E80"/>
    <w:rsid w:val="1B1C0EEA"/>
    <w:rsid w:val="22C00D68"/>
    <w:rsid w:val="23FA2B5F"/>
    <w:rsid w:val="29762CB5"/>
    <w:rsid w:val="2AA00FA5"/>
    <w:rsid w:val="2C6D4F02"/>
    <w:rsid w:val="2DFA177E"/>
    <w:rsid w:val="31B36E2A"/>
    <w:rsid w:val="352030FF"/>
    <w:rsid w:val="388B21BD"/>
    <w:rsid w:val="3B051751"/>
    <w:rsid w:val="3D2F0AF9"/>
    <w:rsid w:val="4247687D"/>
    <w:rsid w:val="44184095"/>
    <w:rsid w:val="44951615"/>
    <w:rsid w:val="49FD1047"/>
    <w:rsid w:val="4B005883"/>
    <w:rsid w:val="4B814C16"/>
    <w:rsid w:val="4C750F13"/>
    <w:rsid w:val="4D762587"/>
    <w:rsid w:val="4D8F77C9"/>
    <w:rsid w:val="5999733F"/>
    <w:rsid w:val="5CB03CB4"/>
    <w:rsid w:val="63D37432"/>
    <w:rsid w:val="64555083"/>
    <w:rsid w:val="646C600B"/>
    <w:rsid w:val="6A1D19F2"/>
    <w:rsid w:val="6B2C2051"/>
    <w:rsid w:val="6F662970"/>
    <w:rsid w:val="74411746"/>
    <w:rsid w:val="74744FF8"/>
    <w:rsid w:val="74C953A5"/>
    <w:rsid w:val="789433FB"/>
    <w:rsid w:val="79DA711C"/>
    <w:rsid w:val="7A347963"/>
    <w:rsid w:val="7E72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5" w:line="251" w:lineRule="auto"/>
      <w:ind w:left="307" w:firstLine="624"/>
      <w:jc w:val="both"/>
    </w:pPr>
    <w:rPr>
      <w:rFonts w:ascii="微软雅黑" w:hAnsi="微软雅黑" w:eastAsia="微软雅黑" w:cs="微软雅黑"/>
      <w:color w:val="000000"/>
      <w:kern w:val="2"/>
      <w:sz w:val="28"/>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next w:val="3"/>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customStyle="1" w:styleId="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2896</Words>
  <Characters>3084</Characters>
  <Lines>0</Lines>
  <Paragraphs>0</Paragraphs>
  <TotalTime>42</TotalTime>
  <ScaleCrop>false</ScaleCrop>
  <LinksUpToDate>false</LinksUpToDate>
  <CharactersWithSpaces>3086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2024-07-14T01:35:00Z</dcterms:created>
  <dc:creator>A</dc:creator>
  <cp:lastModifiedBy>陈华海</cp:lastModifiedBy>
  <dcterms:modified xsi:type="dcterms:W3CDTF">2025-04-16T07:53:28Z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E41C56AF2F1E47D0AE1687554E5ABF56_13</vt:lpwstr>
  </property>
  <property fmtid="{D5CDD505-2E9C-101B-9397-08002B2CF9AE}" pid="4" name="KSOTemplateDocerSaveRecord">
    <vt:lpwstr>eyJoZGlkIjoiMDJmM2Q0ZTBjNTE5ZjZmZDg5Y2IwNmQ3ZmRiOTAwNDAiLCJ1c2VySWQiOiIyNDI4ODU3NDEifQ==</vt:lpwstr>
  </property>
</Properties>
</file>