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9ADF5">
      <w:pPr>
        <w:spacing w:before="0" w:after="0" w:line="240" w:lineRule="auto"/>
        <w:ind w:left="0" w:right="0" w:firstLine="0"/>
        <w:jc w:val="center"/>
        <w:rPr>
          <w:rFonts w:hint="eastAsia" w:ascii="宋体" w:hAnsi="宋体" w:eastAsia="宋体" w:cs="宋体"/>
          <w:b/>
          <w:bCs/>
          <w:color w:val="000000"/>
          <w:spacing w:val="0"/>
          <w:position w:val="0"/>
          <w:sz w:val="21"/>
          <w:szCs w:val="21"/>
          <w:shd w:val="clear" w:fill="auto"/>
        </w:rPr>
      </w:pPr>
      <w:bookmarkStart w:id="0" w:name="OLE_LINK1"/>
      <w:r>
        <w:rPr>
          <w:rFonts w:hint="eastAsia" w:ascii="宋体" w:hAnsi="宋体" w:eastAsia="宋体" w:cs="宋体"/>
          <w:b/>
          <w:bCs/>
          <w:color w:val="000000"/>
          <w:spacing w:val="0"/>
          <w:position w:val="0"/>
          <w:sz w:val="21"/>
          <w:szCs w:val="21"/>
          <w:shd w:val="clear" w:fill="auto"/>
          <w:lang w:val="en-US" w:eastAsia="zh-CN"/>
        </w:rPr>
        <w:t>防腐木门楼</w:t>
      </w:r>
      <w:bookmarkEnd w:id="0"/>
      <w:r>
        <w:rPr>
          <w:rFonts w:hint="eastAsia" w:ascii="宋体" w:hAnsi="宋体" w:eastAsia="宋体" w:cs="宋体"/>
          <w:b/>
          <w:bCs/>
          <w:color w:val="000000"/>
          <w:spacing w:val="0"/>
          <w:position w:val="0"/>
          <w:sz w:val="21"/>
          <w:szCs w:val="21"/>
          <w:shd w:val="clear" w:fill="auto"/>
          <w:lang w:eastAsia="zh-CN"/>
        </w:rPr>
        <w:t>技术参数</w:t>
      </w:r>
      <w:r>
        <w:rPr>
          <w:rFonts w:hint="eastAsia" w:ascii="宋体" w:hAnsi="宋体" w:eastAsia="宋体" w:cs="宋体"/>
          <w:b/>
          <w:bCs/>
          <w:color w:val="000000"/>
          <w:spacing w:val="0"/>
          <w:position w:val="0"/>
          <w:sz w:val="21"/>
          <w:szCs w:val="21"/>
          <w:shd w:val="clear" w:fill="auto"/>
        </w:rPr>
        <w:t>及商务要求</w:t>
      </w:r>
    </w:p>
    <w:p w14:paraId="6C654D36">
      <w:pPr>
        <w:spacing w:before="0" w:after="0" w:line="240" w:lineRule="auto"/>
        <w:ind w:left="0" w:right="0" w:firstLine="2400" w:firstLineChars="1000"/>
        <w:jc w:val="both"/>
        <w:rPr>
          <w:rFonts w:ascii="宋体" w:hAnsi="宋体" w:eastAsia="宋体" w:cs="宋体"/>
          <w:sz w:val="24"/>
          <w:szCs w:val="24"/>
        </w:rPr>
      </w:pPr>
    </w:p>
    <w:tbl>
      <w:tblPr>
        <w:tblStyle w:val="3"/>
        <w:tblW w:w="10125" w:type="dxa"/>
        <w:tblInd w:w="-839" w:type="dxa"/>
        <w:tblLayout w:type="fixed"/>
        <w:tblCellMar>
          <w:top w:w="0" w:type="dxa"/>
          <w:left w:w="10" w:type="dxa"/>
          <w:bottom w:w="0" w:type="dxa"/>
          <w:right w:w="10" w:type="dxa"/>
        </w:tblCellMar>
      </w:tblPr>
      <w:tblGrid>
        <w:gridCol w:w="1095"/>
        <w:gridCol w:w="6075"/>
        <w:gridCol w:w="645"/>
        <w:gridCol w:w="735"/>
        <w:gridCol w:w="1575"/>
      </w:tblGrid>
      <w:tr w14:paraId="17D910CE">
        <w:tblPrEx>
          <w:tblCellMar>
            <w:top w:w="0" w:type="dxa"/>
            <w:left w:w="10" w:type="dxa"/>
            <w:bottom w:w="0" w:type="dxa"/>
            <w:right w:w="10" w:type="dxa"/>
          </w:tblCellMar>
        </w:tblPrEx>
        <w:trPr>
          <w:trHeight w:val="0" w:hRule="atLeast"/>
        </w:trPr>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711B9C">
            <w:pPr>
              <w:spacing w:before="0" w:after="0" w:line="240" w:lineRule="auto"/>
              <w:ind w:left="0" w:right="0" w:firstLine="0"/>
              <w:jc w:val="center"/>
              <w:rPr>
                <w:rFonts w:ascii="宋体" w:hAnsi="宋体" w:eastAsia="宋体" w:cs="宋体"/>
                <w:spacing w:val="0"/>
                <w:position w:val="0"/>
              </w:rPr>
            </w:pPr>
            <w:r>
              <w:rPr>
                <w:rFonts w:hint="eastAsia" w:ascii="宋体" w:hAnsi="宋体" w:eastAsia="宋体" w:cs="宋体"/>
                <w:color w:val="000000"/>
                <w:spacing w:val="0"/>
                <w:position w:val="0"/>
                <w:sz w:val="21"/>
                <w:shd w:val="clear" w:fill="auto"/>
                <w:lang w:eastAsia="zh-CN"/>
              </w:rPr>
              <w:t>名称</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4DE810">
            <w:pPr>
              <w:spacing w:before="0" w:after="0" w:line="240" w:lineRule="auto"/>
              <w:ind w:left="0" w:right="0" w:firstLine="0"/>
              <w:jc w:val="center"/>
              <w:rPr>
                <w:rFonts w:ascii="宋体" w:hAnsi="宋体" w:eastAsia="宋体" w:cs="宋体"/>
                <w:spacing w:val="0"/>
                <w:position w:val="0"/>
              </w:rPr>
            </w:pPr>
            <w:r>
              <w:rPr>
                <w:rFonts w:hint="eastAsia" w:ascii="宋体" w:hAnsi="宋体" w:eastAsia="宋体" w:cs="宋体"/>
                <w:color w:val="000000"/>
                <w:spacing w:val="0"/>
                <w:position w:val="0"/>
                <w:sz w:val="21"/>
                <w:shd w:val="clear" w:fill="auto"/>
                <w:lang w:eastAsia="zh-CN"/>
              </w:rPr>
              <w:t>具体</w:t>
            </w:r>
            <w:r>
              <w:rPr>
                <w:rFonts w:ascii="宋体" w:hAnsi="宋体" w:eastAsia="宋体" w:cs="宋体"/>
                <w:color w:val="000000"/>
                <w:spacing w:val="0"/>
                <w:position w:val="0"/>
                <w:sz w:val="21"/>
                <w:shd w:val="clear" w:fill="auto"/>
              </w:rPr>
              <w:t>参数</w:t>
            </w:r>
          </w:p>
        </w:tc>
        <w:tc>
          <w:tcPr>
            <w:tcW w:w="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92B82B">
            <w:pPr>
              <w:spacing w:before="0" w:after="0" w:line="240"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数量</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01BF66">
            <w:pPr>
              <w:spacing w:before="0" w:after="0" w:line="240" w:lineRule="auto"/>
              <w:ind w:left="0" w:right="0" w:firstLine="0"/>
              <w:jc w:val="center"/>
              <w:rPr>
                <w:rFonts w:hint="eastAsia" w:ascii="宋体" w:hAnsi="宋体" w:eastAsia="宋体" w:cs="宋体"/>
                <w:spacing w:val="0"/>
                <w:position w:val="0"/>
                <w:lang w:val="en-US" w:eastAsia="zh-CN"/>
              </w:rPr>
            </w:pPr>
            <w:r>
              <w:rPr>
                <w:rFonts w:hint="eastAsia" w:ascii="宋体" w:hAnsi="宋体" w:eastAsia="宋体" w:cs="宋体"/>
                <w:spacing w:val="0"/>
                <w:position w:val="0"/>
                <w:lang w:val="en-US" w:eastAsia="zh-CN"/>
              </w:rPr>
              <w:t>单价</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395A3D9">
            <w:pPr>
              <w:spacing w:before="0" w:after="0" w:line="240"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参考图片</w:t>
            </w:r>
          </w:p>
        </w:tc>
      </w:tr>
      <w:tr w14:paraId="1648FAEE">
        <w:tblPrEx>
          <w:tblCellMar>
            <w:top w:w="0" w:type="dxa"/>
            <w:left w:w="10" w:type="dxa"/>
            <w:bottom w:w="0" w:type="dxa"/>
            <w:right w:w="10" w:type="dxa"/>
          </w:tblCellMar>
        </w:tblPrEx>
        <w:trPr>
          <w:trHeight w:val="3178" w:hRule="atLeast"/>
        </w:trPr>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68D38EE">
            <w:pPr>
              <w:spacing w:before="0" w:after="0" w:line="240" w:lineRule="auto"/>
              <w:ind w:left="0" w:right="0" w:firstLine="0"/>
              <w:jc w:val="both"/>
              <w:rPr>
                <w:rFonts w:hint="eastAsia" w:ascii="黑体" w:hAnsi="黑体" w:eastAsia="黑体" w:cs="黑体"/>
                <w:b/>
                <w:color w:val="auto"/>
                <w:spacing w:val="0"/>
                <w:position w:val="0"/>
                <w:sz w:val="24"/>
                <w:shd w:val="clear" w:fill="auto"/>
                <w:lang w:eastAsia="zh-CN"/>
              </w:rPr>
            </w:pPr>
          </w:p>
          <w:p w14:paraId="5C5BA6F3">
            <w:pPr>
              <w:spacing w:before="0" w:after="0" w:line="240" w:lineRule="auto"/>
              <w:ind w:left="0" w:right="0" w:firstLine="0"/>
              <w:jc w:val="left"/>
              <w:rPr>
                <w:rFonts w:hint="eastAsia" w:ascii="黑体" w:hAnsi="黑体" w:eastAsia="黑体" w:cs="黑体"/>
                <w:b/>
                <w:color w:val="auto"/>
                <w:spacing w:val="0"/>
                <w:position w:val="0"/>
                <w:sz w:val="24"/>
                <w:shd w:val="clear" w:fill="auto"/>
                <w:lang w:eastAsia="zh-CN"/>
              </w:rPr>
            </w:pPr>
          </w:p>
          <w:p w14:paraId="607CFF65">
            <w:pPr>
              <w:spacing w:before="0" w:after="0" w:line="240" w:lineRule="auto"/>
              <w:ind w:left="0" w:right="0" w:firstLine="0"/>
              <w:jc w:val="left"/>
              <w:rPr>
                <w:spacing w:val="0"/>
                <w:position w:val="0"/>
              </w:rPr>
            </w:pPr>
            <w:r>
              <w:rPr>
                <w:rFonts w:hint="eastAsia" w:ascii="宋体" w:hAnsi="宋体" w:eastAsia="宋体" w:cs="宋体"/>
                <w:b/>
                <w:bCs/>
                <w:color w:val="000000"/>
                <w:spacing w:val="0"/>
                <w:position w:val="0"/>
                <w:sz w:val="21"/>
                <w:szCs w:val="21"/>
                <w:shd w:val="clear" w:fill="auto"/>
                <w:lang w:val="en-US" w:eastAsia="zh-CN"/>
              </w:rPr>
              <w:t>防腐木门楼</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56BF395">
            <w:pPr>
              <w:spacing w:before="0" w:after="0" w:line="240" w:lineRule="auto"/>
              <w:ind w:left="0" w:right="0" w:firstLine="0"/>
              <w:jc w:val="both"/>
              <w:rPr>
                <w:rFonts w:hint="eastAsia"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lang w:val="en-US" w:eastAsia="zh-CN"/>
              </w:rPr>
              <w:t>规  格</w:t>
            </w:r>
            <w:r>
              <w:rPr>
                <w:rFonts w:hint="eastAsia" w:ascii="宋体" w:hAnsi="宋体" w:eastAsia="宋体" w:cs="宋体"/>
                <w:color w:val="auto"/>
                <w:spacing w:val="0"/>
                <w:position w:val="0"/>
                <w:sz w:val="18"/>
                <w:szCs w:val="18"/>
                <w:shd w:val="clear" w:fill="auto"/>
              </w:rPr>
              <w:t xml:space="preserve">: </w:t>
            </w:r>
            <w:r>
              <w:rPr>
                <w:rFonts w:hint="eastAsia" w:ascii="宋体" w:hAnsi="宋体" w:eastAsia="宋体" w:cs="宋体"/>
                <w:color w:val="auto"/>
                <w:spacing w:val="0"/>
                <w:position w:val="0"/>
                <w:sz w:val="18"/>
                <w:szCs w:val="18"/>
                <w:shd w:val="clear" w:fill="auto"/>
                <w:lang w:val="en-US" w:eastAsia="zh-CN"/>
              </w:rPr>
              <w:t>宽:1.5m 高:2.5m 大门柱：0.1m×0.1m×2.5m</w:t>
            </w:r>
          </w:p>
          <w:p w14:paraId="088F09CB">
            <w:pPr>
              <w:spacing w:before="0" w:after="0" w:line="240" w:lineRule="auto"/>
              <w:ind w:left="0" w:right="0" w:firstLine="0"/>
              <w:jc w:val="both"/>
              <w:rPr>
                <w:rFonts w:hint="eastAsia"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rPr>
              <w:t>材</w:t>
            </w:r>
            <w:r>
              <w:rPr>
                <w:rFonts w:hint="eastAsia" w:ascii="宋体" w:hAnsi="宋体" w:eastAsia="宋体" w:cs="宋体"/>
                <w:color w:val="auto"/>
                <w:spacing w:val="0"/>
                <w:position w:val="0"/>
                <w:sz w:val="18"/>
                <w:szCs w:val="18"/>
                <w:shd w:val="clear" w:fill="auto"/>
                <w:lang w:val="en-US" w:eastAsia="zh-CN"/>
              </w:rPr>
              <w:t xml:space="preserve">  </w:t>
            </w:r>
            <w:r>
              <w:rPr>
                <w:rFonts w:hint="eastAsia" w:ascii="宋体" w:hAnsi="宋体" w:eastAsia="宋体" w:cs="宋体"/>
                <w:color w:val="auto"/>
                <w:spacing w:val="0"/>
                <w:position w:val="0"/>
                <w:sz w:val="18"/>
                <w:szCs w:val="18"/>
                <w:shd w:val="clear" w:fill="auto"/>
              </w:rPr>
              <w:t>质：防腐木</w:t>
            </w:r>
          </w:p>
          <w:p w14:paraId="080B6A2F">
            <w:pPr>
              <w:spacing w:before="0" w:after="0" w:line="240" w:lineRule="auto"/>
              <w:ind w:left="0" w:right="0" w:firstLine="0"/>
              <w:jc w:val="both"/>
              <w:rPr>
                <w:rFonts w:hint="eastAsia"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rPr>
              <w:t>油</w:t>
            </w:r>
            <w:r>
              <w:rPr>
                <w:rFonts w:hint="eastAsia" w:ascii="宋体" w:hAnsi="宋体" w:eastAsia="宋体" w:cs="宋体"/>
                <w:color w:val="auto"/>
                <w:spacing w:val="0"/>
                <w:position w:val="0"/>
                <w:sz w:val="18"/>
                <w:szCs w:val="18"/>
                <w:shd w:val="clear" w:fill="auto"/>
                <w:lang w:val="en-US" w:eastAsia="zh-CN"/>
              </w:rPr>
              <w:t xml:space="preserve">  </w:t>
            </w:r>
            <w:r>
              <w:rPr>
                <w:rFonts w:hint="eastAsia" w:ascii="宋体" w:hAnsi="宋体" w:eastAsia="宋体" w:cs="宋体"/>
                <w:color w:val="auto"/>
                <w:spacing w:val="0"/>
                <w:position w:val="0"/>
                <w:sz w:val="18"/>
                <w:szCs w:val="18"/>
                <w:shd w:val="clear" w:fill="auto"/>
              </w:rPr>
              <w:t>漆：做旧工艺处理 、防虫防蚁及桐油涂刷</w:t>
            </w:r>
          </w:p>
          <w:p w14:paraId="629DA7C6">
            <w:pPr>
              <w:spacing w:before="0" w:after="0" w:line="240" w:lineRule="auto"/>
              <w:ind w:left="0" w:right="0" w:firstLine="0"/>
              <w:jc w:val="both"/>
              <w:rPr>
                <w:rFonts w:hint="eastAsia"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rPr>
              <w:t xml:space="preserve">尺  寸: </w:t>
            </w:r>
            <w:r>
              <w:rPr>
                <w:rFonts w:hint="eastAsia" w:ascii="宋体" w:hAnsi="宋体" w:eastAsia="宋体" w:cs="宋体"/>
                <w:color w:val="auto"/>
                <w:spacing w:val="0"/>
                <w:position w:val="0"/>
                <w:sz w:val="18"/>
                <w:szCs w:val="18"/>
                <w:shd w:val="clear" w:fill="auto"/>
                <w:lang w:val="en-US" w:eastAsia="zh-CN"/>
              </w:rPr>
              <w:t>支撑立柱高2.5米，两个立柱间距为1.5米，门高1.5米</w:t>
            </w:r>
            <w:r>
              <w:rPr>
                <w:rFonts w:hint="eastAsia" w:ascii="宋体" w:hAnsi="宋体" w:eastAsia="宋体" w:cs="宋体"/>
                <w:color w:val="auto"/>
                <w:spacing w:val="0"/>
                <w:position w:val="0"/>
                <w:sz w:val="18"/>
                <w:szCs w:val="18"/>
                <w:shd w:val="clear" w:fill="auto"/>
              </w:rPr>
              <w:t xml:space="preserve"> </w:t>
            </w:r>
          </w:p>
          <w:p w14:paraId="4FAEBA9B">
            <w:pPr>
              <w:spacing w:before="0" w:after="0" w:line="240" w:lineRule="auto"/>
              <w:ind w:left="0" w:right="0" w:firstLine="0"/>
              <w:jc w:val="both"/>
              <w:rPr>
                <w:rFonts w:hint="default"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eastAsia="zh-CN"/>
              </w:rPr>
              <w:t>运</w:t>
            </w:r>
            <w:r>
              <w:rPr>
                <w:rFonts w:hint="eastAsia" w:ascii="宋体" w:hAnsi="宋体" w:eastAsia="宋体" w:cs="宋体"/>
                <w:color w:val="auto"/>
                <w:spacing w:val="0"/>
                <w:position w:val="0"/>
                <w:sz w:val="18"/>
                <w:szCs w:val="18"/>
                <w:shd w:val="clear" w:fill="auto"/>
                <w:lang w:val="en-US" w:eastAsia="zh-CN"/>
              </w:rPr>
              <w:t xml:space="preserve">  </w:t>
            </w:r>
            <w:r>
              <w:rPr>
                <w:rFonts w:hint="eastAsia" w:ascii="宋体" w:hAnsi="宋体" w:eastAsia="宋体" w:cs="宋体"/>
                <w:color w:val="auto"/>
                <w:spacing w:val="0"/>
                <w:position w:val="0"/>
                <w:sz w:val="18"/>
                <w:szCs w:val="18"/>
                <w:shd w:val="clear" w:fill="auto"/>
                <w:lang w:eastAsia="zh-CN"/>
              </w:rPr>
              <w:t>输：</w:t>
            </w:r>
            <w:r>
              <w:rPr>
                <w:rFonts w:hint="eastAsia" w:ascii="宋体" w:hAnsi="宋体" w:eastAsia="宋体" w:cs="宋体"/>
                <w:color w:val="auto"/>
                <w:spacing w:val="0"/>
                <w:position w:val="0"/>
                <w:sz w:val="18"/>
                <w:szCs w:val="18"/>
                <w:shd w:val="clear" w:fill="auto"/>
                <w:lang w:val="en-US" w:eastAsia="zh-CN"/>
              </w:rPr>
              <w:t>由供应商负责运输</w:t>
            </w:r>
          </w:p>
          <w:p w14:paraId="7C4F4624">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eastAsia="zh-CN"/>
              </w:rPr>
              <w:t>说明：</w:t>
            </w:r>
            <w:r>
              <w:rPr>
                <w:rFonts w:hint="eastAsia" w:ascii="宋体" w:hAnsi="宋体" w:eastAsia="宋体" w:cs="宋体"/>
                <w:color w:val="auto"/>
                <w:spacing w:val="0"/>
                <w:position w:val="0"/>
                <w:sz w:val="18"/>
                <w:szCs w:val="18"/>
                <w:shd w:val="clear" w:fill="auto"/>
                <w:lang w:val="en-US" w:eastAsia="zh-CN"/>
              </w:rPr>
              <w:t>整体框架为防腐木材质，木门为防腐木材质。总尺寸为1.5米宽*2.5米高，材料为松木防腐木，上铺防水布，油漆为防腐手工碳化工艺，底漆两遍，打磨处理两次，面漆两遍，竖排立柱底部尺寸为0.1m×0.1m，高度为2.5m。上方加一个长1.5m×宽0.8m×厚0.02m的防腐木牌匾，并刻字。</w:t>
            </w:r>
          </w:p>
          <w:p w14:paraId="2CB67739">
            <w:pPr>
              <w:pStyle w:val="2"/>
              <w:rPr>
                <w:rFonts w:hint="default"/>
                <w:sz w:val="18"/>
                <w:szCs w:val="20"/>
                <w:lang w:val="en-US" w:eastAsia="zh-CN"/>
              </w:rPr>
            </w:pPr>
            <w:r>
              <w:rPr>
                <w:rFonts w:hint="default"/>
                <w:sz w:val="18"/>
                <w:szCs w:val="20"/>
                <w:lang w:val="en-US" w:eastAsia="zh-CN"/>
              </w:rPr>
              <w:t>所供产品的外观完好，无严重碰撞、表皮脱落等明显瑕疵。所供产品结构牢固，无安全隐患。</w:t>
            </w:r>
          </w:p>
          <w:p w14:paraId="0E0233B9">
            <w:pPr>
              <w:spacing w:before="0" w:after="0" w:line="240" w:lineRule="auto"/>
              <w:ind w:left="0" w:right="0" w:firstLine="0"/>
              <w:jc w:val="both"/>
              <w:rPr>
                <w:rFonts w:hint="eastAsia"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rPr>
              <w:t>▲</w:t>
            </w:r>
            <w:r>
              <w:rPr>
                <w:rFonts w:hint="eastAsia" w:ascii="宋体" w:hAnsi="宋体" w:eastAsia="宋体" w:cs="宋体"/>
                <w:color w:val="auto"/>
                <w:spacing w:val="0"/>
                <w:position w:val="0"/>
                <w:sz w:val="18"/>
                <w:szCs w:val="18"/>
                <w:shd w:val="clear" w:fill="auto"/>
                <w:lang w:eastAsia="zh-CN"/>
              </w:rPr>
              <w:t>提供符合《防腐木材生产规范(GB 22280-2008)》第三方国家认可的检测报告，</w:t>
            </w:r>
            <w:r>
              <w:rPr>
                <w:rFonts w:hint="eastAsia" w:ascii="宋体" w:hAnsi="宋体" w:eastAsia="宋体" w:cs="宋体"/>
                <w:color w:val="auto"/>
                <w:spacing w:val="0"/>
                <w:position w:val="0"/>
                <w:sz w:val="18"/>
                <w:szCs w:val="18"/>
                <w:shd w:val="clear" w:fill="auto"/>
              </w:rPr>
              <w:t>（证明材料：提供具有CMA标识的第三方检测机构出具的检验检测报告扫描件加盖</w:t>
            </w:r>
            <w:r>
              <w:rPr>
                <w:rFonts w:hint="eastAsia" w:ascii="宋体" w:hAnsi="宋体" w:eastAsia="宋体" w:cs="宋体"/>
                <w:color w:val="auto"/>
                <w:spacing w:val="0"/>
                <w:position w:val="0"/>
                <w:sz w:val="18"/>
                <w:szCs w:val="18"/>
                <w:shd w:val="clear" w:fill="auto"/>
                <w:lang w:eastAsia="zh-CN"/>
              </w:rPr>
              <w:t>制造商</w:t>
            </w:r>
            <w:r>
              <w:rPr>
                <w:rFonts w:hint="eastAsia" w:ascii="宋体" w:hAnsi="宋体" w:eastAsia="宋体" w:cs="宋体"/>
                <w:color w:val="auto"/>
                <w:spacing w:val="0"/>
                <w:position w:val="0"/>
                <w:sz w:val="18"/>
                <w:szCs w:val="18"/>
                <w:shd w:val="clear" w:fill="auto"/>
              </w:rPr>
              <w:t>公章）。</w:t>
            </w:r>
          </w:p>
          <w:p w14:paraId="4DACDBE6">
            <w:pPr>
              <w:spacing w:before="0" w:after="0" w:line="240" w:lineRule="auto"/>
              <w:ind w:left="0" w:right="0" w:firstLine="0"/>
              <w:jc w:val="both"/>
              <w:rPr>
                <w:rFonts w:hint="eastAsia" w:eastAsia="宋体"/>
                <w:spacing w:val="0"/>
                <w:position w:val="0"/>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F9B41C1">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p w14:paraId="51D42C96">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p w14:paraId="75ECC42D">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p w14:paraId="757D91F8">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p w14:paraId="29053B04">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p>
          <w:p w14:paraId="517B2FAB">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p>
          <w:p w14:paraId="6908502D">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p>
          <w:p w14:paraId="0F3ACD90">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p>
          <w:p w14:paraId="4AA0FEEF">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p>
          <w:p w14:paraId="5F40BB68">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val="en-US" w:eastAsia="zh-CN"/>
              </w:rPr>
              <w:t>1座</w:t>
            </w:r>
          </w:p>
          <w:p w14:paraId="30CD0AE7">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p w14:paraId="2664B042">
            <w:pPr>
              <w:spacing w:before="0" w:after="0" w:line="240" w:lineRule="auto"/>
              <w:ind w:left="0" w:right="0" w:firstLine="0"/>
              <w:jc w:val="both"/>
              <w:rPr>
                <w:rFonts w:hint="eastAsia" w:ascii="宋体" w:hAnsi="宋体" w:eastAsia="宋体" w:cs="宋体"/>
                <w:color w:val="auto"/>
                <w:spacing w:val="0"/>
                <w:position w:val="0"/>
                <w:sz w:val="18"/>
                <w:szCs w:val="18"/>
                <w:shd w:val="clear" w:fill="auto"/>
                <w:lang w:eastAsia="zh-CN"/>
              </w:rPr>
            </w:pP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A41622">
            <w:pPr>
              <w:spacing w:before="0" w:after="0" w:line="240" w:lineRule="auto"/>
              <w:ind w:left="0" w:right="0" w:firstLine="0"/>
              <w:jc w:val="center"/>
              <w:rPr>
                <w:spacing w:val="0"/>
                <w:position w:val="0"/>
              </w:rPr>
            </w:pPr>
          </w:p>
          <w:p w14:paraId="01D96C5A">
            <w:pPr>
              <w:pStyle w:val="2"/>
              <w:rPr>
                <w:spacing w:val="0"/>
                <w:position w:val="0"/>
              </w:rPr>
            </w:pPr>
          </w:p>
          <w:p w14:paraId="28B97803">
            <w:pPr>
              <w:pStyle w:val="2"/>
              <w:rPr>
                <w:spacing w:val="0"/>
                <w:position w:val="0"/>
              </w:rPr>
            </w:pPr>
          </w:p>
          <w:p w14:paraId="2A05F599">
            <w:pPr>
              <w:pStyle w:val="2"/>
              <w:rPr>
                <w:spacing w:val="0"/>
                <w:position w:val="0"/>
              </w:rPr>
            </w:pPr>
          </w:p>
          <w:p w14:paraId="586C73A7">
            <w:pPr>
              <w:pStyle w:val="2"/>
              <w:rPr>
                <w:spacing w:val="0"/>
                <w:position w:val="0"/>
              </w:rPr>
            </w:pPr>
          </w:p>
          <w:p w14:paraId="1EBAE1F1">
            <w:pPr>
              <w:pStyle w:val="2"/>
              <w:rPr>
                <w:spacing w:val="0"/>
                <w:position w:val="0"/>
              </w:rPr>
            </w:pPr>
          </w:p>
          <w:p w14:paraId="41F4A244">
            <w:pPr>
              <w:pStyle w:val="2"/>
              <w:rPr>
                <w:spacing w:val="0"/>
                <w:position w:val="0"/>
              </w:rPr>
            </w:pPr>
          </w:p>
          <w:p w14:paraId="318BD5AB">
            <w:pPr>
              <w:pStyle w:val="2"/>
              <w:rPr>
                <w:spacing w:val="0"/>
                <w:position w:val="0"/>
              </w:rPr>
            </w:pPr>
          </w:p>
          <w:p w14:paraId="7EAEEDE2">
            <w:pPr>
              <w:pStyle w:val="2"/>
              <w:rPr>
                <w:spacing w:val="0"/>
                <w:position w:val="0"/>
              </w:rPr>
            </w:pPr>
          </w:p>
          <w:p w14:paraId="1B11A046">
            <w:pPr>
              <w:pStyle w:val="2"/>
              <w:rPr>
                <w:rFonts w:hint="default" w:eastAsia="宋体"/>
                <w:spacing w:val="0"/>
                <w:position w:val="0"/>
                <w:lang w:val="en-US" w:eastAsia="zh-CN"/>
              </w:rPr>
            </w:pPr>
            <w:r>
              <w:rPr>
                <w:rFonts w:hint="eastAsia"/>
                <w:spacing w:val="0"/>
                <w:position w:val="0"/>
                <w:lang w:val="en-US" w:eastAsia="zh-CN"/>
              </w:rPr>
              <w:t>4</w:t>
            </w:r>
            <w:bookmarkStart w:id="1" w:name="_GoBack"/>
            <w:bookmarkEnd w:id="1"/>
            <w:r>
              <w:rPr>
                <w:rFonts w:hint="eastAsia"/>
                <w:spacing w:val="0"/>
                <w:position w:val="0"/>
                <w:lang w:val="en-US" w:eastAsia="zh-CN"/>
              </w:rPr>
              <w:t>500</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9AD4418">
            <w:pPr>
              <w:spacing w:before="0" w:after="0" w:line="240" w:lineRule="auto"/>
              <w:ind w:left="0" w:right="0" w:firstLine="0"/>
              <w:jc w:val="center"/>
            </w:pPr>
          </w:p>
          <w:p w14:paraId="122E5CB9">
            <w:pPr>
              <w:spacing w:before="0" w:after="0" w:line="240" w:lineRule="auto"/>
              <w:ind w:left="0" w:right="0" w:firstLine="0"/>
              <w:jc w:val="center"/>
            </w:pPr>
          </w:p>
          <w:p w14:paraId="430008D5">
            <w:pPr>
              <w:spacing w:before="0" w:after="0" w:line="240" w:lineRule="auto"/>
              <w:ind w:left="0" w:right="0" w:firstLine="0"/>
              <w:jc w:val="center"/>
            </w:pPr>
          </w:p>
          <w:p w14:paraId="2A83343B">
            <w:pPr>
              <w:spacing w:before="0" w:after="0" w:line="240" w:lineRule="auto"/>
              <w:ind w:left="0" w:right="0" w:firstLine="0"/>
              <w:jc w:val="center"/>
              <w:rPr>
                <w:rFonts w:hint="eastAsia" w:eastAsiaTheme="minorEastAsia"/>
                <w:spacing w:val="0"/>
                <w:position w:val="0"/>
                <w:lang w:eastAsia="zh-CN"/>
              </w:rPr>
            </w:pPr>
            <w:r>
              <w:rPr>
                <w:rFonts w:hint="eastAsia" w:eastAsiaTheme="minorEastAsia"/>
                <w:spacing w:val="0"/>
                <w:position w:val="0"/>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17780</wp:posOffset>
                  </wp:positionV>
                  <wp:extent cx="894715" cy="1099820"/>
                  <wp:effectExtent l="0" t="0" r="0" b="0"/>
                  <wp:wrapSquare wrapText="bothSides"/>
                  <wp:docPr id="1" name="图片 1" descr="c11046a4f22254db1513a1772555d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1046a4f22254db1513a1772555d897"/>
                          <pic:cNvPicPr>
                            <a:picLocks noChangeAspect="1"/>
                          </pic:cNvPicPr>
                        </pic:nvPicPr>
                        <pic:blipFill>
                          <a:blip r:embed="rId4"/>
                          <a:srcRect l="-3985" b="4151"/>
                          <a:stretch>
                            <a:fillRect/>
                          </a:stretch>
                        </pic:blipFill>
                        <pic:spPr>
                          <a:xfrm>
                            <a:off x="0" y="0"/>
                            <a:ext cx="894715" cy="1099820"/>
                          </a:xfrm>
                          <a:prstGeom prst="rect">
                            <a:avLst/>
                          </a:prstGeom>
                        </pic:spPr>
                      </pic:pic>
                    </a:graphicData>
                  </a:graphic>
                </wp:anchor>
              </w:drawing>
            </w:r>
          </w:p>
        </w:tc>
      </w:tr>
    </w:tbl>
    <w:p w14:paraId="4E5076A0">
      <w:pPr>
        <w:spacing w:before="0" w:after="0" w:line="240" w:lineRule="auto"/>
        <w:ind w:left="0" w:right="0" w:firstLine="0"/>
        <w:jc w:val="both"/>
      </w:pPr>
      <w:r>
        <w:rPr>
          <w:rFonts w:hint="eastAsia" w:ascii="宋体" w:hAnsi="宋体" w:eastAsia="宋体" w:cs="宋体"/>
          <w:b/>
          <w:bCs/>
          <w:color w:val="000000"/>
          <w:kern w:val="0"/>
          <w:sz w:val="18"/>
          <w:szCs w:val="18"/>
          <w:lang w:val="en-US" w:eastAsia="zh-CN" w:bidi="ar"/>
        </w:rPr>
        <w:t xml:space="preserve">注：报价企业中标后签合同前须提供带“▲”技术要求的（证明材料扫描件加盖制造商公章）不全或不能满足技术要求的不予签合同并报公共资源交易中心，依法依规提请政采云平台进行处罚，处罚内容包括停 </w:t>
      </w:r>
    </w:p>
    <w:p w14:paraId="0785F459">
      <w:pPr>
        <w:keepNext w:val="0"/>
        <w:keepLines w:val="0"/>
        <w:widowControl/>
        <w:suppressLineNumbers w:val="0"/>
        <w:jc w:val="both"/>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止推送报价信息、禁止报价等，并记入政府采购诚信档案。</w:t>
      </w:r>
    </w:p>
    <w:p w14:paraId="2B24CC15">
      <w:pPr>
        <w:pStyle w:val="2"/>
        <w:rPr>
          <w:rFonts w:hint="eastAsia" w:ascii="宋体" w:hAnsi="宋体" w:eastAsia="宋体" w:cs="宋体"/>
          <w:b/>
          <w:bCs/>
          <w:color w:val="000000"/>
          <w:kern w:val="0"/>
          <w:sz w:val="18"/>
          <w:szCs w:val="18"/>
          <w:lang w:val="en-US" w:eastAsia="zh-CN" w:bidi="ar"/>
        </w:rPr>
      </w:pPr>
    </w:p>
    <w:p w14:paraId="259E1082">
      <w:pPr>
        <w:pStyle w:val="2"/>
        <w:rPr>
          <w:rFonts w:hint="eastAsia" w:ascii="宋体" w:hAnsi="宋体" w:eastAsia="宋体" w:cs="宋体"/>
          <w:b/>
          <w:bCs/>
          <w:color w:val="000000"/>
          <w:kern w:val="0"/>
          <w:sz w:val="18"/>
          <w:szCs w:val="18"/>
          <w:lang w:val="en-US" w:eastAsia="zh-CN" w:bidi="ar"/>
        </w:rPr>
      </w:pPr>
    </w:p>
    <w:p w14:paraId="5A3EFD4E">
      <w:pPr>
        <w:pStyle w:val="2"/>
        <w:rPr>
          <w:rFonts w:hint="eastAsia" w:ascii="宋体" w:hAnsi="宋体" w:eastAsia="宋体" w:cs="宋体"/>
          <w:b/>
          <w:bCs/>
          <w:color w:val="000000"/>
          <w:kern w:val="0"/>
          <w:sz w:val="18"/>
          <w:szCs w:val="18"/>
          <w:lang w:val="en-US" w:eastAsia="zh-CN" w:bidi="ar"/>
        </w:rPr>
      </w:pPr>
    </w:p>
    <w:p w14:paraId="271AC351">
      <w:pPr>
        <w:pStyle w:val="2"/>
        <w:rPr>
          <w:rFonts w:hint="eastAsia" w:ascii="宋体" w:hAnsi="宋体" w:eastAsia="宋体" w:cs="宋体"/>
          <w:b/>
          <w:bCs/>
          <w:color w:val="000000"/>
          <w:kern w:val="0"/>
          <w:sz w:val="18"/>
          <w:szCs w:val="18"/>
          <w:lang w:val="en-US" w:eastAsia="zh-CN" w:bidi="ar"/>
        </w:rPr>
      </w:pPr>
    </w:p>
    <w:p w14:paraId="05B750E1">
      <w:pPr>
        <w:pStyle w:val="2"/>
        <w:rPr>
          <w:rFonts w:hint="eastAsia" w:ascii="宋体" w:hAnsi="宋体" w:eastAsia="宋体" w:cs="宋体"/>
          <w:b/>
          <w:bCs/>
          <w:color w:val="000000"/>
          <w:kern w:val="0"/>
          <w:sz w:val="18"/>
          <w:szCs w:val="18"/>
          <w:lang w:val="en-US" w:eastAsia="zh-CN" w:bidi="ar"/>
        </w:rPr>
      </w:pPr>
    </w:p>
    <w:p w14:paraId="52770209">
      <w:pPr>
        <w:pStyle w:val="2"/>
        <w:rPr>
          <w:rFonts w:hint="eastAsia" w:ascii="宋体" w:hAnsi="宋体" w:eastAsia="宋体" w:cs="宋体"/>
          <w:b/>
          <w:bCs/>
          <w:color w:val="000000"/>
          <w:kern w:val="0"/>
          <w:sz w:val="18"/>
          <w:szCs w:val="18"/>
          <w:lang w:val="en-US" w:eastAsia="zh-CN" w:bidi="ar"/>
        </w:rPr>
      </w:pPr>
    </w:p>
    <w:p w14:paraId="711A88AB">
      <w:pPr>
        <w:pStyle w:val="2"/>
        <w:rPr>
          <w:rFonts w:hint="eastAsia" w:ascii="宋体" w:hAnsi="宋体" w:eastAsia="宋体" w:cs="宋体"/>
          <w:b/>
          <w:bCs/>
          <w:color w:val="000000"/>
          <w:kern w:val="0"/>
          <w:sz w:val="18"/>
          <w:szCs w:val="18"/>
          <w:lang w:val="en-US" w:eastAsia="zh-CN" w:bidi="ar"/>
        </w:rPr>
      </w:pPr>
    </w:p>
    <w:p w14:paraId="581F59AD">
      <w:pPr>
        <w:pStyle w:val="2"/>
        <w:rPr>
          <w:rFonts w:hint="eastAsia" w:ascii="宋体" w:hAnsi="宋体" w:eastAsia="宋体" w:cs="宋体"/>
          <w:b/>
          <w:bCs/>
          <w:color w:val="000000"/>
          <w:kern w:val="0"/>
          <w:sz w:val="18"/>
          <w:szCs w:val="18"/>
          <w:lang w:val="en-US" w:eastAsia="zh-CN" w:bidi="ar"/>
        </w:rPr>
      </w:pPr>
    </w:p>
    <w:tbl>
      <w:tblPr>
        <w:tblStyle w:val="4"/>
        <w:tblW w:w="9960"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8235"/>
      </w:tblGrid>
      <w:tr w14:paraId="18B0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5" w:type="dxa"/>
          </w:tcPr>
          <w:p w14:paraId="4A731641">
            <w:pPr>
              <w:spacing w:before="0" w:after="0" w:line="240" w:lineRule="auto"/>
              <w:ind w:left="0" w:right="0" w:firstLine="0"/>
              <w:jc w:val="left"/>
              <w:rPr>
                <w:rFonts w:ascii="宋体" w:hAnsi="宋体" w:eastAsia="宋体" w:cs="宋体"/>
                <w:color w:val="000000"/>
                <w:spacing w:val="0"/>
                <w:position w:val="0"/>
                <w:sz w:val="21"/>
                <w:shd w:val="clear" w:fill="auto"/>
              </w:rPr>
            </w:pPr>
          </w:p>
          <w:p w14:paraId="13BA2781">
            <w:pPr>
              <w:jc w:val="center"/>
              <w:rPr>
                <w:vertAlign w:val="baseline"/>
              </w:rPr>
            </w:pPr>
            <w:r>
              <w:rPr>
                <w:rFonts w:hint="eastAsia" w:ascii="宋体" w:hAnsi="宋体" w:eastAsia="宋体" w:cs="宋体"/>
                <w:color w:val="000000"/>
                <w:spacing w:val="0"/>
                <w:position w:val="0"/>
                <w:sz w:val="21"/>
                <w:shd w:val="clear" w:fill="auto"/>
                <w:lang w:val="en-US" w:eastAsia="zh-CN"/>
              </w:rPr>
              <w:t>商务项目</w:t>
            </w:r>
          </w:p>
        </w:tc>
        <w:tc>
          <w:tcPr>
            <w:tcW w:w="8235" w:type="dxa"/>
          </w:tcPr>
          <w:p w14:paraId="1AC09E11">
            <w:pPr>
              <w:spacing w:before="0" w:after="0" w:line="240" w:lineRule="auto"/>
              <w:ind w:left="0" w:right="0" w:firstLine="0"/>
              <w:jc w:val="left"/>
              <w:rPr>
                <w:rFonts w:ascii="宋体" w:hAnsi="宋体" w:eastAsia="宋体" w:cs="宋体"/>
                <w:color w:val="000000"/>
                <w:spacing w:val="0"/>
                <w:position w:val="0"/>
                <w:sz w:val="21"/>
                <w:shd w:val="clear" w:fill="auto"/>
              </w:rPr>
            </w:pPr>
          </w:p>
          <w:p w14:paraId="37C60A81">
            <w:pPr>
              <w:jc w:val="center"/>
              <w:rPr>
                <w:vertAlign w:val="baseline"/>
              </w:rPr>
            </w:pPr>
            <w:r>
              <w:rPr>
                <w:rFonts w:ascii="宋体" w:hAnsi="宋体" w:eastAsia="宋体" w:cs="宋体"/>
                <w:color w:val="000000"/>
                <w:spacing w:val="0"/>
                <w:position w:val="0"/>
                <w:sz w:val="21"/>
                <w:shd w:val="clear" w:fill="auto"/>
              </w:rPr>
              <w:t>商务要求</w:t>
            </w:r>
          </w:p>
        </w:tc>
      </w:tr>
      <w:tr w14:paraId="1C92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725" w:type="dxa"/>
          </w:tcPr>
          <w:p w14:paraId="0B3A2C3D">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3341B4F8">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07114C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DBD7DAE">
            <w:pPr>
              <w:keepNext w:val="0"/>
              <w:keepLines w:val="0"/>
              <w:widowControl/>
              <w:suppressLineNumbers w:val="0"/>
              <w:jc w:val="left"/>
              <w:rPr>
                <w:vertAlign w:val="baseline"/>
              </w:rPr>
            </w:pPr>
            <w:r>
              <w:rPr>
                <w:rFonts w:hint="eastAsia" w:ascii="宋体" w:hAnsi="宋体" w:eastAsia="宋体" w:cs="宋体"/>
                <w:color w:val="000000"/>
                <w:kern w:val="0"/>
                <w:sz w:val="20"/>
                <w:szCs w:val="20"/>
                <w:lang w:val="en-US" w:eastAsia="zh-CN" w:bidi="ar"/>
              </w:rPr>
              <w:t>一、投标人资格及报价要求</w:t>
            </w:r>
          </w:p>
        </w:tc>
        <w:tc>
          <w:tcPr>
            <w:tcW w:w="8235" w:type="dxa"/>
          </w:tcPr>
          <w:p w14:paraId="7EF9CF2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1、供应商必须符合政府采购法第二十二条规定的投标人资格条件，</w:t>
            </w:r>
            <w:r>
              <w:rPr>
                <w:rFonts w:hint="eastAsia" w:ascii="宋体" w:hAnsi="宋体" w:eastAsia="宋体" w:cs="宋体"/>
                <w:color w:val="auto"/>
                <w:spacing w:val="0"/>
                <w:position w:val="0"/>
                <w:sz w:val="18"/>
                <w:szCs w:val="18"/>
                <w:shd w:val="clear" w:fill="auto"/>
                <w:lang w:val="en-US" w:eastAsia="zh-CN"/>
              </w:rPr>
              <w:t>供应商应提供货物参数、功能和技术指标及相关检测报告、证书、试验报告等要求，以上参数是本次采购的最低要求，投标供应商未按▲要求不全或不能提供者，做参数不符处理，采购方将不予确认结果</w:t>
            </w:r>
            <w:r>
              <w:rPr>
                <w:rFonts w:hint="eastAsia" w:ascii="宋体" w:hAnsi="宋体" w:eastAsia="宋体" w:cs="宋体"/>
                <w:color w:val="000000"/>
                <w:kern w:val="0"/>
                <w:sz w:val="20"/>
                <w:szCs w:val="20"/>
                <w:lang w:val="en-US" w:eastAsia="zh-CN" w:bidi="ar"/>
              </w:rPr>
              <w:t>，否则作虚假应标处理，取消其中标资格，并上报相关部门处理。</w:t>
            </w:r>
          </w:p>
          <w:p w14:paraId="77B912C5">
            <w:pPr>
              <w:keepNext w:val="0"/>
              <w:keepLines w:val="0"/>
              <w:widowControl/>
              <w:suppressLineNumbers w:val="0"/>
              <w:jc w:val="left"/>
              <w:rPr>
                <w:vertAlign w:val="baseline"/>
              </w:rPr>
            </w:pPr>
            <w:r>
              <w:rPr>
                <w:rFonts w:hint="eastAsia" w:ascii="宋体" w:hAnsi="宋体" w:eastAsia="宋体" w:cs="宋体"/>
                <w:color w:val="000000"/>
                <w:kern w:val="0"/>
                <w:sz w:val="20"/>
                <w:szCs w:val="20"/>
                <w:lang w:val="en-US" w:eastAsia="zh-CN" w:bidi="ar"/>
              </w:rPr>
              <w:t>2.如有违规违约行为，将根据在线询价违约处理规则，依法依规提请政采 云平台进行处罚，处罚内容包括停止推送报价信息、禁止报价等，并记入政府采购诚信档案。</w:t>
            </w:r>
          </w:p>
        </w:tc>
      </w:tr>
      <w:tr w14:paraId="0FBF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4DD79DDC">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4D92851C">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6A644B09">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304AEC83">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6D72561">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1BAF69F">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201B850">
            <w:pPr>
              <w:keepNext w:val="0"/>
              <w:keepLines w:val="0"/>
              <w:widowControl/>
              <w:suppressLineNumbers w:val="0"/>
              <w:jc w:val="left"/>
            </w:pPr>
            <w:r>
              <w:rPr>
                <w:rFonts w:hint="eastAsia" w:ascii="宋体" w:hAnsi="宋体" w:eastAsia="宋体" w:cs="宋体"/>
                <w:color w:val="000000"/>
                <w:kern w:val="0"/>
                <w:sz w:val="20"/>
                <w:szCs w:val="20"/>
                <w:lang w:val="en-US" w:eastAsia="zh-CN" w:bidi="ar"/>
              </w:rPr>
              <w:t>二、在线询价结果确认与验收要求</w:t>
            </w:r>
          </w:p>
          <w:p w14:paraId="6C9DFEF9">
            <w:pPr>
              <w:rPr>
                <w:vertAlign w:val="baseline"/>
              </w:rPr>
            </w:pPr>
          </w:p>
        </w:tc>
        <w:tc>
          <w:tcPr>
            <w:tcW w:w="8235" w:type="dxa"/>
          </w:tcPr>
          <w:p w14:paraId="3169F88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本次询价以最低价为中标价。在线询价结果产生后，将对以下方面进行核实确认： </w:t>
            </w:r>
          </w:p>
          <w:p w14:paraId="46E95C7F">
            <w:pPr>
              <w:keepNext w:val="0"/>
              <w:keepLines w:val="0"/>
              <w:widowControl/>
              <w:numPr>
                <w:ilvl w:val="0"/>
                <w:numId w:val="1"/>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预中标供应商如果不符合本次在线询价的商务要求，则取消在线询价结果，对采购单位造成损失的有供应商承担。</w:t>
            </w:r>
          </w:p>
          <w:p w14:paraId="522770A4">
            <w:pPr>
              <w:keepNext w:val="0"/>
              <w:keepLines w:val="0"/>
              <w:widowControl/>
              <w:numPr>
                <w:ilvl w:val="0"/>
                <w:numId w:val="0"/>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2 .所有设备预中标供应商应在得到采购单位最终确认后方可组织生产，否则造成的一切后果有供应商自行负责，对采购单位造成的延期及损失有供应商承担。 </w:t>
            </w:r>
          </w:p>
          <w:p w14:paraId="12754854">
            <w:pPr>
              <w:keepNext w:val="0"/>
              <w:keepLines w:val="0"/>
              <w:widowControl/>
              <w:numPr>
                <w:ilvl w:val="0"/>
                <w:numId w:val="0"/>
              </w:numPr>
              <w:suppressLineNumbers w:val="0"/>
              <w:jc w:val="left"/>
            </w:pPr>
            <w:r>
              <w:rPr>
                <w:rFonts w:hint="eastAsia" w:ascii="宋体" w:hAnsi="宋体" w:eastAsia="宋体" w:cs="宋体"/>
                <w:color w:val="000000"/>
                <w:kern w:val="0"/>
                <w:sz w:val="20"/>
                <w:szCs w:val="20"/>
                <w:lang w:val="en-US" w:eastAsia="zh-CN" w:bidi="ar"/>
              </w:rPr>
              <w:t xml:space="preserve">3、投标供应商需提供以下资料（报价时响应附件要求上传扫描件）不能提供者，做参数不符处理，采购方将不予确认结果。 </w:t>
            </w:r>
          </w:p>
          <w:p w14:paraId="720FA89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 .供应商应提供货物参数、功能和技术指标及相关检测报告、证书、试验报告 </w:t>
            </w:r>
          </w:p>
          <w:p w14:paraId="0055149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等要求。 </w:t>
            </w:r>
          </w:p>
          <w:p w14:paraId="0992AC58">
            <w:pPr>
              <w:keepNext w:val="0"/>
              <w:keepLines w:val="0"/>
              <w:widowControl/>
              <w:numPr>
                <w:ilvl w:val="0"/>
                <w:numId w:val="2"/>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投标供应商的营业执照(或事业法人登记证或其他工商等登记证明材料)复印件； </w:t>
            </w:r>
          </w:p>
          <w:p w14:paraId="1D060ACF">
            <w:pPr>
              <w:keepNext w:val="0"/>
              <w:keepLines w:val="0"/>
              <w:widowControl/>
              <w:numPr>
                <w:ilvl w:val="0"/>
                <w:numId w:val="0"/>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 验收过程发现交付的货物品种、型号、规格、技术参数、质量、安全要求不符合采购人最终协商要求或合同规定的，严格要求中标供应商进行替换。在中标供应商未提供符合要求的商品之前，被替换的产品由本单位免费使用， 中标供应商不得撤回。</w:t>
            </w:r>
          </w:p>
          <w:p w14:paraId="7EA6FC65">
            <w:pPr>
              <w:keepNext w:val="0"/>
              <w:keepLines w:val="0"/>
              <w:widowControl/>
              <w:numPr>
                <w:ilvl w:val="0"/>
                <w:numId w:val="0"/>
              </w:numPr>
              <w:suppressLineNumbers w:val="0"/>
              <w:jc w:val="left"/>
              <w:rPr>
                <w:vertAlign w:val="baseline"/>
              </w:rPr>
            </w:pPr>
            <w:r>
              <w:rPr>
                <w:rFonts w:hint="eastAsia" w:ascii="宋体" w:hAnsi="宋体" w:eastAsia="宋体" w:cs="宋体"/>
                <w:color w:val="000000"/>
                <w:kern w:val="0"/>
                <w:sz w:val="20"/>
                <w:szCs w:val="20"/>
                <w:lang w:val="en-US" w:eastAsia="zh-CN" w:bidi="ar"/>
              </w:rPr>
              <w:t>7. 未能提供符合采购人要求的商品，则履约验收不合格， 本单位有权拒绝支付货款，并视为中标供应商将前期提供的不合格产品免费赠予本单位。</w:t>
            </w:r>
          </w:p>
        </w:tc>
      </w:tr>
      <w:tr w14:paraId="143B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06BFFEE1">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2C9864E8">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4CCA7664">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5B18B57A">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2E39920D">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07EE8C43">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0B27E3A">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C9BFEF3">
            <w:pPr>
              <w:keepNext w:val="0"/>
              <w:keepLines w:val="0"/>
              <w:widowControl/>
              <w:suppressLineNumbers w:val="0"/>
              <w:jc w:val="left"/>
            </w:pPr>
            <w:r>
              <w:rPr>
                <w:rFonts w:hint="eastAsia" w:ascii="宋体" w:hAnsi="宋体" w:eastAsia="宋体" w:cs="宋体"/>
                <w:color w:val="000000"/>
                <w:kern w:val="0"/>
                <w:sz w:val="20"/>
                <w:szCs w:val="20"/>
                <w:lang w:val="en-US" w:eastAsia="zh-CN" w:bidi="ar"/>
              </w:rPr>
              <w:t>三、服务及质量保证要求：</w:t>
            </w:r>
          </w:p>
          <w:p w14:paraId="42738528">
            <w:pPr>
              <w:rPr>
                <w:vertAlign w:val="baseline"/>
              </w:rPr>
            </w:pPr>
          </w:p>
        </w:tc>
        <w:tc>
          <w:tcPr>
            <w:tcW w:w="8235" w:type="dxa"/>
          </w:tcPr>
          <w:p w14:paraId="1FAE9CAE">
            <w:pPr>
              <w:keepNext w:val="0"/>
              <w:keepLines w:val="0"/>
              <w:widowControl/>
              <w:suppressLineNumbers w:val="0"/>
              <w:jc w:val="left"/>
              <w:rPr>
                <w:rFonts w:hint="eastAsia" w:ascii="宋体" w:hAnsi="宋体" w:eastAsia="宋体" w:cs="宋体"/>
                <w:color w:val="auto"/>
                <w:spacing w:val="0"/>
                <w:position w:val="0"/>
                <w:sz w:val="18"/>
                <w:szCs w:val="18"/>
                <w:shd w:val="clear" w:fill="auto"/>
                <w:lang w:val="en-US" w:eastAsia="zh-CN"/>
              </w:rPr>
            </w:pPr>
            <w:r>
              <w:rPr>
                <w:rFonts w:hint="eastAsia" w:ascii="宋体" w:hAnsi="宋体" w:eastAsia="宋体" w:cs="宋体"/>
                <w:color w:val="auto"/>
                <w:spacing w:val="0"/>
                <w:position w:val="0"/>
                <w:sz w:val="18"/>
                <w:szCs w:val="18"/>
                <w:shd w:val="clear" w:fill="auto"/>
                <w:lang w:val="en-US" w:eastAsia="zh-CN"/>
              </w:rPr>
              <w:t>1.质保期：验收合格后，提供不少于2年的产品保修期</w:t>
            </w:r>
            <w:r>
              <w:rPr>
                <w:rFonts w:hint="eastAsia" w:ascii="宋体" w:hAnsi="宋体" w:eastAsia="宋体" w:cs="宋体"/>
                <w:color w:val="auto"/>
                <w:spacing w:val="0"/>
                <w:position w:val="0"/>
                <w:sz w:val="18"/>
                <w:szCs w:val="18"/>
                <w:shd w:val="clear" w:fill="auto"/>
              </w:rPr>
              <w:t>。</w:t>
            </w:r>
          </w:p>
          <w:p w14:paraId="0C0FBF99">
            <w:pPr>
              <w:keepNext w:val="0"/>
              <w:keepLines w:val="0"/>
              <w:widowControl/>
              <w:suppressLineNumbers w:val="0"/>
              <w:jc w:val="left"/>
              <w:rPr>
                <w:rFonts w:ascii="宋体" w:hAnsi="宋体" w:eastAsia="宋体" w:cs="宋体"/>
                <w:color w:val="auto"/>
                <w:spacing w:val="0"/>
                <w:position w:val="0"/>
                <w:sz w:val="18"/>
                <w:szCs w:val="18"/>
                <w:shd w:val="clear" w:fill="auto"/>
              </w:rPr>
            </w:pPr>
            <w:r>
              <w:rPr>
                <w:rFonts w:hint="eastAsia" w:ascii="宋体" w:hAnsi="宋体" w:eastAsia="宋体" w:cs="宋体"/>
                <w:color w:val="auto"/>
                <w:spacing w:val="0"/>
                <w:position w:val="0"/>
                <w:sz w:val="18"/>
                <w:szCs w:val="18"/>
                <w:shd w:val="clear" w:fill="auto"/>
                <w:lang w:val="en-US" w:eastAsia="zh-CN"/>
              </w:rPr>
              <w:t>2</w:t>
            </w:r>
            <w:r>
              <w:rPr>
                <w:rFonts w:ascii="宋体" w:hAnsi="宋体" w:eastAsia="宋体" w:cs="宋体"/>
                <w:color w:val="auto"/>
                <w:spacing w:val="0"/>
                <w:position w:val="0"/>
                <w:sz w:val="18"/>
                <w:szCs w:val="18"/>
                <w:shd w:val="clear" w:fill="auto"/>
              </w:rPr>
              <w:t>、售后服务：报修时间，乙方应在接到保修电话0.5小时响应，乙方未在约定时间内修复的或同一货物经3次维修后仍不能稳定、可靠运行的，甲方有权要求乙方免费更换。</w:t>
            </w:r>
          </w:p>
          <w:p w14:paraId="435241C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3、供应商报价包含货物到达甲方或甲方指定用户并能正常使用所需的一切费用等。</w:t>
            </w:r>
          </w:p>
          <w:p w14:paraId="510DFCB2">
            <w:pPr>
              <w:keepNext w:val="0"/>
              <w:keepLines w:val="0"/>
              <w:widowControl/>
              <w:numPr>
                <w:ilvl w:val="0"/>
                <w:numId w:val="0"/>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4、投标货物必须是符合国家技术规范和质量标准的合格产品，满足采购单位的使用需求。要求原厂正品、质量过硬，符合在线询价中的参数要求，不得出现假冒伪劣产品，否则验收不予通过并拒绝支付货款。 </w:t>
            </w:r>
          </w:p>
          <w:p w14:paraId="4297EEB8">
            <w:pPr>
              <w:keepNext w:val="0"/>
              <w:keepLines w:val="0"/>
              <w:widowControl/>
              <w:numPr>
                <w:ilvl w:val="0"/>
                <w:numId w:val="0"/>
              </w:numPr>
              <w:suppressLineNumbers w:val="0"/>
              <w:jc w:val="left"/>
            </w:pPr>
            <w:r>
              <w:rPr>
                <w:rFonts w:hint="eastAsia" w:ascii="宋体" w:hAnsi="宋体" w:eastAsia="宋体" w:cs="宋体"/>
                <w:color w:val="000000"/>
                <w:kern w:val="0"/>
                <w:sz w:val="20"/>
                <w:szCs w:val="20"/>
                <w:lang w:val="en-US" w:eastAsia="zh-CN" w:bidi="ar"/>
              </w:rPr>
              <w:t xml:space="preserve">5、对质量问题存在争议的，将送质检中心进行破坏性检测，检测标准依据最新国家标准和行业标准，检测费用由中标供应商承担。如中标供应商拒绝送检或拒绝承担检测费用的，视为自动放弃本项目。采购方拒绝支付货款。 </w:t>
            </w:r>
          </w:p>
          <w:p w14:paraId="1FF6EAF5">
            <w:pPr>
              <w:keepNext w:val="0"/>
              <w:keepLines w:val="0"/>
              <w:widowControl/>
              <w:numPr>
                <w:ilvl w:val="0"/>
                <w:numId w:val="0"/>
              </w:numPr>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6、合同签订后，卖方完成全部供货及安装、调试、培训等服务，通过买方验收后，开具实际合同金额 100%的增值税发票，买方向卖方支付 100%合同价款；</w:t>
            </w:r>
          </w:p>
          <w:p w14:paraId="230A20F8">
            <w:pPr>
              <w:keepNext w:val="0"/>
              <w:keepLines w:val="0"/>
              <w:widowControl/>
              <w:numPr>
                <w:ilvl w:val="0"/>
                <w:numId w:val="0"/>
              </w:numPr>
              <w:suppressLineNumbers w:val="0"/>
              <w:jc w:val="left"/>
              <w:rPr>
                <w:vertAlign w:val="baseline"/>
              </w:rPr>
            </w:pPr>
            <w:r>
              <w:rPr>
                <w:rFonts w:hint="eastAsia" w:ascii="宋体" w:hAnsi="宋体" w:eastAsia="宋体" w:cs="宋体"/>
                <w:color w:val="000000"/>
                <w:kern w:val="0"/>
                <w:sz w:val="20"/>
                <w:szCs w:val="20"/>
                <w:lang w:val="en-US" w:eastAsia="zh-CN" w:bidi="ar"/>
              </w:rPr>
              <w:t>7、成交后15 天内完成供货，卖方因特殊原因需逾期交货的，需征得甲方同意。如逾期交货未经买方同意，应向买方偿付违约金，每逾一周违约罚款按合同总价的 0.5%计收，直至交货验收为止。（一周按 7 天计算，不足一周按一周计算）。逾期交货验收的违约赔偿最高限额为合同总价的 8%，如违约金达到最高限额时卖方仍不能交货验收，买方可考虑终止合同。</w:t>
            </w:r>
          </w:p>
        </w:tc>
      </w:tr>
    </w:tbl>
    <w:p w14:paraId="73C05B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71E3D"/>
    <w:multiLevelType w:val="singleLevel"/>
    <w:tmpl w:val="EB171E3D"/>
    <w:lvl w:ilvl="0" w:tentative="0">
      <w:start w:val="5"/>
      <w:numFmt w:val="decimal"/>
      <w:suff w:val="space"/>
      <w:lvlText w:val="%1."/>
      <w:lvlJc w:val="left"/>
    </w:lvl>
  </w:abstractNum>
  <w:abstractNum w:abstractNumId="1">
    <w:nsid w:val="EE6B52B3"/>
    <w:multiLevelType w:val="singleLevel"/>
    <w:tmpl w:val="EE6B52B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WVjZGVjZmMxMTk0Zjk0ZDY2MmQ0NjM3ZTkzNTgifQ=="/>
  </w:docVars>
  <w:rsids>
    <w:rsidRoot w:val="746912FF"/>
    <w:rsid w:val="078565D3"/>
    <w:rsid w:val="0A3A19D7"/>
    <w:rsid w:val="0CDA59A7"/>
    <w:rsid w:val="19E15165"/>
    <w:rsid w:val="26807DCB"/>
    <w:rsid w:val="34CE0C4E"/>
    <w:rsid w:val="49E63453"/>
    <w:rsid w:val="4C116E1A"/>
    <w:rsid w:val="5AA026B1"/>
    <w:rsid w:val="746912FF"/>
    <w:rsid w:val="77852C73"/>
    <w:rsid w:val="77D33C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1745</Words>
  <Characters>1826</Characters>
  <Lines>0</Lines>
  <Paragraphs>0</Paragraphs>
  <TotalTime>90</TotalTime>
  <ScaleCrop>false</ScaleCrop>
  <LinksUpToDate>false</LinksUpToDate>
  <CharactersWithSpaces>1866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2024-06-09T10:55:00Z</dcterms:created>
  <dc:creator>义乌西联酒店用品13600697071</dc:creator>
  <cp:lastModifiedBy>小郑</cp:lastModifiedBy>
  <dcterms:modified xsi:type="dcterms:W3CDTF">2024-11-15T07:54:48Z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D886CE0596024EC591E501B6D9AB6DF2_11</vt:lpwstr>
  </property>
</Properties>
</file>