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33A8C">
      <w:pPr>
        <w:keepLines/>
        <w:spacing w:after="20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"/>
          <w:sz w:val="30"/>
          <w:szCs w:val="30"/>
          <w:lang w:eastAsia="zh-CN"/>
        </w:rPr>
        <w:t>浦江县园区小学电磁灶（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highlight w:val="none"/>
        </w:rPr>
        <w:t>摇摆式汤炉</w:t>
      </w:r>
      <w:r>
        <w:rPr>
          <w:rFonts w:hint="eastAsia" w:ascii="宋体" w:hAnsi="宋体" w:eastAsia="宋体" w:cs="宋体"/>
          <w:b/>
          <w:bCs/>
          <w:color w:val="auto"/>
          <w:spacing w:val="-1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采购需求及商务要求</w:t>
      </w:r>
    </w:p>
    <w:tbl>
      <w:tblPr>
        <w:tblStyle w:val="14"/>
        <w:tblW w:w="10032" w:type="dxa"/>
        <w:tblInd w:w="-6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6322"/>
        <w:gridCol w:w="2191"/>
        <w:gridCol w:w="826"/>
      </w:tblGrid>
      <w:tr w14:paraId="631E4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3" w:type="dxa"/>
          </w:tcPr>
          <w:p w14:paraId="6F6C281F">
            <w:pPr>
              <w:spacing w:before="227" w:line="219" w:lineRule="auto"/>
              <w:ind w:left="263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322" w:type="dxa"/>
          </w:tcPr>
          <w:p w14:paraId="11A977B2">
            <w:pPr>
              <w:spacing w:before="227" w:line="219" w:lineRule="auto"/>
              <w:ind w:left="21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参数</w:t>
            </w:r>
          </w:p>
        </w:tc>
        <w:tc>
          <w:tcPr>
            <w:tcW w:w="2191" w:type="dxa"/>
          </w:tcPr>
          <w:p w14:paraId="5CA03557">
            <w:pPr>
              <w:spacing w:before="227" w:line="220" w:lineRule="auto"/>
              <w:ind w:left="6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实物图</w:t>
            </w:r>
          </w:p>
        </w:tc>
        <w:tc>
          <w:tcPr>
            <w:tcW w:w="826" w:type="dxa"/>
          </w:tcPr>
          <w:p w14:paraId="098CE3CC">
            <w:pPr>
              <w:spacing w:line="219" w:lineRule="auto"/>
              <w:ind w:left="289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</w:p>
          <w:p w14:paraId="1C30E3B0">
            <w:pPr>
              <w:spacing w:line="219" w:lineRule="auto"/>
              <w:ind w:left="28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品牌</w:t>
            </w:r>
          </w:p>
        </w:tc>
      </w:tr>
      <w:tr w14:paraId="3C058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93" w:type="dxa"/>
          </w:tcPr>
          <w:p w14:paraId="6A8DB200">
            <w:pPr>
              <w:spacing w:before="227" w:line="219" w:lineRule="auto"/>
              <w:ind w:left="263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</w:p>
          <w:p w14:paraId="1052898F">
            <w:pPr>
              <w:spacing w:before="227" w:line="219" w:lineRule="auto"/>
              <w:ind w:left="263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</w:p>
          <w:p w14:paraId="1220B9DF">
            <w:pPr>
              <w:spacing w:before="227" w:line="219" w:lineRule="auto"/>
              <w:ind w:left="263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</w:p>
          <w:p w14:paraId="3FE60759">
            <w:pPr>
              <w:spacing w:before="227" w:line="219" w:lineRule="auto"/>
              <w:ind w:left="263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</w:p>
          <w:p w14:paraId="5192B22A">
            <w:pPr>
              <w:spacing w:before="227" w:line="219" w:lineRule="auto"/>
              <w:ind w:left="263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</w:p>
          <w:p w14:paraId="5221FBA8">
            <w:pPr>
              <w:spacing w:before="227" w:line="219" w:lineRule="auto"/>
              <w:ind w:left="263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</w:p>
          <w:p w14:paraId="6867995D">
            <w:pPr>
              <w:spacing w:before="227" w:line="219" w:lineRule="auto"/>
              <w:ind w:left="263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</w:p>
          <w:p w14:paraId="7BC2C7A0">
            <w:pPr>
              <w:spacing w:before="227" w:line="219" w:lineRule="auto"/>
              <w:ind w:left="263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</w:p>
          <w:p w14:paraId="0A164ADB">
            <w:pPr>
              <w:spacing w:before="227" w:line="219" w:lineRule="auto"/>
              <w:ind w:left="263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</w:p>
          <w:p w14:paraId="1F501678">
            <w:pPr>
              <w:spacing w:before="227" w:line="219" w:lineRule="auto"/>
              <w:ind w:left="263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</w:p>
          <w:p w14:paraId="6A7A635E">
            <w:pPr>
              <w:spacing w:before="227" w:line="219" w:lineRule="auto"/>
              <w:ind w:left="263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</w:p>
          <w:p w14:paraId="00695801">
            <w:pPr>
              <w:spacing w:before="227" w:line="219" w:lineRule="auto"/>
              <w:ind w:left="263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</w:p>
          <w:p w14:paraId="04A1F9D4">
            <w:pPr>
              <w:spacing w:before="227" w:line="219" w:lineRule="auto"/>
              <w:ind w:left="263"/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22" w:type="dxa"/>
          </w:tcPr>
          <w:p w14:paraId="315152DA">
            <w:pPr>
              <w:keepLines/>
              <w:spacing w:after="2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4"/>
                <w:szCs w:val="24"/>
                <w:lang w:eastAsia="zh-CN"/>
              </w:rPr>
              <w:t>电磁灶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摇摆式汤炉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4"/>
                <w:szCs w:val="24"/>
                <w:lang w:eastAsia="zh-CN"/>
              </w:rPr>
              <w:t>）</w:t>
            </w:r>
          </w:p>
          <w:p w14:paraId="3522A3AC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1.选用SUS304-2B不锈钢板制作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48E1DB9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台面，实厚δ≥1.2mm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m，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层板，实厚δ≥1.08mm；</w:t>
            </w:r>
          </w:p>
          <w:p w14:paraId="21BA5CEF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锅具：材质409#、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sz w:val="24"/>
                <w:szCs w:val="24"/>
                <w:highlight w:val="none"/>
              </w:rPr>
              <w:t>实际厚度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10"/>
                <w:sz w:val="24"/>
                <w:szCs w:val="24"/>
                <w:highlight w:val="none"/>
              </w:rPr>
              <w:t>2.5mm。</w:t>
            </w:r>
          </w:p>
          <w:p w14:paraId="07181FA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面板为一次性折弯无焊接，防水防污垢四面可直接喷淋，符合防水等级要求；</w:t>
            </w:r>
          </w:p>
          <w:p w14:paraId="007A0E5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移相搭桥电路控制技术，性能卓越运行稳定。</w:t>
            </w:r>
          </w:p>
          <w:p w14:paraId="4F7983E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软启动设计、超宽工作电压设计，电路防磁干扰EMC模块设计，保护电网及电器设备，三重立体防辐射外壳屏蔽设计，防止磁场泄露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 w14:paraId="2A9E27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配手摇齿轮，锅体可倾，方便出料、清洗方便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。</w:t>
            </w:r>
          </w:p>
          <w:p w14:paraId="013A666A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加热技术和效果：采用电磁感应加热技术，加热面具有仿明火效果。</w:t>
            </w:r>
          </w:p>
          <w:p w14:paraId="1643DE5A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.配置≥200*130mm显示屏，数字档位显示火力大小，电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  <w:lang w:eastAsia="zh-CN"/>
              </w:rPr>
              <w:t>磁灶显示系统，▲需提供由国家行政部门颁发出具的、具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4"/>
                <w:szCs w:val="24"/>
                <w:lang w:eastAsia="zh-CN"/>
              </w:rPr>
              <w:t>有该技术的佐证文件（证明材料扫描）</w:t>
            </w:r>
          </w:p>
          <w:p w14:paraId="22E1D31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4"/>
                <w:szCs w:val="24"/>
                <w:lang w:eastAsia="zh-CN"/>
              </w:rPr>
              <w:t xml:space="preserve">.中文显示故障原因，方便判断故障、维修处理电磁灶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3"/>
                <w:sz w:val="24"/>
                <w:szCs w:val="24"/>
                <w:lang w:eastAsia="zh-CN"/>
              </w:rPr>
              <w:t xml:space="preserve">故障自我诊断与分析控制系统，▲需提供由国家行政部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门颁发出具的、具有该技术的佐证文件（证明材料扫描）</w:t>
            </w:r>
          </w:p>
          <w:p w14:paraId="1B4D4C57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漏电保护，过热保护，防干烧保护多重保护措施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 w14:paraId="4BFB7956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机芯采用分层次散热结构，机芯外壳全密封设计，机箱达到拒绝导电效果。</w:t>
            </w:r>
          </w:p>
          <w:p w14:paraId="0EBD2804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.耐用磁感应霍尔元件原理滑竿控制，开关火力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4"/>
                <w:szCs w:val="24"/>
                <w:lang w:eastAsia="zh-CN"/>
              </w:rPr>
              <w:t>档位≥8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 档以上.电磁灶控操作系统，▲需提供由国家行政部门颁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4"/>
                <w:szCs w:val="24"/>
                <w:lang w:eastAsia="zh-CN"/>
              </w:rPr>
              <w:t>发出具的、具有该技术的佐证文件（证明材料扫描）</w:t>
            </w:r>
          </w:p>
          <w:p w14:paraId="480F8D3F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7"/>
                <w:sz w:val="24"/>
                <w:szCs w:val="24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需提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制作所需要的原材料符合GB/T2423.17-2008及GB/T6461-2002标准的304不锈钢型材板（板/圆管/方管/角钢/槽钢/子弹脚）通过1200小时及以上盐雾氛围实验，无缺陷面积、评级达10级，检测报告；</w:t>
            </w:r>
          </w:p>
          <w:p w14:paraId="54526C6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7"/>
                <w:sz w:val="24"/>
                <w:szCs w:val="24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需提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制作所需要的不锈钢板符合 GB/T10125-2021、GB8624-2012标准目燃烧性能等级达A1级，检测报告；</w:t>
            </w:r>
          </w:p>
          <w:p w14:paraId="782BA6D7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7"/>
                <w:sz w:val="24"/>
                <w:szCs w:val="24"/>
                <w:lang w:eastAsia="zh-CN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需提供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产品制作所用电缆线通过GB/T 5013.4-2008/1EC 60245-4:2004《额定电压450/750V及以下橡皮绝缘电缆 第4部分: 软线和软电缆》的标准要求。JB/T 8735.2-2016《额定电压450/750V 及以下橡皮绝缘软线和软电缆 第2部分: 通用橡套软电缆》的标准要求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检测报告；</w:t>
            </w:r>
          </w:p>
          <w:p w14:paraId="17C009D0"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电压/功率：380V/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20-30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KW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 w14:paraId="317B2C50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参考规格：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*1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*1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（mm）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00L)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mm</w:t>
            </w:r>
          </w:p>
        </w:tc>
        <w:tc>
          <w:tcPr>
            <w:tcW w:w="2191" w:type="dxa"/>
          </w:tcPr>
          <w:p w14:paraId="24C66344">
            <w:pPr>
              <w:spacing w:before="227" w:line="220" w:lineRule="auto"/>
              <w:ind w:left="601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3414395</wp:posOffset>
                  </wp:positionV>
                  <wp:extent cx="1002030" cy="1007745"/>
                  <wp:effectExtent l="0" t="0" r="7620" b="1905"/>
                  <wp:wrapNone/>
                  <wp:docPr id="174" name="图片 1312" descr="说明: null55cc8f21a116f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 1312" descr="说明: null55cc8f21a116f150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3993" t="1268" r="8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" w:type="dxa"/>
          </w:tcPr>
          <w:p w14:paraId="64B7C8C6">
            <w:pPr>
              <w:pStyle w:val="15"/>
              <w:spacing w:before="91" w:line="624" w:lineRule="exact"/>
              <w:ind w:left="118"/>
              <w:rPr>
                <w:rFonts w:hint="eastAsia" w:ascii="宋体" w:hAnsi="宋体" w:eastAsia="宋体" w:cs="宋体"/>
                <w:color w:val="auto"/>
                <w:spacing w:val="-5"/>
                <w:position w:val="26"/>
                <w:sz w:val="24"/>
                <w:szCs w:val="24"/>
              </w:rPr>
            </w:pPr>
          </w:p>
          <w:p w14:paraId="5EDD7188">
            <w:pPr>
              <w:pStyle w:val="15"/>
              <w:spacing w:before="91" w:line="624" w:lineRule="exact"/>
              <w:ind w:left="118"/>
              <w:rPr>
                <w:rFonts w:hint="eastAsia" w:ascii="宋体" w:hAnsi="宋体" w:eastAsia="宋体" w:cs="宋体"/>
                <w:color w:val="auto"/>
                <w:spacing w:val="-5"/>
                <w:position w:val="26"/>
                <w:sz w:val="24"/>
                <w:szCs w:val="24"/>
              </w:rPr>
            </w:pPr>
          </w:p>
          <w:p w14:paraId="4D712A0A">
            <w:pPr>
              <w:pStyle w:val="15"/>
              <w:spacing w:before="91" w:line="624" w:lineRule="exact"/>
              <w:ind w:left="118"/>
              <w:rPr>
                <w:rFonts w:hint="eastAsia" w:ascii="宋体" w:hAnsi="宋体" w:eastAsia="宋体" w:cs="宋体"/>
                <w:color w:val="auto"/>
                <w:spacing w:val="-5"/>
                <w:position w:val="26"/>
                <w:sz w:val="24"/>
                <w:szCs w:val="24"/>
              </w:rPr>
            </w:pPr>
          </w:p>
          <w:p w14:paraId="1FCADF2D">
            <w:pPr>
              <w:pStyle w:val="15"/>
              <w:spacing w:before="91" w:line="624" w:lineRule="exact"/>
              <w:ind w:left="118"/>
              <w:rPr>
                <w:rFonts w:hint="eastAsia" w:ascii="宋体" w:hAnsi="宋体" w:eastAsia="宋体" w:cs="宋体"/>
                <w:color w:val="auto"/>
                <w:spacing w:val="-5"/>
                <w:position w:val="26"/>
                <w:sz w:val="24"/>
                <w:szCs w:val="24"/>
              </w:rPr>
            </w:pPr>
          </w:p>
          <w:p w14:paraId="2FEDE767">
            <w:pPr>
              <w:pStyle w:val="15"/>
              <w:spacing w:before="91" w:line="624" w:lineRule="exact"/>
              <w:ind w:left="118"/>
              <w:rPr>
                <w:rFonts w:hint="eastAsia" w:ascii="宋体" w:hAnsi="宋体" w:eastAsia="宋体" w:cs="宋体"/>
                <w:color w:val="auto"/>
                <w:spacing w:val="-5"/>
                <w:position w:val="26"/>
                <w:sz w:val="24"/>
                <w:szCs w:val="24"/>
              </w:rPr>
            </w:pPr>
          </w:p>
          <w:p w14:paraId="22FD9060">
            <w:pPr>
              <w:pStyle w:val="15"/>
              <w:spacing w:before="91" w:line="624" w:lineRule="exact"/>
              <w:ind w:left="118"/>
              <w:rPr>
                <w:rFonts w:hint="eastAsia" w:ascii="宋体" w:hAnsi="宋体" w:eastAsia="宋体" w:cs="宋体"/>
                <w:color w:val="auto"/>
                <w:spacing w:val="-5"/>
                <w:position w:val="26"/>
                <w:sz w:val="24"/>
                <w:szCs w:val="24"/>
              </w:rPr>
            </w:pPr>
          </w:p>
          <w:p w14:paraId="43C645A5">
            <w:pPr>
              <w:pStyle w:val="15"/>
              <w:spacing w:before="91" w:line="624" w:lineRule="exact"/>
              <w:ind w:left="118"/>
              <w:rPr>
                <w:rFonts w:hint="eastAsia" w:ascii="宋体" w:hAnsi="宋体" w:eastAsia="宋体" w:cs="宋体"/>
                <w:color w:val="auto"/>
                <w:spacing w:val="-5"/>
                <w:position w:val="26"/>
                <w:sz w:val="24"/>
                <w:szCs w:val="24"/>
              </w:rPr>
            </w:pPr>
          </w:p>
          <w:p w14:paraId="19CE60E4">
            <w:pPr>
              <w:pStyle w:val="15"/>
              <w:spacing w:before="91" w:line="624" w:lineRule="exact"/>
              <w:ind w:left="118"/>
              <w:rPr>
                <w:rFonts w:hint="eastAsia" w:ascii="宋体" w:hAnsi="宋体" w:eastAsia="宋体" w:cs="宋体"/>
                <w:color w:val="auto"/>
                <w:spacing w:val="-5"/>
                <w:position w:val="2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position w:val="26"/>
                <w:sz w:val="24"/>
                <w:szCs w:val="24"/>
                <w:lang w:eastAsia="zh-CN"/>
              </w:rPr>
              <w:t>环球华磁名厨普迪</w:t>
            </w:r>
          </w:p>
          <w:p w14:paraId="121DCDBE">
            <w:pPr>
              <w:spacing w:line="219" w:lineRule="auto"/>
              <w:ind w:left="289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</w:p>
        </w:tc>
      </w:tr>
      <w:tr w14:paraId="68953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0032" w:type="dxa"/>
            <w:gridSpan w:val="4"/>
          </w:tcPr>
          <w:p w14:paraId="01F55FE6">
            <w:pPr>
              <w:keepLines/>
              <w:spacing w:after="20"/>
              <w:jc w:val="left"/>
              <w:rPr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  <w:lang w:eastAsia="zh-CN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竞价结束后预成交中标人应在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48小时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内提供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  <w:u w:val="single"/>
                <w:lang w:eastAsia="zh-CN"/>
              </w:rPr>
              <w:t>电磁灶（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single"/>
              </w:rPr>
              <w:t>摇摆式汤炉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"/>
                <w:sz w:val="21"/>
                <w:szCs w:val="21"/>
                <w:u w:val="singl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样品和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  <w:lang w:eastAsia="zh-CN"/>
              </w:rPr>
              <w:t>带“▲”技术要求的（证明材料扫描件加盖制造商公章）送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浙江省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浦江县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仙华街道振兴路318号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浦江县园区小学食堂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，待验收合格后再确认成交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验收不合格或不提供样品及证明材料.则本次竞价作无效处理。</w:t>
            </w:r>
          </w:p>
        </w:tc>
      </w:tr>
    </w:tbl>
    <w:p w14:paraId="72784CB3">
      <w:pPr>
        <w:spacing w:line="244" w:lineRule="auto"/>
      </w:pPr>
    </w:p>
    <w:p w14:paraId="22701692">
      <w:pPr>
        <w:spacing w:line="221" w:lineRule="auto"/>
        <w:rPr>
          <w:rFonts w:ascii="宋体" w:hAnsi="宋体" w:eastAsia="宋体" w:cs="宋体"/>
          <w:sz w:val="18"/>
          <w:szCs w:val="18"/>
          <w:lang w:eastAsia="zh-CN"/>
        </w:rPr>
        <w:sectPr>
          <w:pgSz w:w="11906" w:h="16839"/>
          <w:pgMar w:top="1431" w:right="1785" w:bottom="0" w:left="1756" w:header="0" w:footer="0" w:gutter="0"/>
          <w:cols w:space="720" w:num="1"/>
        </w:sectPr>
      </w:pPr>
    </w:p>
    <w:p w14:paraId="41D7935E">
      <w:pPr>
        <w:spacing w:line="91" w:lineRule="auto"/>
        <w:rPr>
          <w:sz w:val="2"/>
          <w:lang w:eastAsia="zh-CN"/>
        </w:rPr>
      </w:pPr>
    </w:p>
    <w:tbl>
      <w:tblPr>
        <w:tblStyle w:val="14"/>
        <w:tblW w:w="10027" w:type="dxa"/>
        <w:tblInd w:w="-4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9114"/>
      </w:tblGrid>
      <w:tr w14:paraId="00D31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13" w:type="dxa"/>
          </w:tcPr>
          <w:p w14:paraId="073C0C0B">
            <w:pPr>
              <w:spacing w:before="56" w:line="312" w:lineRule="exact"/>
              <w:ind w:left="382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spacing w:val="2"/>
                <w:position w:val="7"/>
                <w:sz w:val="24"/>
                <w:szCs w:val="24"/>
              </w:rPr>
              <w:t>商务</w:t>
            </w:r>
          </w:p>
          <w:p w14:paraId="0A6E7FDA">
            <w:pPr>
              <w:spacing w:line="228" w:lineRule="auto"/>
              <w:ind w:left="38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spacing w:val="3"/>
                <w:sz w:val="24"/>
                <w:szCs w:val="24"/>
              </w:rPr>
              <w:t>项目</w:t>
            </w:r>
          </w:p>
        </w:tc>
        <w:tc>
          <w:tcPr>
            <w:tcW w:w="9114" w:type="dxa"/>
          </w:tcPr>
          <w:p w14:paraId="4816801E">
            <w:pPr>
              <w:spacing w:before="212" w:line="228" w:lineRule="auto"/>
              <w:ind w:left="3384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404040"/>
                <w:spacing w:val="6"/>
                <w:sz w:val="24"/>
                <w:szCs w:val="24"/>
              </w:rPr>
              <w:t>商务要求</w:t>
            </w:r>
          </w:p>
        </w:tc>
      </w:tr>
      <w:tr w14:paraId="34266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913" w:type="dxa"/>
          </w:tcPr>
          <w:p w14:paraId="4F9BE93E">
            <w:pPr>
              <w:spacing w:line="303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0509D3E">
            <w:pPr>
              <w:spacing w:line="304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398AAA2">
            <w:pPr>
              <w:spacing w:before="65" w:line="228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eastAsia="zh-CN"/>
              </w:rPr>
              <w:t>一、投标人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资格及报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价要求</w:t>
            </w:r>
          </w:p>
        </w:tc>
        <w:tc>
          <w:tcPr>
            <w:tcW w:w="9114" w:type="dxa"/>
          </w:tcPr>
          <w:p w14:paraId="6676890B">
            <w:pPr>
              <w:numPr>
                <w:ilvl w:val="0"/>
                <w:numId w:val="0"/>
              </w:num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▲供应商必须符合政府采购法第二十二条规定的投标人资格条件，供应商报价必须满足招标文件明确的参数、功能和技术指标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检测报告、证书、试验报告等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求。</w:t>
            </w:r>
          </w:p>
          <w:p w14:paraId="0F6BADEB">
            <w:pPr>
              <w:numPr>
                <w:ilvl w:val="0"/>
                <w:numId w:val="0"/>
              </w:num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欢迎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推荐品牌或选用相当于该档次或以上的产品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前来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竞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价。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供应商选择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推荐品牌或选用相当于该档次或以上的产品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前来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竞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价，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都必须填写准确的品牌和型号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必须满足招标文件明确的参数、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功能和技术指标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  <w:t>检测报告、证书、试验报告等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供应商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选用相当于该档次或以上的产品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前来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竞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价，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必须提供品牌证明材料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  <w:u w:val="none"/>
                <w:lang w:eastAsia="zh-CN"/>
              </w:rPr>
              <w:t>并且提供相关行政网站查询链接（证明材料扫描件加盖制造商公章）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来证明供应商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选用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的品牌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相当于该档次或以上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。</w:t>
            </w:r>
          </w:p>
          <w:p w14:paraId="10F0C7BC">
            <w:pPr>
              <w:numPr>
                <w:ilvl w:val="0"/>
                <w:numId w:val="0"/>
              </w:num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2.3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</w:rPr>
              <w:t>不能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满足参与竟价中标默认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作无效处理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，则作虚假应标，取消其中标资格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  <w:t>并报公共资源交易中心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，依法依规提请政采云平台进行处罚，处罚内容包括停止推送报价信息、禁止报价等，并记入政府采购诚信档案。</w:t>
            </w:r>
          </w:p>
          <w:p w14:paraId="22F86B26">
            <w:pPr>
              <w:numPr>
                <w:ilvl w:val="0"/>
                <w:numId w:val="0"/>
              </w:num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竞价结束后预成交中标人应在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48小时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内提供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4"/>
                <w:szCs w:val="24"/>
                <w:u w:val="single"/>
                <w:lang w:eastAsia="zh-CN"/>
              </w:rPr>
              <w:t>电磁灶（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  <w:t>摇摆式汤炉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样品和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带“▲”技术要求的（证明材料扫描件加盖制造商公章）送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浙江省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浦江县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仙华街道振兴路318号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浦江县园区小学食堂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，待验收合格后再确认成交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验收不合格或不提供样品及证明材料.则本次竞价作无效处理。</w:t>
            </w:r>
          </w:p>
          <w:p w14:paraId="09D1B56D"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投标方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浦江县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必须有自己的售后服务点，（以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金华地区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营业执照为准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营业范围需有厨具或厨房设备维修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不然作无效处理。</w:t>
            </w:r>
          </w:p>
          <w:p w14:paraId="3B6AD8A0"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▲此次采购方提供的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采购文件中的价格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为最高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价，供应商报价不得高于采购方报价（包括所有单项报价），否则视为无效报价。</w:t>
            </w:r>
          </w:p>
          <w:p w14:paraId="36762673">
            <w:pPr>
              <w:spacing w:before="54" w:line="279" w:lineRule="auto"/>
              <w:ind w:right="108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如有违规违约行为，将根据在线询价违约处理规则，依法依规提请政采云平台进行处罚，处罚内容包括停止推送报价信息、禁止报价等，并记入政府采购诚信档案。</w:t>
            </w:r>
          </w:p>
        </w:tc>
      </w:tr>
      <w:tr w14:paraId="67857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913" w:type="dxa"/>
          </w:tcPr>
          <w:p w14:paraId="3E71273E">
            <w:pPr>
              <w:spacing w:line="25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B8AF403">
            <w:pPr>
              <w:spacing w:line="25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5A44B5C">
            <w:pPr>
              <w:spacing w:line="25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6D1BCA0">
            <w:pPr>
              <w:spacing w:line="25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E2C83B1">
            <w:pPr>
              <w:spacing w:line="257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637AD41">
            <w:pPr>
              <w:spacing w:line="257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EBC6BD4">
            <w:pPr>
              <w:spacing w:before="65" w:line="228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  <w:lang w:eastAsia="zh-CN"/>
              </w:rPr>
              <w:t>二、在线询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价结果确认与验收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要求</w:t>
            </w:r>
          </w:p>
        </w:tc>
        <w:tc>
          <w:tcPr>
            <w:tcW w:w="9114" w:type="dxa"/>
          </w:tcPr>
          <w:p w14:paraId="66FFC7A1">
            <w:pPr>
              <w:spacing w:before="47" w:line="284" w:lineRule="auto"/>
              <w:ind w:left="111" w:right="37" w:firstLine="1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4"/>
                <w:szCs w:val="24"/>
                <w:lang w:eastAsia="zh-CN"/>
              </w:rPr>
              <w:t>本次询价以最低价为中标价。在线询价结果产生后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lang w:eastAsia="zh-CN"/>
              </w:rPr>
              <w:t>，将对以下方面进行核实确认：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4"/>
                <w:szCs w:val="24"/>
                <w:lang w:eastAsia="zh-CN"/>
              </w:rPr>
              <w:t xml:space="preserve">1、预中标供应商如果不符合本次在线询价的商务要求，则取消在线询价结果，对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24"/>
                <w:szCs w:val="24"/>
                <w:lang w:eastAsia="zh-CN"/>
              </w:rPr>
              <w:t>采购单位造成损失的有供应商承担。 2、所有设备预中标供应商应在得到采购单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0"/>
                <w:sz w:val="24"/>
                <w:szCs w:val="24"/>
                <w:lang w:eastAsia="zh-CN"/>
              </w:rPr>
              <w:t>位最终确认后方可组织生产，否则造成的一切后果有供应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24"/>
                <w:szCs w:val="24"/>
                <w:lang w:eastAsia="zh-CN"/>
              </w:rPr>
              <w:t>商自行负责，对采购单位造成的延期及损失有供应商承担。 3、投标供应商需提供以下资料（报价时响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4"/>
                <w:szCs w:val="24"/>
                <w:lang w:eastAsia="zh-CN"/>
              </w:rPr>
              <w:t xml:space="preserve">  应附件要求上传扫描件）不能提供者，做参数不符处理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lang w:eastAsia="zh-CN"/>
              </w:rPr>
              <w:t>，采购方将不予确认结果。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3.1供应商应提供货物参数、功能和技术指标及相关检测报告、证书、试验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4"/>
                <w:szCs w:val="24"/>
                <w:lang w:eastAsia="zh-CN"/>
              </w:rPr>
              <w:t xml:space="preserve">报告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24"/>
                <w:szCs w:val="24"/>
                <w:lang w:eastAsia="zh-CN"/>
              </w:rPr>
              <w:t>等要求。 3.2 投标供应商的营业执照(或事业法人登记证或其他工商等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登记证明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4"/>
                <w:sz w:val="24"/>
                <w:szCs w:val="24"/>
                <w:lang w:eastAsia="zh-CN"/>
              </w:rPr>
              <w:t>材料)复印件； 4、验收过程发现交付的货物品种、型号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3"/>
                <w:sz w:val="24"/>
                <w:szCs w:val="24"/>
                <w:lang w:eastAsia="zh-CN"/>
              </w:rPr>
              <w:t>、规格、技术参数、质量、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0"/>
                <w:sz w:val="24"/>
                <w:szCs w:val="24"/>
                <w:lang w:eastAsia="zh-CN"/>
              </w:rPr>
              <w:t>安全要求不符合采购人最终协商要求或合同规定的，严格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24"/>
                <w:szCs w:val="24"/>
                <w:lang w:eastAsia="zh-CN"/>
              </w:rPr>
              <w:t>要求中标供应商进行替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4"/>
                <w:szCs w:val="24"/>
                <w:lang w:eastAsia="zh-CN"/>
              </w:rPr>
              <w:t>换。在中标供应商未提供符合要求的商品之前，被替换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lang w:eastAsia="zh-CN"/>
              </w:rPr>
              <w:t>的产品由本单位免费使用，中标供应商不得撤回。 5、未能提供符合采购人要求的商品，则履约验收不合格，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0"/>
                <w:sz w:val="24"/>
                <w:szCs w:val="24"/>
                <w:lang w:eastAsia="zh-CN"/>
              </w:rPr>
              <w:t>本单位有权拒绝支付货款，并视为中标供应商将前期提供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24"/>
                <w:szCs w:val="24"/>
                <w:lang w:eastAsia="zh-CN"/>
              </w:rPr>
              <w:t>的不合格产品免费赠予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5"/>
                <w:sz w:val="24"/>
                <w:szCs w:val="24"/>
                <w:lang w:eastAsia="zh-CN"/>
              </w:rPr>
              <w:t>本单位。</w:t>
            </w:r>
          </w:p>
        </w:tc>
      </w:tr>
      <w:tr w14:paraId="28BCC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2" w:hRule="atLeast"/>
        </w:trPr>
        <w:tc>
          <w:tcPr>
            <w:tcW w:w="913" w:type="dxa"/>
          </w:tcPr>
          <w:p w14:paraId="76B7BE78">
            <w:pPr>
              <w:spacing w:line="269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C795FEE">
            <w:pPr>
              <w:spacing w:line="27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41D72F7">
            <w:pPr>
              <w:spacing w:line="27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F165924">
            <w:pPr>
              <w:spacing w:line="27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581354BC">
            <w:pPr>
              <w:spacing w:line="27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23B70A4">
            <w:pPr>
              <w:spacing w:line="27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FF10B50">
            <w:pPr>
              <w:spacing w:line="27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6CCE63E">
            <w:pPr>
              <w:spacing w:line="27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7C7D01E">
            <w:pPr>
              <w:spacing w:before="65" w:line="228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lang w:eastAsia="zh-CN"/>
              </w:rPr>
              <w:t>三、服务及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质量保证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9114" w:type="dxa"/>
          </w:tcPr>
          <w:p w14:paraId="08695362">
            <w:pPr>
              <w:spacing w:before="60" w:line="284" w:lineRule="auto"/>
              <w:ind w:left="111" w:right="82" w:firstLine="16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1、供应商报价包含货物到达甲方或甲方指定用户并能正常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4"/>
                <w:szCs w:val="24"/>
                <w:lang w:eastAsia="zh-CN"/>
              </w:rPr>
              <w:t>使用所需的一切费用，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0"/>
                <w:sz w:val="24"/>
                <w:szCs w:val="24"/>
                <w:lang w:eastAsia="zh-CN"/>
              </w:rPr>
              <w:t>包括包装费、运输费、装卸费保险费、安装调试费、技术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24"/>
                <w:szCs w:val="24"/>
                <w:lang w:eastAsia="zh-CN"/>
              </w:rPr>
              <w:t>服务费、培训费以及保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24"/>
                <w:szCs w:val="24"/>
                <w:lang w:eastAsia="zh-CN"/>
              </w:rPr>
              <w:t>修费、税费、电缆等。2、投标货物必须是符合国家技术规范和质量标准的合格产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0"/>
                <w:sz w:val="24"/>
                <w:szCs w:val="24"/>
                <w:lang w:eastAsia="zh-CN"/>
              </w:rPr>
              <w:t>品，满足采购单位的使用需求。要求原厂正品、质量过硬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24"/>
                <w:szCs w:val="24"/>
                <w:lang w:eastAsia="zh-CN"/>
              </w:rPr>
              <w:t>，符合在线询价中的参数要求，不得出现假冒伪劣产品，否则验收不予通过并拒绝支付货款。 2、对质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0"/>
                <w:sz w:val="24"/>
                <w:szCs w:val="24"/>
                <w:lang w:eastAsia="zh-CN"/>
              </w:rPr>
              <w:t>量问题存在争议的，将送质检中心进行破坏性检测，检测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24"/>
                <w:szCs w:val="24"/>
                <w:lang w:eastAsia="zh-CN"/>
              </w:rPr>
              <w:t>标准依据最新国家标准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0"/>
                <w:sz w:val="24"/>
                <w:szCs w:val="24"/>
                <w:lang w:eastAsia="zh-CN"/>
              </w:rPr>
              <w:t>和行业标准，检测费用由中标供应商承担。如中标供应商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24"/>
                <w:szCs w:val="24"/>
                <w:lang w:eastAsia="zh-CN"/>
              </w:rPr>
              <w:t>拒绝送检或拒绝承担检测费用的，视为自动放弃本项目。采购方拒绝支付货款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。 3、质保期2年，全部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24"/>
                <w:szCs w:val="24"/>
                <w:lang w:eastAsia="zh-CN"/>
              </w:rPr>
              <w:t>产品终身维修，质保期内一旦发生质量问题，中标人保证在接到通知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4小时内赶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24"/>
                <w:szCs w:val="24"/>
                <w:lang w:eastAsia="zh-CN"/>
              </w:rPr>
              <w:t>到现场进行免费修理或更换，质保期后零配件只收配件费。 4、合同签订后，卖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0"/>
                <w:sz w:val="24"/>
                <w:szCs w:val="24"/>
                <w:lang w:eastAsia="zh-CN"/>
              </w:rPr>
              <w:t>方完成全部供货及安装、调试、培训等服务，通过买方验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24"/>
                <w:szCs w:val="24"/>
                <w:lang w:eastAsia="zh-CN"/>
              </w:rPr>
              <w:t>收后，开具实际合同金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5"/>
                <w:sz w:val="24"/>
                <w:szCs w:val="24"/>
                <w:lang w:eastAsia="zh-CN"/>
              </w:rPr>
              <w:t>额100%的增值税发票，买方向卖方支付100%合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4"/>
                <w:sz w:val="24"/>
                <w:szCs w:val="24"/>
                <w:lang w:eastAsia="zh-CN"/>
              </w:rPr>
              <w:t>同价款； 5、合同签订后7天内完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0"/>
                <w:sz w:val="24"/>
                <w:szCs w:val="24"/>
                <w:lang w:eastAsia="zh-CN"/>
              </w:rPr>
              <w:t>成供货，卖方因特殊原因需逾期交货的，需征得甲方同意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24"/>
                <w:szCs w:val="24"/>
                <w:lang w:eastAsia="zh-CN"/>
              </w:rPr>
              <w:t>。如逾期交货未经买方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同意，应向买方偿付违约金，每逾一周违约罚款按合同总价的0.5%计收，直至交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3"/>
                <w:sz w:val="24"/>
                <w:szCs w:val="24"/>
                <w:lang w:eastAsia="zh-CN"/>
              </w:rPr>
              <w:t>货验收为止。（一周按7天计算，不足一周按一周计算）。逾期交货验收的违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4"/>
                <w:szCs w:val="24"/>
                <w:lang w:eastAsia="zh-CN"/>
              </w:rPr>
              <w:t>约赔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24"/>
                <w:szCs w:val="24"/>
                <w:lang w:eastAsia="zh-CN"/>
              </w:rPr>
              <w:t>偿最高限额为合同总价的8%，如违约金达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sz w:val="24"/>
                <w:szCs w:val="24"/>
                <w:lang w:eastAsia="zh-CN"/>
              </w:rPr>
              <w:t>到最高限额时卖方仍不能交货验收，买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9"/>
                <w:sz w:val="24"/>
                <w:szCs w:val="24"/>
                <w:lang w:eastAsia="zh-CN"/>
              </w:rPr>
              <w:t>方可考虑终止合同。</w:t>
            </w:r>
          </w:p>
        </w:tc>
      </w:tr>
    </w:tbl>
    <w:p w14:paraId="3B1DA959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9"/>
      <w:pgMar w:top="1431" w:right="1570" w:bottom="0" w:left="15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E2YjEwMjRlNDRhNjA2YjM4Y2JhNGMwM2QwOGJkNzUifQ=="/>
  </w:docVars>
  <w:rsids>
    <w:rsidRoot w:val="00DA3718"/>
    <w:rsid w:val="007A47E4"/>
    <w:rsid w:val="00D25622"/>
    <w:rsid w:val="00DA3718"/>
    <w:rsid w:val="0E034A3B"/>
    <w:rsid w:val="1B156C3D"/>
    <w:rsid w:val="37971DF2"/>
    <w:rsid w:val="4E6D1482"/>
    <w:rsid w:val="63F1572C"/>
    <w:rsid w:val="6ED63C8B"/>
    <w:rsid w:val="73AB4198"/>
    <w:rsid w:val="77260322"/>
    <w:rsid w:val="796D2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autoSpaceDE w:val="0"/>
      <w:autoSpaceDN w:val="0"/>
      <w:adjustRightInd w:val="0"/>
      <w:spacing w:after="120" w:line="240" w:lineRule="auto"/>
      <w:ind w:left="420" w:leftChars="200" w:firstLine="420" w:firstLineChars="200"/>
      <w:textAlignment w:val="baseline"/>
    </w:pPr>
    <w:rPr>
      <w:rFonts w:ascii="Calibri" w:hAnsi="Calibri"/>
      <w:spacing w:val="0"/>
      <w:kern w:val="0"/>
      <w:sz w:val="28"/>
    </w:rPr>
  </w:style>
  <w:style w:type="paragraph" w:styleId="3">
    <w:name w:val="Body Text Indent"/>
    <w:basedOn w:val="1"/>
    <w:next w:val="4"/>
    <w:qFormat/>
    <w:uiPriority w:val="0"/>
    <w:pPr>
      <w:spacing w:line="360" w:lineRule="exact"/>
      <w:ind w:left="1049" w:firstLine="420"/>
    </w:pPr>
  </w:style>
  <w:style w:type="paragraph" w:styleId="4">
    <w:name w:val="Normal Indent"/>
    <w:basedOn w:val="1"/>
    <w:next w:val="3"/>
    <w:qFormat/>
    <w:uiPriority w:val="0"/>
    <w:pPr>
      <w:widowControl/>
      <w:ind w:firstLine="420"/>
      <w:jc w:val="left"/>
    </w:pPr>
    <w:rPr>
      <w:rFonts w:ascii="Arial" w:hAnsi="Arial" w:cs="Arial"/>
      <w:kern w:val="0"/>
      <w:sz w:val="20"/>
      <w:szCs w:val="20"/>
    </w:rPr>
  </w:style>
  <w:style w:type="paragraph" w:styleId="5">
    <w:name w:val="Body Text First Indent"/>
    <w:basedOn w:val="6"/>
    <w:next w:val="1"/>
    <w:qFormat/>
    <w:uiPriority w:val="99"/>
    <w:pPr>
      <w:widowControl/>
      <w:spacing w:before="120"/>
      <w:ind w:firstLine="100" w:firstLineChars="100"/>
    </w:pPr>
    <w:rPr>
      <w:snapToGrid w:val="0"/>
      <w:color w:val="000000"/>
      <w:kern w:val="0"/>
      <w:sz w:val="24"/>
      <w:szCs w:val="18"/>
    </w:rPr>
  </w:style>
  <w:style w:type="paragraph" w:styleId="6">
    <w:name w:val="Body Text"/>
    <w:basedOn w:val="1"/>
    <w:next w:val="1"/>
    <w:qFormat/>
    <w:uiPriority w:val="0"/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character" w:styleId="13">
    <w:name w:val="Emphasis"/>
    <w:basedOn w:val="12"/>
    <w:qFormat/>
    <w:uiPriority w:val="0"/>
    <w:rPr>
      <w:i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黑体" w:hAnsi="黑体" w:eastAsia="黑体" w:cs="黑体"/>
      <w:sz w:val="18"/>
      <w:szCs w:val="18"/>
    </w:rPr>
  </w:style>
  <w:style w:type="character" w:customStyle="1" w:styleId="16">
    <w:name w:val="批注框文本 Char"/>
    <w:basedOn w:val="12"/>
    <w:link w:val="7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7">
    <w:name w:val="页眉 Char"/>
    <w:basedOn w:val="12"/>
    <w:link w:val="9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8">
    <w:name w:val="页脚 Char"/>
    <w:basedOn w:val="12"/>
    <w:link w:val="8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2658</Words>
  <Characters>2894</Characters>
  <Lines>17</Lines>
  <Paragraphs>4</Paragraphs>
  <TotalTime>4</TotalTime>
  <ScaleCrop>false</ScaleCrop>
  <LinksUpToDate>false</LinksUpToDate>
  <CharactersWithSpaces>2922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2023-12-05T13:40:00Z</dcterms:created>
  <dc:creator>Administrator</dc:creator>
  <cp:lastModifiedBy>美达厨具13484060258</cp:lastModifiedBy>
  <dcterms:modified xsi:type="dcterms:W3CDTF">2025-06-09T03:29:46Z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2024-05-13T00:05:15Z</vt:filetime>
  </property>
  <property fmtid="{D5CDD505-2E9C-101B-9397-08002B2CF9AE}" pid="4" name="KSOProductBuildVer">
    <vt:lpwstr>2052-12.1.0.21171</vt:lpwstr>
  </property>
  <property fmtid="{D5CDD505-2E9C-101B-9397-08002B2CF9AE}" pid="5" name="ICV">
    <vt:lpwstr>3CAD39D3A7924C7DA298C07D599E84DB_13</vt:lpwstr>
  </property>
  <property fmtid="{D5CDD505-2E9C-101B-9397-08002B2CF9AE}" pid="6" name="KSOTemplateDocerSaveRecord">
    <vt:lpwstr>eyJoZGlkIjoiMDE2YjEwMjRlNDRhNjA2YjM4Y2JhNGMwM2QwOGJkNzUiLCJ1c2VySWQiOiIyMzU1MDg0NjIifQ==</vt:lpwstr>
  </property>
</Properties>
</file>