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95EB77">
      <w:pPr>
        <w:jc w:val="center"/>
        <w:rPr>
          <w:b/>
          <w:sz w:val="44"/>
          <w:szCs w:val="44"/>
        </w:rPr>
      </w:pPr>
      <w:r>
        <w:rPr>
          <w:rFonts w:hint="eastAsia"/>
          <w:b/>
          <w:sz w:val="44"/>
          <w:szCs w:val="44"/>
        </w:rPr>
        <w:t>绍兴市新闻传媒中心</w:t>
      </w:r>
    </w:p>
    <w:p w14:paraId="37BECFC5">
      <w:pPr>
        <w:jc w:val="center"/>
        <w:rPr>
          <w:b/>
          <w:sz w:val="44"/>
          <w:szCs w:val="44"/>
        </w:rPr>
      </w:pPr>
      <w:r>
        <w:rPr>
          <w:rFonts w:hint="eastAsia"/>
          <w:b/>
          <w:sz w:val="44"/>
          <w:szCs w:val="44"/>
        </w:rPr>
        <w:t>信息系统安全等级保护测评服务项目需求</w:t>
      </w:r>
    </w:p>
    <w:p w14:paraId="03A832B5">
      <w:pPr>
        <w:spacing w:line="360" w:lineRule="auto"/>
        <w:rPr>
          <w:rFonts w:asciiTheme="minorEastAsia" w:hAnsiTheme="minorEastAsia"/>
          <w:b/>
          <w:sz w:val="24"/>
          <w:szCs w:val="24"/>
        </w:rPr>
      </w:pPr>
      <w:r>
        <w:rPr>
          <w:rFonts w:hint="eastAsia" w:cs="Times New Roman" w:asciiTheme="minorEastAsia" w:hAnsiTheme="minorEastAsia"/>
          <w:b/>
          <w:sz w:val="24"/>
          <w:szCs w:val="24"/>
        </w:rPr>
        <w:t>一、项目概况</w:t>
      </w:r>
    </w:p>
    <w:p w14:paraId="6D63ABD4">
      <w:pPr>
        <w:spacing w:line="360" w:lineRule="auto"/>
        <w:ind w:firstLine="480" w:firstLineChars="200"/>
        <w:rPr>
          <w:rFonts w:cs="宋体" w:asciiTheme="minorEastAsia" w:hAnsiTheme="minorEastAsia"/>
          <w:color w:val="000000"/>
          <w:sz w:val="24"/>
          <w:szCs w:val="24"/>
          <w:lang w:val="zh-CN"/>
        </w:rPr>
      </w:pPr>
      <w:r>
        <w:rPr>
          <w:rFonts w:cs="宋体" w:asciiTheme="minorEastAsia" w:hAnsiTheme="minorEastAsia"/>
          <w:color w:val="000000"/>
          <w:sz w:val="24"/>
          <w:szCs w:val="24"/>
        </w:rPr>
        <w:t>1</w:t>
      </w:r>
      <w:r>
        <w:rPr>
          <w:rFonts w:hint="eastAsia" w:cs="宋体" w:asciiTheme="minorEastAsia" w:hAnsiTheme="minorEastAsia"/>
          <w:color w:val="000000"/>
          <w:sz w:val="24"/>
          <w:szCs w:val="24"/>
        </w:rPr>
        <w:t>、</w:t>
      </w:r>
      <w:r>
        <w:rPr>
          <w:rFonts w:hint="eastAsia" w:cs="宋体" w:asciiTheme="minorEastAsia" w:hAnsiTheme="minorEastAsia"/>
          <w:color w:val="000000"/>
          <w:sz w:val="24"/>
          <w:szCs w:val="24"/>
          <w:lang w:val="zh-CN"/>
        </w:rPr>
        <w:t>名称：信息系统安全等级保护测评服务项目</w:t>
      </w:r>
    </w:p>
    <w:p w14:paraId="05DD764A">
      <w:pPr>
        <w:spacing w:line="360" w:lineRule="auto"/>
        <w:ind w:firstLine="480" w:firstLineChars="200"/>
        <w:rPr>
          <w:rFonts w:cs="宋体" w:asciiTheme="minorEastAsia" w:hAnsiTheme="minorEastAsia"/>
          <w:color w:val="000000"/>
          <w:sz w:val="24"/>
          <w:szCs w:val="24"/>
          <w:lang w:val="zh-CN"/>
        </w:rPr>
      </w:pPr>
      <w:r>
        <w:rPr>
          <w:rFonts w:hint="eastAsia" w:cs="宋体" w:asciiTheme="minorEastAsia" w:hAnsiTheme="minorEastAsia"/>
          <w:color w:val="000000"/>
          <w:sz w:val="24"/>
          <w:szCs w:val="24"/>
          <w:lang w:val="zh-CN"/>
        </w:rPr>
        <w:t>2、内容：对单位的信息系统进行整体性的测评、验证，了解系统安全现状、保护能力以及存在的不足，从而进行有针对性的加强和完善。测评完成后，出具符合主管部门要求的信息系统安全保护等级的测评报告，并协助办理信息系统安全防护等级备案手续。</w:t>
      </w:r>
    </w:p>
    <w:p w14:paraId="1E7DE1FA">
      <w:pPr>
        <w:spacing w:line="360" w:lineRule="auto"/>
        <w:ind w:left="393" w:firstLine="240" w:firstLineChars="100"/>
        <w:rPr>
          <w:rFonts w:asciiTheme="minorEastAsia" w:hAnsiTheme="minorEastAsia"/>
          <w:color w:val="000000"/>
          <w:sz w:val="24"/>
          <w:szCs w:val="24"/>
        </w:rPr>
      </w:pPr>
      <w:r>
        <w:rPr>
          <w:rFonts w:hint="eastAsia" w:cs="Times New Roman" w:asciiTheme="minorEastAsia" w:hAnsiTheme="minorEastAsia"/>
          <w:sz w:val="24"/>
          <w:szCs w:val="24"/>
        </w:rPr>
        <w:t>3、系统数量：</w:t>
      </w:r>
      <w:r>
        <w:rPr>
          <w:rFonts w:hint="eastAsia" w:asciiTheme="minorEastAsia" w:hAnsiTheme="minorEastAsia"/>
          <w:color w:val="000000"/>
          <w:sz w:val="24"/>
          <w:szCs w:val="24"/>
        </w:rPr>
        <w:t>本次参与信息系统安全等级保护测评的信息系统共有</w:t>
      </w:r>
      <w:r>
        <w:rPr>
          <w:rFonts w:hint="eastAsia" w:asciiTheme="minorEastAsia" w:hAnsiTheme="minorEastAsia"/>
          <w:color w:val="000000"/>
          <w:sz w:val="24"/>
          <w:szCs w:val="24"/>
          <w:u w:val="single"/>
          <w:lang w:val="en-US" w:eastAsia="zh-CN"/>
        </w:rPr>
        <w:t>2</w:t>
      </w:r>
      <w:r>
        <w:rPr>
          <w:rFonts w:hint="eastAsia" w:asciiTheme="minorEastAsia" w:hAnsiTheme="minorEastAsia"/>
          <w:color w:val="000000"/>
          <w:sz w:val="24"/>
          <w:szCs w:val="24"/>
        </w:rPr>
        <w:t>个，</w:t>
      </w:r>
      <w:r>
        <w:rPr>
          <w:rFonts w:hint="eastAsia" w:asciiTheme="minorEastAsia" w:hAnsiTheme="minorEastAsia"/>
          <w:color w:val="000000"/>
          <w:sz w:val="24"/>
          <w:szCs w:val="24"/>
          <w:u w:val="single"/>
        </w:rPr>
        <w:t xml:space="preserve"> 其中安全保护等级为三级的</w:t>
      </w:r>
      <w:r>
        <w:rPr>
          <w:rFonts w:hint="eastAsia" w:asciiTheme="minorEastAsia" w:hAnsiTheme="minorEastAsia"/>
          <w:color w:val="000000"/>
          <w:sz w:val="24"/>
          <w:szCs w:val="24"/>
          <w:u w:val="single"/>
          <w:lang w:val="en-US" w:eastAsia="zh-CN"/>
        </w:rPr>
        <w:t>1</w:t>
      </w:r>
      <w:r>
        <w:rPr>
          <w:rFonts w:hint="eastAsia" w:asciiTheme="minorEastAsia" w:hAnsiTheme="minorEastAsia"/>
          <w:color w:val="000000"/>
          <w:sz w:val="24"/>
          <w:szCs w:val="24"/>
          <w:u w:val="single"/>
        </w:rPr>
        <w:t>个，安全等级保护为二级的</w:t>
      </w:r>
      <w:r>
        <w:rPr>
          <w:rFonts w:hint="eastAsia" w:asciiTheme="minorEastAsia" w:hAnsiTheme="minorEastAsia"/>
          <w:color w:val="000000"/>
          <w:sz w:val="24"/>
          <w:szCs w:val="24"/>
          <w:u w:val="single"/>
          <w:lang w:val="en-US" w:eastAsia="zh-CN"/>
        </w:rPr>
        <w:t>1</w:t>
      </w:r>
      <w:r>
        <w:rPr>
          <w:rFonts w:hint="eastAsia" w:asciiTheme="minorEastAsia" w:hAnsiTheme="minorEastAsia"/>
          <w:color w:val="000000"/>
          <w:sz w:val="24"/>
          <w:szCs w:val="24"/>
          <w:u w:val="single"/>
        </w:rPr>
        <w:t>个</w:t>
      </w:r>
      <w:r>
        <w:rPr>
          <w:rFonts w:hint="eastAsia" w:asciiTheme="minorEastAsia" w:hAnsiTheme="minorEastAsia"/>
          <w:color w:val="000000"/>
          <w:sz w:val="24"/>
          <w:szCs w:val="24"/>
        </w:rPr>
        <w:t>，</w:t>
      </w:r>
    </w:p>
    <w:p w14:paraId="743BFB5E">
      <w:pPr>
        <w:spacing w:line="360" w:lineRule="auto"/>
        <w:ind w:left="393" w:firstLine="240" w:firstLineChars="100"/>
        <w:rPr>
          <w:rFonts w:cs="Times New Roman" w:asciiTheme="minorEastAsia" w:hAnsiTheme="minorEastAsia"/>
          <w:color w:val="000000"/>
          <w:sz w:val="24"/>
          <w:szCs w:val="24"/>
        </w:rPr>
      </w:pPr>
      <w:r>
        <w:rPr>
          <w:rFonts w:hint="eastAsia" w:asciiTheme="minorEastAsia" w:hAnsiTheme="minorEastAsia"/>
          <w:color w:val="000000"/>
          <w:sz w:val="24"/>
          <w:szCs w:val="24"/>
        </w:rPr>
        <w:t>具体描述如下：</w:t>
      </w:r>
    </w:p>
    <w:tbl>
      <w:tblPr>
        <w:tblStyle w:val="6"/>
        <w:tblW w:w="0" w:type="auto"/>
        <w:tblInd w:w="6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1"/>
        <w:gridCol w:w="4155"/>
        <w:gridCol w:w="2224"/>
      </w:tblGrid>
      <w:tr w14:paraId="157E8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shd w:val="clear" w:color="auto" w:fill="auto"/>
          </w:tcPr>
          <w:p w14:paraId="4176DBCE">
            <w:pPr>
              <w:spacing w:line="360" w:lineRule="auto"/>
              <w:rPr>
                <w:rFonts w:cs="Times New Roman" w:asciiTheme="minorEastAsia" w:hAnsiTheme="minorEastAsia"/>
                <w:sz w:val="24"/>
                <w:szCs w:val="24"/>
              </w:rPr>
            </w:pPr>
            <w:r>
              <w:rPr>
                <w:rFonts w:hint="eastAsia" w:cs="Times New Roman" w:asciiTheme="minorEastAsia" w:hAnsiTheme="minorEastAsia"/>
                <w:sz w:val="24"/>
                <w:szCs w:val="24"/>
              </w:rPr>
              <w:t>序号</w:t>
            </w:r>
          </w:p>
        </w:tc>
        <w:tc>
          <w:tcPr>
            <w:tcW w:w="4155" w:type="dxa"/>
            <w:shd w:val="clear" w:color="auto" w:fill="auto"/>
          </w:tcPr>
          <w:p w14:paraId="208555A5">
            <w:pPr>
              <w:spacing w:line="360" w:lineRule="auto"/>
              <w:rPr>
                <w:rFonts w:cs="Times New Roman" w:asciiTheme="minorEastAsia" w:hAnsiTheme="minorEastAsia"/>
                <w:sz w:val="24"/>
                <w:szCs w:val="24"/>
              </w:rPr>
            </w:pPr>
            <w:r>
              <w:rPr>
                <w:rFonts w:hint="eastAsia" w:cs="Times New Roman" w:asciiTheme="minorEastAsia" w:hAnsiTheme="minorEastAsia"/>
                <w:sz w:val="24"/>
                <w:szCs w:val="24"/>
              </w:rPr>
              <w:t>系统名称</w:t>
            </w:r>
          </w:p>
        </w:tc>
        <w:tc>
          <w:tcPr>
            <w:tcW w:w="2224" w:type="dxa"/>
            <w:shd w:val="clear" w:color="auto" w:fill="auto"/>
          </w:tcPr>
          <w:p w14:paraId="5E729483">
            <w:pPr>
              <w:spacing w:line="360" w:lineRule="auto"/>
              <w:rPr>
                <w:rFonts w:cs="Times New Roman" w:asciiTheme="minorEastAsia" w:hAnsiTheme="minorEastAsia"/>
                <w:sz w:val="24"/>
                <w:szCs w:val="24"/>
              </w:rPr>
            </w:pPr>
            <w:r>
              <w:rPr>
                <w:rFonts w:hint="eastAsia" w:cs="Times New Roman" w:asciiTheme="minorEastAsia" w:hAnsiTheme="minorEastAsia"/>
                <w:sz w:val="24"/>
                <w:szCs w:val="24"/>
              </w:rPr>
              <w:t>信息安全等级</w:t>
            </w:r>
          </w:p>
        </w:tc>
      </w:tr>
      <w:tr w14:paraId="120C2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shd w:val="clear" w:color="auto" w:fill="auto"/>
          </w:tcPr>
          <w:p w14:paraId="6CFB6483">
            <w:pPr>
              <w:spacing w:line="360" w:lineRule="auto"/>
              <w:rPr>
                <w:rFonts w:cs="Times New Roman" w:asciiTheme="minorEastAsia" w:hAnsiTheme="minorEastAsia"/>
                <w:sz w:val="24"/>
                <w:szCs w:val="24"/>
              </w:rPr>
            </w:pPr>
            <w:r>
              <w:rPr>
                <w:rFonts w:hint="eastAsia" w:cs="Times New Roman" w:asciiTheme="minorEastAsia" w:hAnsiTheme="minorEastAsia"/>
                <w:sz w:val="24"/>
                <w:szCs w:val="24"/>
              </w:rPr>
              <w:t>1</w:t>
            </w:r>
          </w:p>
        </w:tc>
        <w:tc>
          <w:tcPr>
            <w:tcW w:w="4155" w:type="dxa"/>
            <w:shd w:val="clear" w:color="auto" w:fill="auto"/>
            <w:vAlign w:val="top"/>
          </w:tcPr>
          <w:p w14:paraId="1008C7F9">
            <w:pPr>
              <w:spacing w:line="360" w:lineRule="auto"/>
              <w:rPr>
                <w:rFonts w:cs="Times New Roman" w:asciiTheme="minorEastAsia" w:hAnsiTheme="minorEastAsia"/>
                <w:sz w:val="24"/>
                <w:szCs w:val="24"/>
              </w:rPr>
            </w:pPr>
            <w:r>
              <w:rPr>
                <w:rFonts w:hint="eastAsia" w:asciiTheme="minorEastAsia" w:hAnsiTheme="minorEastAsia"/>
                <w:sz w:val="24"/>
                <w:szCs w:val="24"/>
              </w:rPr>
              <w:t>绍兴网、越牛新闻APP一体化平台</w:t>
            </w:r>
          </w:p>
        </w:tc>
        <w:tc>
          <w:tcPr>
            <w:tcW w:w="2224" w:type="dxa"/>
            <w:shd w:val="clear" w:color="auto" w:fill="auto"/>
            <w:vAlign w:val="top"/>
          </w:tcPr>
          <w:p w14:paraId="08C7F177">
            <w:pPr>
              <w:spacing w:line="360" w:lineRule="auto"/>
              <w:rPr>
                <w:rFonts w:cs="Times New Roman" w:asciiTheme="minorEastAsia" w:hAnsiTheme="minorEastAsia"/>
                <w:sz w:val="24"/>
                <w:szCs w:val="24"/>
              </w:rPr>
            </w:pPr>
            <w:r>
              <w:rPr>
                <w:rFonts w:hint="eastAsia" w:asciiTheme="minorEastAsia" w:hAnsiTheme="minorEastAsia"/>
                <w:sz w:val="24"/>
                <w:szCs w:val="24"/>
              </w:rPr>
              <w:t>三</w:t>
            </w:r>
            <w:r>
              <w:rPr>
                <w:rFonts w:hint="eastAsia" w:cs="Times New Roman" w:asciiTheme="minorEastAsia" w:hAnsiTheme="minorEastAsia"/>
                <w:sz w:val="24"/>
                <w:szCs w:val="24"/>
              </w:rPr>
              <w:t>级</w:t>
            </w:r>
          </w:p>
        </w:tc>
      </w:tr>
      <w:tr w14:paraId="4954D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shd w:val="clear" w:color="auto" w:fill="auto"/>
          </w:tcPr>
          <w:p w14:paraId="6276EA7C">
            <w:pPr>
              <w:spacing w:line="360" w:lineRule="auto"/>
              <w:rPr>
                <w:rFonts w:cs="Times New Roman" w:asciiTheme="minorEastAsia" w:hAnsiTheme="minorEastAsia"/>
                <w:sz w:val="24"/>
                <w:szCs w:val="24"/>
              </w:rPr>
            </w:pPr>
            <w:r>
              <w:rPr>
                <w:rFonts w:hint="eastAsia" w:cs="Times New Roman" w:asciiTheme="minorEastAsia" w:hAnsiTheme="minorEastAsia"/>
                <w:sz w:val="24"/>
                <w:szCs w:val="24"/>
              </w:rPr>
              <w:t>2</w:t>
            </w:r>
          </w:p>
        </w:tc>
        <w:tc>
          <w:tcPr>
            <w:tcW w:w="4155" w:type="dxa"/>
            <w:shd w:val="clear" w:color="auto" w:fill="auto"/>
          </w:tcPr>
          <w:p w14:paraId="5B630FD6">
            <w:pPr>
              <w:spacing w:line="360" w:lineRule="auto"/>
              <w:rPr>
                <w:rFonts w:cs="Times New Roman" w:asciiTheme="minorEastAsia" w:hAnsiTheme="minorEastAsia"/>
                <w:sz w:val="24"/>
                <w:szCs w:val="24"/>
              </w:rPr>
            </w:pPr>
            <w:r>
              <w:rPr>
                <w:rFonts w:hint="eastAsia" w:asciiTheme="minorEastAsia" w:hAnsiTheme="minorEastAsia"/>
                <w:sz w:val="24"/>
                <w:szCs w:val="24"/>
                <w:lang w:val="en-US" w:eastAsia="zh-CN"/>
              </w:rPr>
              <w:t>绍兴视觉</w:t>
            </w:r>
            <w:r>
              <w:rPr>
                <w:rFonts w:hint="eastAsia" w:asciiTheme="minorEastAsia" w:hAnsiTheme="minorEastAsia"/>
                <w:sz w:val="24"/>
                <w:szCs w:val="24"/>
              </w:rPr>
              <w:t>网</w:t>
            </w:r>
          </w:p>
        </w:tc>
        <w:tc>
          <w:tcPr>
            <w:tcW w:w="2224" w:type="dxa"/>
            <w:shd w:val="clear" w:color="auto" w:fill="auto"/>
          </w:tcPr>
          <w:p w14:paraId="419005B8">
            <w:pPr>
              <w:spacing w:line="360" w:lineRule="auto"/>
              <w:rPr>
                <w:rFonts w:cs="Times New Roman" w:asciiTheme="minorEastAsia" w:hAnsiTheme="minorEastAsia"/>
                <w:sz w:val="24"/>
                <w:szCs w:val="24"/>
              </w:rPr>
            </w:pPr>
            <w:r>
              <w:rPr>
                <w:rFonts w:hint="eastAsia" w:cs="Times New Roman" w:asciiTheme="minorEastAsia" w:hAnsiTheme="minorEastAsia"/>
                <w:sz w:val="24"/>
                <w:szCs w:val="24"/>
                <w:lang w:val="en-US" w:eastAsia="zh-CN"/>
              </w:rPr>
              <w:t>二</w:t>
            </w:r>
            <w:r>
              <w:rPr>
                <w:rFonts w:hint="eastAsia" w:cs="Times New Roman" w:asciiTheme="minorEastAsia" w:hAnsiTheme="minorEastAsia"/>
                <w:sz w:val="24"/>
                <w:szCs w:val="24"/>
              </w:rPr>
              <w:t>级</w:t>
            </w:r>
          </w:p>
        </w:tc>
      </w:tr>
    </w:tbl>
    <w:p w14:paraId="38BD4B7E">
      <w:pPr>
        <w:spacing w:line="360" w:lineRule="auto"/>
        <w:rPr>
          <w:rFonts w:cs="Times New Roman" w:asciiTheme="minorEastAsia" w:hAnsiTheme="minorEastAsia"/>
          <w:b/>
          <w:sz w:val="24"/>
          <w:szCs w:val="24"/>
        </w:rPr>
      </w:pPr>
      <w:r>
        <w:rPr>
          <w:rFonts w:hint="eastAsia" w:asciiTheme="minorEastAsia" w:hAnsiTheme="minorEastAsia"/>
          <w:b/>
          <w:sz w:val="24"/>
          <w:szCs w:val="24"/>
        </w:rPr>
        <w:t>二、投标人</w:t>
      </w:r>
      <w:r>
        <w:rPr>
          <w:rFonts w:hint="eastAsia" w:cs="Times New Roman" w:asciiTheme="minorEastAsia" w:hAnsiTheme="minorEastAsia"/>
          <w:b/>
          <w:sz w:val="24"/>
          <w:szCs w:val="24"/>
        </w:rPr>
        <w:t>资格要求</w:t>
      </w:r>
    </w:p>
    <w:p w14:paraId="6A38DBDB">
      <w:pPr>
        <w:numPr>
          <w:ilvl w:val="0"/>
          <w:numId w:val="1"/>
        </w:numPr>
        <w:spacing w:line="360" w:lineRule="auto"/>
        <w:rPr>
          <w:rFonts w:asciiTheme="minorEastAsia" w:hAnsiTheme="minorEastAsia"/>
          <w:sz w:val="24"/>
          <w:szCs w:val="24"/>
        </w:rPr>
      </w:pPr>
      <w:r>
        <w:rPr>
          <w:rFonts w:hint="eastAsia" w:asciiTheme="minorEastAsia" w:hAnsiTheme="minorEastAsia"/>
          <w:sz w:val="24"/>
          <w:szCs w:val="24"/>
        </w:rPr>
        <w:t>符合《中华人民共和国政府采购法》第二十二条规定的供货商资格要求。</w:t>
      </w:r>
    </w:p>
    <w:p w14:paraId="4482D9EA">
      <w:pPr>
        <w:numPr>
          <w:ilvl w:val="0"/>
          <w:numId w:val="1"/>
        </w:numPr>
        <w:spacing w:line="360" w:lineRule="auto"/>
        <w:rPr>
          <w:rFonts w:cs="Times New Roman" w:asciiTheme="minorEastAsia" w:hAnsiTheme="minorEastAsia"/>
          <w:sz w:val="24"/>
          <w:szCs w:val="24"/>
        </w:rPr>
      </w:pPr>
      <w:r>
        <w:rPr>
          <w:rFonts w:hint="eastAsia" w:asciiTheme="minorEastAsia" w:hAnsiTheme="minorEastAsia"/>
          <w:sz w:val="24"/>
          <w:szCs w:val="24"/>
          <w:lang w:val="en-US" w:eastAsia="zh-CN"/>
        </w:rPr>
        <w:t>具有“</w:t>
      </w:r>
      <w:r>
        <w:rPr>
          <w:rFonts w:hint="eastAsia" w:asciiTheme="minorEastAsia" w:hAnsiTheme="minorEastAsia"/>
          <w:sz w:val="24"/>
          <w:szCs w:val="24"/>
        </w:rPr>
        <w:t>网络安全等级测评与检测评估机构服务认证证书</w:t>
      </w:r>
      <w:r>
        <w:rPr>
          <w:rFonts w:hint="eastAsia" w:asciiTheme="minorEastAsia" w:hAnsiTheme="minorEastAsia"/>
          <w:sz w:val="24"/>
          <w:szCs w:val="24"/>
          <w:lang w:eastAsia="zh-CN"/>
        </w:rPr>
        <w:t>”</w:t>
      </w:r>
      <w:r>
        <w:rPr>
          <w:rFonts w:hint="eastAsia" w:asciiTheme="minorEastAsia" w:hAnsiTheme="minorEastAsia"/>
          <w:sz w:val="24"/>
          <w:szCs w:val="24"/>
          <w:lang w:val="en-US" w:eastAsia="zh-CN"/>
        </w:rPr>
        <w:t>资格</w:t>
      </w:r>
      <w:r>
        <w:rPr>
          <w:rFonts w:hint="eastAsia" w:asciiTheme="minorEastAsia" w:hAnsiTheme="minorEastAsia"/>
          <w:sz w:val="24"/>
          <w:szCs w:val="24"/>
        </w:rPr>
        <w:t xml:space="preserve"> 。</w:t>
      </w:r>
    </w:p>
    <w:p w14:paraId="64EE453E">
      <w:pPr>
        <w:spacing w:line="360" w:lineRule="auto"/>
        <w:rPr>
          <w:rFonts w:asciiTheme="minorEastAsia" w:hAnsiTheme="minorEastAsia"/>
          <w:b/>
          <w:color w:val="000000"/>
          <w:sz w:val="24"/>
          <w:szCs w:val="24"/>
        </w:rPr>
      </w:pPr>
      <w:r>
        <w:rPr>
          <w:rFonts w:hint="eastAsia" w:asciiTheme="minorEastAsia" w:hAnsiTheme="minorEastAsia"/>
          <w:b/>
          <w:sz w:val="24"/>
          <w:szCs w:val="24"/>
        </w:rPr>
        <w:t>三、</w:t>
      </w:r>
      <w:r>
        <w:rPr>
          <w:rFonts w:hint="eastAsia" w:cs="Times New Roman" w:asciiTheme="minorEastAsia" w:hAnsiTheme="minorEastAsia"/>
          <w:b/>
          <w:color w:val="000000"/>
          <w:sz w:val="24"/>
          <w:szCs w:val="24"/>
        </w:rPr>
        <w:t>依据标准</w:t>
      </w:r>
    </w:p>
    <w:p w14:paraId="6778F2CE">
      <w:pPr>
        <w:spacing w:line="360" w:lineRule="auto"/>
        <w:ind w:firstLine="360" w:firstLineChars="150"/>
        <w:rPr>
          <w:rFonts w:asciiTheme="minorEastAsia" w:hAnsiTheme="minorEastAsia"/>
          <w:color w:val="000000"/>
          <w:sz w:val="24"/>
          <w:szCs w:val="24"/>
        </w:rPr>
      </w:pPr>
      <w:r>
        <w:rPr>
          <w:rFonts w:hint="eastAsia" w:asciiTheme="minorEastAsia" w:hAnsiTheme="minorEastAsia"/>
          <w:color w:val="000000"/>
          <w:sz w:val="24"/>
          <w:szCs w:val="24"/>
        </w:rPr>
        <w:t>投标人应依据国家等级保护相关标准开展工作，依据标准包括但不限于如国家标准：</w:t>
      </w:r>
    </w:p>
    <w:p w14:paraId="017CE7E0">
      <w:pPr>
        <w:spacing w:line="360" w:lineRule="auto"/>
        <w:ind w:firstLine="360" w:firstLineChars="150"/>
        <w:rPr>
          <w:rFonts w:asciiTheme="minorEastAsia" w:hAnsiTheme="minorEastAsia"/>
          <w:color w:val="000000"/>
          <w:sz w:val="24"/>
          <w:szCs w:val="24"/>
        </w:rPr>
      </w:pPr>
      <w:r>
        <w:rPr>
          <w:rFonts w:hint="eastAsia" w:asciiTheme="minorEastAsia" w:hAnsiTheme="minorEastAsia"/>
          <w:color w:val="000000"/>
          <w:sz w:val="24"/>
          <w:szCs w:val="24"/>
        </w:rPr>
        <w:t>GB/T 22240-20</w:t>
      </w:r>
      <w:r>
        <w:rPr>
          <w:rFonts w:asciiTheme="minorEastAsia" w:hAnsiTheme="minorEastAsia"/>
          <w:color w:val="000000"/>
          <w:sz w:val="24"/>
          <w:szCs w:val="24"/>
        </w:rPr>
        <w:t>20</w:t>
      </w:r>
      <w:r>
        <w:rPr>
          <w:rFonts w:hint="eastAsia" w:asciiTheme="minorEastAsia" w:hAnsiTheme="minorEastAsia"/>
          <w:color w:val="000000"/>
          <w:sz w:val="24"/>
          <w:szCs w:val="24"/>
        </w:rPr>
        <w:t xml:space="preserve"> 信息安全技术 网络安全等级保护定级指南</w:t>
      </w:r>
    </w:p>
    <w:p w14:paraId="2E4BD4A1">
      <w:pPr>
        <w:spacing w:line="360" w:lineRule="auto"/>
        <w:ind w:firstLine="360" w:firstLineChars="150"/>
        <w:rPr>
          <w:rFonts w:asciiTheme="minorEastAsia" w:hAnsiTheme="minorEastAsia"/>
          <w:color w:val="000000"/>
          <w:sz w:val="24"/>
          <w:szCs w:val="24"/>
        </w:rPr>
      </w:pPr>
      <w:r>
        <w:rPr>
          <w:rFonts w:hint="eastAsia" w:asciiTheme="minorEastAsia" w:hAnsiTheme="minorEastAsia"/>
          <w:color w:val="000000"/>
          <w:sz w:val="24"/>
          <w:szCs w:val="24"/>
        </w:rPr>
        <w:t>GB/T 25058-2020 信息安全技术 信息系统安全等级保护实施指南</w:t>
      </w:r>
    </w:p>
    <w:p w14:paraId="08B4FD6B">
      <w:pPr>
        <w:spacing w:line="360" w:lineRule="auto"/>
        <w:ind w:firstLine="360" w:firstLineChars="150"/>
        <w:rPr>
          <w:rFonts w:asciiTheme="minorEastAsia" w:hAnsiTheme="minorEastAsia"/>
          <w:color w:val="000000"/>
          <w:sz w:val="24"/>
          <w:szCs w:val="24"/>
        </w:rPr>
      </w:pPr>
      <w:r>
        <w:rPr>
          <w:rFonts w:asciiTheme="minorEastAsia" w:hAnsiTheme="minorEastAsia"/>
          <w:sz w:val="24"/>
          <w:szCs w:val="24"/>
        </w:rPr>
        <w:t xml:space="preserve">GB/T 22239-2019 信息安全技术 </w:t>
      </w:r>
      <w:r>
        <w:rPr>
          <w:rFonts w:hint="eastAsia" w:asciiTheme="minorEastAsia" w:hAnsiTheme="minorEastAsia"/>
          <w:sz w:val="24"/>
          <w:szCs w:val="24"/>
        </w:rPr>
        <w:t>网络</w:t>
      </w:r>
      <w:r>
        <w:rPr>
          <w:rFonts w:asciiTheme="minorEastAsia" w:hAnsiTheme="minorEastAsia"/>
          <w:sz w:val="24"/>
          <w:szCs w:val="24"/>
        </w:rPr>
        <w:t xml:space="preserve">安全等级保护基本要求 </w:t>
      </w:r>
    </w:p>
    <w:p w14:paraId="54ADCD18">
      <w:pPr>
        <w:tabs>
          <w:tab w:val="left" w:pos="840"/>
        </w:tabs>
        <w:spacing w:line="360" w:lineRule="auto"/>
        <w:ind w:firstLine="360" w:firstLineChars="150"/>
        <w:rPr>
          <w:rFonts w:asciiTheme="minorEastAsia" w:hAnsiTheme="minorEastAsia"/>
          <w:sz w:val="24"/>
          <w:szCs w:val="24"/>
        </w:rPr>
      </w:pPr>
      <w:r>
        <w:rPr>
          <w:rFonts w:asciiTheme="minorEastAsia" w:hAnsiTheme="minorEastAsia"/>
          <w:sz w:val="24"/>
          <w:szCs w:val="24"/>
        </w:rPr>
        <w:t>GB/T 28448-2019</w:t>
      </w:r>
      <w:r>
        <w:rPr>
          <w:rFonts w:hint="eastAsia" w:asciiTheme="minorEastAsia" w:hAnsiTheme="minorEastAsia"/>
          <w:sz w:val="24"/>
          <w:szCs w:val="24"/>
        </w:rPr>
        <w:t xml:space="preserve"> </w:t>
      </w:r>
      <w:r>
        <w:rPr>
          <w:rFonts w:asciiTheme="minorEastAsia" w:hAnsiTheme="minorEastAsia"/>
          <w:sz w:val="24"/>
          <w:szCs w:val="24"/>
        </w:rPr>
        <w:t>信息安全技术</w:t>
      </w:r>
      <w:r>
        <w:rPr>
          <w:rFonts w:hint="cs" w:asciiTheme="minorEastAsia" w:hAnsiTheme="minorEastAsia"/>
          <w:sz w:val="24"/>
          <w:szCs w:val="24"/>
          <w:cs/>
        </w:rPr>
        <w:t xml:space="preserve"> </w:t>
      </w:r>
      <w:r>
        <w:rPr>
          <w:rFonts w:hint="eastAsia" w:asciiTheme="minorEastAsia" w:hAnsiTheme="minorEastAsia"/>
          <w:sz w:val="24"/>
          <w:szCs w:val="24"/>
        </w:rPr>
        <w:t xml:space="preserve"> 网络</w:t>
      </w:r>
      <w:r>
        <w:rPr>
          <w:rFonts w:asciiTheme="minorEastAsia" w:hAnsiTheme="minorEastAsia"/>
          <w:sz w:val="24"/>
          <w:szCs w:val="24"/>
        </w:rPr>
        <w:t>安全等级保护测评要求</w:t>
      </w:r>
    </w:p>
    <w:p w14:paraId="2AACC841">
      <w:pPr>
        <w:spacing w:line="360" w:lineRule="auto"/>
        <w:ind w:firstLine="360" w:firstLineChars="150"/>
        <w:rPr>
          <w:rFonts w:asciiTheme="minorEastAsia" w:hAnsiTheme="minorEastAsia"/>
          <w:bCs/>
          <w:color w:val="000000"/>
          <w:sz w:val="24"/>
          <w:szCs w:val="24"/>
        </w:rPr>
      </w:pPr>
      <w:r>
        <w:rPr>
          <w:rFonts w:asciiTheme="minorEastAsia" w:hAnsiTheme="minorEastAsia"/>
          <w:bCs/>
          <w:color w:val="000000"/>
          <w:sz w:val="24"/>
          <w:szCs w:val="24"/>
        </w:rPr>
        <w:t>GB/T 28449-2018</w:t>
      </w:r>
      <w:r>
        <w:rPr>
          <w:rFonts w:hint="eastAsia" w:asciiTheme="minorEastAsia" w:hAnsiTheme="minorEastAsia"/>
          <w:color w:val="000000"/>
          <w:sz w:val="24"/>
          <w:szCs w:val="24"/>
        </w:rPr>
        <w:t>信息安全技术 信息系统安全等级保护测评过程指南</w:t>
      </w:r>
    </w:p>
    <w:p w14:paraId="551B31BE">
      <w:pPr>
        <w:spacing w:line="360" w:lineRule="auto"/>
        <w:ind w:firstLine="360" w:firstLineChars="150"/>
        <w:rPr>
          <w:rFonts w:asciiTheme="minorEastAsia" w:hAnsiTheme="minorEastAsia"/>
          <w:color w:val="000000"/>
          <w:sz w:val="24"/>
          <w:szCs w:val="24"/>
        </w:rPr>
      </w:pPr>
    </w:p>
    <w:p w14:paraId="5A68FEF9">
      <w:pPr>
        <w:pStyle w:val="9"/>
        <w:adjustRightInd w:val="0"/>
        <w:snapToGrid w:val="0"/>
        <w:spacing w:line="360" w:lineRule="auto"/>
        <w:rPr>
          <w:rFonts w:cs="宋体" w:asciiTheme="minorEastAsia" w:hAnsiTheme="minorEastAsia" w:eastAsiaTheme="minorEastAsia"/>
          <w:b/>
          <w:bCs/>
          <w:color w:val="000000"/>
        </w:rPr>
      </w:pPr>
      <w:r>
        <w:rPr>
          <w:rFonts w:hint="eastAsia" w:cs="宋体" w:asciiTheme="minorEastAsia" w:hAnsiTheme="minorEastAsia" w:eastAsiaTheme="minorEastAsia"/>
          <w:b/>
          <w:bCs/>
          <w:color w:val="000000"/>
        </w:rPr>
        <w:t>四、技术要求</w:t>
      </w:r>
    </w:p>
    <w:p w14:paraId="1F841318">
      <w:pPr>
        <w:spacing w:line="360" w:lineRule="auto"/>
        <w:ind w:firstLine="480" w:firstLineChars="200"/>
        <w:jc w:val="left"/>
        <w:rPr>
          <w:rFonts w:asciiTheme="minorEastAsia" w:hAnsiTheme="minorEastAsia"/>
          <w:sz w:val="24"/>
          <w:szCs w:val="24"/>
        </w:rPr>
      </w:pPr>
      <w:bookmarkStart w:id="0" w:name="_Toc215567899"/>
      <w:r>
        <w:rPr>
          <w:rFonts w:hint="eastAsia" w:asciiTheme="minorEastAsia" w:hAnsiTheme="minorEastAsia"/>
          <w:sz w:val="24"/>
          <w:szCs w:val="24"/>
        </w:rPr>
        <w:t>根据国家网络安全等级保护相关标准，实施方对绍兴市新闻传媒中心系统安全等级保护测评的内容包括但不限于以下内容：</w:t>
      </w:r>
    </w:p>
    <w:p w14:paraId="34C170CC">
      <w:pPr>
        <w:spacing w:line="360" w:lineRule="auto"/>
        <w:ind w:firstLine="480" w:firstLineChars="200"/>
        <w:jc w:val="left"/>
        <w:rPr>
          <w:rFonts w:hint="eastAsia" w:asciiTheme="minorEastAsia" w:hAnsiTheme="minorEastAsia"/>
          <w:b w:val="0"/>
          <w:bCs/>
          <w:sz w:val="24"/>
          <w:szCs w:val="24"/>
        </w:rPr>
      </w:pPr>
      <w:r>
        <w:rPr>
          <w:rFonts w:hint="eastAsia" w:asciiTheme="minorEastAsia" w:hAnsiTheme="minorEastAsia"/>
          <w:b w:val="0"/>
          <w:bCs/>
          <w:sz w:val="24"/>
          <w:szCs w:val="24"/>
        </w:rPr>
        <w:t>安全技术测评：包括物理安全、网络安全、主机系统安全、应用安全和数据安全等五个方面的安全测评；</w:t>
      </w:r>
    </w:p>
    <w:p w14:paraId="6CED7B1F">
      <w:pPr>
        <w:spacing w:line="360" w:lineRule="auto"/>
        <w:ind w:firstLine="480" w:firstLineChars="200"/>
        <w:jc w:val="left"/>
        <w:rPr>
          <w:rFonts w:hint="eastAsia" w:asciiTheme="minorEastAsia" w:hAnsiTheme="minorEastAsia"/>
          <w:b w:val="0"/>
          <w:bCs/>
          <w:sz w:val="24"/>
          <w:szCs w:val="24"/>
        </w:rPr>
      </w:pPr>
      <w:r>
        <w:rPr>
          <w:rFonts w:hint="eastAsia" w:asciiTheme="minorEastAsia" w:hAnsiTheme="minorEastAsia"/>
          <w:b w:val="0"/>
          <w:bCs/>
          <w:sz w:val="24"/>
          <w:szCs w:val="24"/>
        </w:rPr>
        <w:t>安全管理测评：安全管理机构、安全管理制度、人员安全管理、系统建设管理和系统运维管理等五个方面的安全测评</w:t>
      </w:r>
    </w:p>
    <w:p w14:paraId="4126BC8F">
      <w:pPr>
        <w:spacing w:line="360" w:lineRule="auto"/>
        <w:ind w:firstLine="482" w:firstLineChars="200"/>
        <w:jc w:val="left"/>
        <w:rPr>
          <w:rFonts w:asciiTheme="minorEastAsia" w:hAnsiTheme="minorEastAsia"/>
          <w:b/>
          <w:sz w:val="24"/>
          <w:szCs w:val="24"/>
        </w:rPr>
      </w:pPr>
      <w:r>
        <w:rPr>
          <w:rFonts w:hint="eastAsia" w:asciiTheme="minorEastAsia" w:hAnsiTheme="minorEastAsia"/>
          <w:b/>
          <w:sz w:val="24"/>
          <w:szCs w:val="24"/>
        </w:rPr>
        <w:t>1、等级测评要求</w:t>
      </w:r>
    </w:p>
    <w:p w14:paraId="2059C9B0">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1)实施方应在对系统详细了解的基础上，编制针对性的等级保护测评整体实施方案，包括项目概述、等级测评范围和内容、项目实施流程、测试过程中需使用测试设备清单、时间安排、阶段性文档提交和验收标准等。</w:t>
      </w:r>
    </w:p>
    <w:p w14:paraId="63802096">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2)实施方应详细描述测评人员的组成、资质及各自职责的划分。实施方应配置有经验的测评人员进行本次等级测评工作。</w:t>
      </w:r>
    </w:p>
    <w:p w14:paraId="4879FEAE">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3)本次等级测评实施过程中所使用到的各种工具软件由实施方推荐，经采购方确认后由实施方提供并在测评中使用。在投标文件中应详细描述所使用的安全测评工具（软硬件型号、功能和性能描述）、使用的方式和时间、对环境和平台的要求以及使用可能对系统造成的风险等。</w:t>
      </w:r>
    </w:p>
    <w:p w14:paraId="158CA001">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4)对于在测评过程中采用的测评方法、测评所使用的工具、测评所覆盖的各方面，需要符合信息安全等级保护主管部门要求，包括但不仅仅包括网络隐患检测工具、数据库漏洞检测工具、应用安全检测工具、网站安全检测工具等。</w:t>
      </w:r>
    </w:p>
    <w:p w14:paraId="793E7940">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5)安全测评需要的运行环境（如场地、网络环境等）由采购方提供，实施方应详细描述需要的运行环境的具体要求。</w:t>
      </w:r>
    </w:p>
    <w:p w14:paraId="055E335D">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6)项目完成后必须提交完整的技术文档、定级报告、测评报告、整改建议等。</w:t>
      </w:r>
    </w:p>
    <w:p w14:paraId="76E58088">
      <w:pPr>
        <w:spacing w:line="360" w:lineRule="auto"/>
        <w:ind w:firstLine="482" w:firstLineChars="200"/>
        <w:jc w:val="left"/>
        <w:rPr>
          <w:rFonts w:asciiTheme="minorEastAsia" w:hAnsiTheme="minorEastAsia"/>
          <w:b/>
          <w:sz w:val="24"/>
          <w:szCs w:val="24"/>
        </w:rPr>
      </w:pPr>
      <w:r>
        <w:rPr>
          <w:rFonts w:hint="eastAsia" w:asciiTheme="minorEastAsia" w:hAnsiTheme="minorEastAsia"/>
          <w:b/>
          <w:sz w:val="24"/>
          <w:szCs w:val="24"/>
        </w:rPr>
        <w:t>2、项目实施要求</w:t>
      </w:r>
    </w:p>
    <w:p w14:paraId="3E95B1C5">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1)实施方应保证投标项目在采购方条件成熟时应立即开展实施；</w:t>
      </w:r>
    </w:p>
    <w:p w14:paraId="59ABC5D9">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2)实施方在项目实施过程中应服从采购方的统一领导和协调，采购方有权裁决实施方的责任范围，实施方必须执行，在采购方限定的时间内解决问题。如果实施方不能按时完成测评内容，采购方有权中止项目、索赔或拒付款项；</w:t>
      </w:r>
    </w:p>
    <w:p w14:paraId="28DA815C">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3)实施方需根据自己的工程实施经验结合采购方的实际需求进一步细化和完善工作任务书，作为工程实施的指导性文件；</w:t>
      </w:r>
    </w:p>
    <w:p w14:paraId="5C56EC68">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4)实施方应根据采购方工作需求、进度要求、实际情况制定详细的项目实施管理规范和项目实施计划，对工程目标、工作任务、阶段性工作、项目组织机构、职责分工、项目进度、质量控制等内容进行详细的说明，以确保工程实施按时保质的完成；</w:t>
      </w:r>
    </w:p>
    <w:p w14:paraId="10610D56">
      <w:pPr>
        <w:spacing w:line="360" w:lineRule="auto"/>
        <w:ind w:firstLine="480" w:firstLineChars="200"/>
        <w:jc w:val="left"/>
        <w:rPr>
          <w:rFonts w:asciiTheme="minorEastAsia" w:hAnsiTheme="minorEastAsia"/>
          <w:sz w:val="24"/>
          <w:szCs w:val="24"/>
          <w:highlight w:val="red"/>
        </w:rPr>
      </w:pPr>
      <w:r>
        <w:rPr>
          <w:rFonts w:hint="eastAsia" w:asciiTheme="minorEastAsia" w:hAnsiTheme="minorEastAsia"/>
          <w:sz w:val="24"/>
          <w:szCs w:val="24"/>
          <w:highlight w:val="red"/>
        </w:rPr>
        <w:t>5)</w:t>
      </w:r>
      <w:r>
        <w:rPr>
          <w:rFonts w:hint="eastAsia" w:asciiTheme="minorEastAsia" w:hAnsiTheme="minorEastAsia"/>
          <w:color w:val="000000"/>
          <w:sz w:val="24"/>
          <w:szCs w:val="24"/>
          <w:highlight w:val="red"/>
        </w:rPr>
        <w:t xml:space="preserve"> 本次项目负责人必须具有5年以上的测评工作经验，并参与过具有大型复杂测评项目的实施经验；承担本次项目的项目经理需同时具有高级测评师证书、信息安全保障人员认证证书(CISAW)。项目组组员具有测评师资质，</w:t>
      </w:r>
      <w:r>
        <w:rPr>
          <w:rFonts w:hint="eastAsia" w:asciiTheme="minorEastAsia" w:hAnsiTheme="minorEastAsia"/>
          <w:sz w:val="24"/>
          <w:szCs w:val="24"/>
          <w:highlight w:val="red"/>
        </w:rPr>
        <w:t>确保项目的顺利实施。</w:t>
      </w:r>
    </w:p>
    <w:p w14:paraId="241F654B">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6)实施方应在测评过程中绝对保证采购方相关系统的正常工作</w:t>
      </w:r>
      <w:bookmarkStart w:id="1" w:name="_GoBack"/>
      <w:bookmarkEnd w:id="1"/>
      <w:r>
        <w:rPr>
          <w:rFonts w:hint="eastAsia" w:asciiTheme="minorEastAsia" w:hAnsiTheme="minorEastAsia"/>
          <w:sz w:val="24"/>
          <w:szCs w:val="24"/>
        </w:rPr>
        <w:t>，一旦发生由测评引起的安全播出事故，实施方负全责。若实施方在测评中无法保证采购方相关系统的正常工作，则不允许对相关系统进行端口扫描和在系统中安装运行其它软件。</w:t>
      </w:r>
    </w:p>
    <w:p w14:paraId="0DDC1195">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7)实施方在测评进场以后三十个工作日内完成全部测评工作，项目验收完成后，要求提供为期一年的安全咨询服务，以保证项目正常运行。</w:t>
      </w:r>
    </w:p>
    <w:p w14:paraId="1DD33BA3">
      <w:pPr>
        <w:spacing w:line="360" w:lineRule="auto"/>
        <w:jc w:val="left"/>
        <w:rPr>
          <w:rFonts w:asciiTheme="minorEastAsia" w:hAnsiTheme="minorEastAsia"/>
          <w:b/>
          <w:sz w:val="24"/>
          <w:szCs w:val="24"/>
        </w:rPr>
      </w:pPr>
      <w:r>
        <w:rPr>
          <w:rFonts w:hint="eastAsia" w:asciiTheme="minorEastAsia" w:hAnsiTheme="minorEastAsia"/>
          <w:b/>
          <w:sz w:val="24"/>
          <w:szCs w:val="24"/>
        </w:rPr>
        <w:t>五、测评报告要求</w:t>
      </w:r>
    </w:p>
    <w:p w14:paraId="536C9C80">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实施方应对采购方的信息系统进行定级、等级保护测评，形成相应的报告。</w:t>
      </w:r>
    </w:p>
    <w:p w14:paraId="122898FB">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1、实施方在测评完成后，出具符合信息安全等级保护主管部门要求的信息系统安全等级保护测评报告；</w:t>
      </w:r>
    </w:p>
    <w:p w14:paraId="3E1BBD35">
      <w:pPr>
        <w:spacing w:line="360" w:lineRule="auto"/>
        <w:ind w:firstLine="480" w:firstLineChars="200"/>
        <w:jc w:val="left"/>
        <w:rPr>
          <w:rFonts w:asciiTheme="minorEastAsia" w:hAnsiTheme="minorEastAsia"/>
          <w:sz w:val="24"/>
          <w:szCs w:val="24"/>
        </w:rPr>
      </w:pPr>
      <w:r>
        <w:rPr>
          <w:rFonts w:hint="eastAsia" w:asciiTheme="minorEastAsia" w:hAnsiTheme="minorEastAsia"/>
          <w:sz w:val="24"/>
          <w:szCs w:val="24"/>
        </w:rPr>
        <w:t>2、对不符合信息安全等级保护有关管理规范和技术标准的，实施方出具可行的信息系统整改建议，并指导采购方完成整改；</w:t>
      </w:r>
    </w:p>
    <w:p w14:paraId="4E040C37">
      <w:pPr>
        <w:spacing w:line="360" w:lineRule="auto"/>
        <w:ind w:firstLine="480" w:firstLineChars="200"/>
        <w:jc w:val="left"/>
        <w:rPr>
          <w:rFonts w:asciiTheme="minorEastAsia" w:hAnsiTheme="minorEastAsia"/>
          <w:b/>
          <w:sz w:val="24"/>
          <w:szCs w:val="24"/>
        </w:rPr>
      </w:pPr>
      <w:r>
        <w:rPr>
          <w:rFonts w:hint="eastAsia" w:asciiTheme="minorEastAsia" w:hAnsiTheme="minorEastAsia"/>
          <w:sz w:val="24"/>
          <w:szCs w:val="24"/>
        </w:rPr>
        <w:t>3、实施方协助采购方办理信息系统安全等级保护备案手续等相关工作。</w:t>
      </w:r>
      <w:r>
        <w:rPr>
          <w:rFonts w:asciiTheme="minorEastAsia" w:hAnsiTheme="minorEastAsia"/>
          <w:b/>
          <w:sz w:val="24"/>
          <w:szCs w:val="24"/>
        </w:rPr>
        <w:t xml:space="preserve"> </w:t>
      </w:r>
    </w:p>
    <w:p w14:paraId="0568DA05">
      <w:pPr>
        <w:spacing w:line="360" w:lineRule="auto"/>
        <w:jc w:val="left"/>
        <w:rPr>
          <w:rFonts w:asciiTheme="minorEastAsia" w:hAnsiTheme="minorEastAsia"/>
          <w:b/>
          <w:sz w:val="24"/>
          <w:szCs w:val="24"/>
        </w:rPr>
      </w:pPr>
      <w:r>
        <w:rPr>
          <w:rFonts w:hint="eastAsia" w:asciiTheme="minorEastAsia" w:hAnsiTheme="minorEastAsia"/>
          <w:b/>
          <w:sz w:val="24"/>
          <w:szCs w:val="24"/>
        </w:rPr>
        <w:t>六、项目验收</w:t>
      </w:r>
    </w:p>
    <w:p w14:paraId="21D583C0">
      <w:pPr>
        <w:tabs>
          <w:tab w:val="left" w:pos="1260"/>
        </w:tabs>
        <w:spacing w:line="360" w:lineRule="auto"/>
        <w:ind w:firstLine="480" w:firstLineChars="200"/>
        <w:rPr>
          <w:rFonts w:asciiTheme="minorEastAsia" w:hAnsiTheme="minorEastAsia"/>
          <w:sz w:val="24"/>
          <w:szCs w:val="24"/>
        </w:rPr>
      </w:pPr>
      <w:r>
        <w:rPr>
          <w:rFonts w:hint="eastAsia" w:asciiTheme="minorEastAsia" w:hAnsiTheme="minorEastAsia"/>
          <w:sz w:val="24"/>
          <w:szCs w:val="24"/>
        </w:rPr>
        <w:t>1、本项目的目标是输出等级保护测评报告，并配合办理完成信息系统安全保护等级备案手续，该项目将产生一定数量的文档。</w:t>
      </w:r>
    </w:p>
    <w:p w14:paraId="77FB7784">
      <w:pPr>
        <w:tabs>
          <w:tab w:val="left" w:pos="1260"/>
        </w:tabs>
        <w:spacing w:line="360" w:lineRule="auto"/>
        <w:ind w:firstLine="480" w:firstLineChars="200"/>
        <w:rPr>
          <w:rFonts w:asciiTheme="minorEastAsia" w:hAnsiTheme="minorEastAsia"/>
          <w:sz w:val="24"/>
          <w:szCs w:val="24"/>
        </w:rPr>
      </w:pPr>
      <w:r>
        <w:rPr>
          <w:rFonts w:hint="eastAsia" w:asciiTheme="minorEastAsia" w:hAnsiTheme="minorEastAsia"/>
          <w:sz w:val="24"/>
          <w:szCs w:val="24"/>
        </w:rPr>
        <w:t>2、投标人应对所有正式交付件的综合质量审查负责，指定各交付件的相关责任人，明确相关职责。</w:t>
      </w:r>
    </w:p>
    <w:p w14:paraId="5E08923F">
      <w:pPr>
        <w:tabs>
          <w:tab w:val="left" w:pos="1260"/>
        </w:tabs>
        <w:spacing w:line="360" w:lineRule="auto"/>
        <w:ind w:firstLine="480" w:firstLineChars="200"/>
        <w:rPr>
          <w:rFonts w:asciiTheme="minorEastAsia" w:hAnsiTheme="minorEastAsia"/>
          <w:sz w:val="24"/>
          <w:szCs w:val="24"/>
        </w:rPr>
      </w:pPr>
      <w:r>
        <w:rPr>
          <w:rFonts w:hint="eastAsia" w:asciiTheme="minorEastAsia" w:hAnsiTheme="minorEastAsia"/>
          <w:sz w:val="24"/>
          <w:szCs w:val="24"/>
        </w:rPr>
        <w:t>3、投标人在项目完成后必须提交完整的技术文档、测评报告、整改建议等，供招标人参考。</w:t>
      </w:r>
    </w:p>
    <w:p w14:paraId="48C3755D">
      <w:pPr>
        <w:spacing w:line="360" w:lineRule="auto"/>
        <w:rPr>
          <w:rFonts w:asciiTheme="minorEastAsia" w:hAnsiTheme="minorEastAsia"/>
          <w:b/>
          <w:sz w:val="24"/>
          <w:szCs w:val="24"/>
        </w:rPr>
      </w:pPr>
      <w:r>
        <w:rPr>
          <w:rFonts w:hint="eastAsia" w:asciiTheme="minorEastAsia" w:hAnsiTheme="minorEastAsia"/>
          <w:b/>
          <w:sz w:val="24"/>
          <w:szCs w:val="24"/>
        </w:rPr>
        <w:t xml:space="preserve">七、付款方式: </w:t>
      </w:r>
      <w:r>
        <w:rPr>
          <w:rFonts w:hint="eastAsia" w:asciiTheme="minorEastAsia" w:hAnsiTheme="minorEastAsia"/>
          <w:sz w:val="24"/>
          <w:szCs w:val="24"/>
        </w:rPr>
        <w:t>项目</w:t>
      </w:r>
      <w:r>
        <w:rPr>
          <w:rFonts w:hint="eastAsia" w:asciiTheme="minorEastAsia" w:hAnsiTheme="minorEastAsia"/>
          <w:color w:val="000000" w:themeColor="text1"/>
          <w:sz w:val="24"/>
          <w:szCs w:val="24"/>
          <w14:textFill>
            <w14:solidFill>
              <w14:schemeClr w14:val="tx1"/>
            </w14:solidFill>
          </w14:textFill>
        </w:rPr>
        <w:t>验收合格后支付合同全款。</w:t>
      </w:r>
    </w:p>
    <w:p w14:paraId="55ACEA45">
      <w:pPr>
        <w:spacing w:line="360" w:lineRule="auto"/>
        <w:rPr>
          <w:rFonts w:asciiTheme="minorEastAsia" w:hAnsiTheme="minorEastAsia"/>
          <w:bCs/>
          <w:iCs/>
          <w:color w:val="000000"/>
          <w:sz w:val="24"/>
          <w:szCs w:val="24"/>
        </w:rPr>
      </w:pPr>
      <w:r>
        <w:rPr>
          <w:rFonts w:hint="eastAsia" w:asciiTheme="minorEastAsia" w:hAnsiTheme="minorEastAsia"/>
          <w:b/>
          <w:color w:val="000000"/>
          <w:sz w:val="24"/>
          <w:szCs w:val="24"/>
        </w:rPr>
        <w:t>八、交货期：</w:t>
      </w:r>
      <w:r>
        <w:rPr>
          <w:rFonts w:hint="eastAsia" w:asciiTheme="minorEastAsia" w:hAnsiTheme="minorEastAsia"/>
          <w:color w:val="000000"/>
          <w:sz w:val="24"/>
          <w:szCs w:val="24"/>
        </w:rPr>
        <w:t>合同签订后</w:t>
      </w:r>
      <w:r>
        <w:rPr>
          <w:rFonts w:hint="eastAsia" w:asciiTheme="minorEastAsia" w:hAnsiTheme="minorEastAsia"/>
          <w:bCs/>
          <w:iCs/>
          <w:color w:val="000000"/>
          <w:sz w:val="24"/>
          <w:szCs w:val="24"/>
          <w:lang w:val="en-US" w:eastAsia="zh-CN"/>
        </w:rPr>
        <w:t>10</w:t>
      </w:r>
      <w:r>
        <w:rPr>
          <w:rFonts w:hint="eastAsia" w:asciiTheme="minorEastAsia" w:hAnsiTheme="minorEastAsia"/>
          <w:bCs/>
          <w:iCs/>
          <w:color w:val="000000"/>
          <w:sz w:val="24"/>
          <w:szCs w:val="24"/>
        </w:rPr>
        <w:t>个工作日内上门进行测评工作。</w:t>
      </w:r>
      <w:bookmarkEnd w:id="0"/>
    </w:p>
    <w:p w14:paraId="3253A5C4">
      <w:pPr>
        <w:spacing w:line="360" w:lineRule="auto"/>
        <w:rPr>
          <w:rFonts w:asciiTheme="minorEastAsia" w:hAnsiTheme="minorEastAsia"/>
          <w:color w:val="000000"/>
          <w:sz w:val="24"/>
          <w:szCs w:val="24"/>
        </w:rPr>
      </w:pPr>
    </w:p>
    <w:p w14:paraId="0384F1E9">
      <w:pPr>
        <w:spacing w:line="360" w:lineRule="auto"/>
        <w:rPr>
          <w:rFonts w:asciiTheme="minorEastAsia" w:hAnsiTheme="minorEastAsia"/>
          <w:color w:val="000000"/>
          <w:sz w:val="24"/>
          <w:szCs w:val="24"/>
        </w:rPr>
      </w:pPr>
      <w:r>
        <w:rPr>
          <w:rFonts w:hint="eastAsia" w:asciiTheme="minorEastAsia" w:hAnsiTheme="minorEastAsia"/>
          <w:color w:val="000000"/>
          <w:sz w:val="24"/>
          <w:szCs w:val="24"/>
        </w:rPr>
        <w:t>商务要求：</w:t>
      </w:r>
    </w:p>
    <w:p w14:paraId="5BC21F6C">
      <w:pPr>
        <w:spacing w:line="360" w:lineRule="auto"/>
        <w:rPr>
          <w:rFonts w:asciiTheme="minorEastAsia" w:hAnsiTheme="minorEastAsia"/>
          <w:color w:val="000000"/>
          <w:sz w:val="24"/>
          <w:szCs w:val="24"/>
        </w:rPr>
      </w:pPr>
      <w:r>
        <w:rPr>
          <w:rFonts w:hint="eastAsia" w:asciiTheme="minorEastAsia" w:hAnsiTheme="minorEastAsia"/>
          <w:color w:val="000000"/>
          <w:sz w:val="24"/>
          <w:szCs w:val="24"/>
        </w:rPr>
        <w:t>1、参与本次采购的供应商必须已获得经公安部第三研究所（国家认证认可委员会批准的认证机构）认证发放的《网络安全等级测评与检测评估机构服务认证证书》 。</w:t>
      </w:r>
      <w:r>
        <w:rPr>
          <w:rFonts w:hint="eastAsia" w:asciiTheme="minorEastAsia" w:hAnsiTheme="minorEastAsia" w:eastAsiaTheme="minorEastAsia" w:cstheme="minorEastAsia"/>
          <w:color w:val="000000"/>
          <w:sz w:val="24"/>
          <w:szCs w:val="24"/>
        </w:rPr>
        <w:t>上述材料必须在响应附件中上传。</w:t>
      </w:r>
    </w:p>
    <w:p w14:paraId="36EC61B6">
      <w:pPr>
        <w:spacing w:line="360" w:lineRule="auto"/>
        <w:jc w:val="left"/>
        <w:rPr>
          <w:rFonts w:asciiTheme="minorEastAsia" w:hAnsiTheme="minorEastAsia"/>
          <w:color w:val="000000"/>
          <w:sz w:val="24"/>
          <w:szCs w:val="24"/>
        </w:rPr>
      </w:pPr>
      <w:r>
        <w:rPr>
          <w:rFonts w:hint="eastAsia" w:asciiTheme="minorEastAsia" w:hAnsiTheme="minorEastAsia"/>
          <w:color w:val="000000"/>
          <w:sz w:val="24"/>
          <w:szCs w:val="24"/>
        </w:rPr>
        <w:t>2、本次项目负责人必须具有5年以上的测评工作经验，并参与过具有大型复杂测评项目的实施经验；承担本次项目的项目经理需同时具有高级测评师证书、信息安全保障人员认证证书(CISAW)。项目组组员具有测评师资质，确保项目的顺利实施。</w:t>
      </w:r>
      <w:r>
        <w:rPr>
          <w:rFonts w:hint="eastAsia" w:asciiTheme="minorEastAsia" w:hAnsiTheme="minorEastAsia" w:eastAsiaTheme="minorEastAsia" w:cstheme="minorEastAsia"/>
          <w:color w:val="000000"/>
          <w:sz w:val="24"/>
          <w:szCs w:val="24"/>
        </w:rPr>
        <w:t>上述材料必须在响应附件中上传。</w:t>
      </w:r>
    </w:p>
    <w:p w14:paraId="40832DF8">
      <w:pPr>
        <w:spacing w:line="400" w:lineRule="exact"/>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sz w:val="24"/>
          <w:szCs w:val="24"/>
        </w:rPr>
        <w:t>3、付款说明：</w:t>
      </w:r>
      <w:r>
        <w:rPr>
          <w:rFonts w:hint="eastAsia" w:ascii="宋体" w:hAnsi="宋体" w:eastAsia="宋体" w:cs="Times New Roman"/>
          <w:color w:val="000000"/>
          <w:sz w:val="24"/>
          <w:szCs w:val="24"/>
        </w:rPr>
        <w:t>供应商需提供</w:t>
      </w:r>
      <w:r>
        <w:rPr>
          <w:rFonts w:hint="eastAsia" w:ascii="宋体" w:hAnsi="宋体" w:eastAsia="宋体" w:cs="Times New Roman"/>
          <w:color w:val="000000"/>
          <w:sz w:val="24"/>
          <w:szCs w:val="24"/>
          <w:lang w:val="en-US" w:eastAsia="zh-CN"/>
        </w:rPr>
        <w:t>6%</w:t>
      </w:r>
      <w:r>
        <w:rPr>
          <w:rFonts w:hint="eastAsia" w:ascii="宋体" w:hAnsi="宋体" w:eastAsia="宋体" w:cs="Times New Roman"/>
          <w:color w:val="000000"/>
          <w:sz w:val="24"/>
          <w:szCs w:val="24"/>
        </w:rPr>
        <w:t>增值税专用发票，</w:t>
      </w:r>
      <w:r>
        <w:rPr>
          <w:rFonts w:hint="eastAsia" w:asciiTheme="minorEastAsia" w:hAnsiTheme="minorEastAsia"/>
          <w:color w:val="000000" w:themeColor="text1"/>
          <w:sz w:val="24"/>
          <w14:textFill>
            <w14:solidFill>
              <w14:schemeClr w14:val="tx1"/>
            </w14:solidFill>
          </w14:textFill>
        </w:rPr>
        <w:t>项目验收合格后一次性付清。</w:t>
      </w:r>
    </w:p>
    <w:p w14:paraId="2EB81514">
      <w:pPr>
        <w:spacing w:line="360" w:lineRule="auto"/>
        <w:rPr>
          <w:rFonts w:asciiTheme="minorEastAsia" w:hAnsiTheme="minorEastAsia"/>
          <w:color w:val="000000"/>
          <w:sz w:val="24"/>
          <w:szCs w:val="24"/>
        </w:rPr>
      </w:pPr>
      <w:r>
        <w:rPr>
          <w:rFonts w:hint="eastAsia" w:asciiTheme="minorEastAsia" w:hAnsiTheme="minorEastAsia"/>
          <w:color w:val="000000"/>
          <w:sz w:val="24"/>
          <w:szCs w:val="24"/>
        </w:rPr>
        <w:t>4、实施和服务时间要求：合同签订后</w:t>
      </w:r>
      <w:r>
        <w:rPr>
          <w:rFonts w:hint="eastAsia" w:asciiTheme="minorEastAsia" w:hAnsiTheme="minorEastAsia"/>
          <w:bCs/>
          <w:iCs/>
          <w:color w:val="000000"/>
          <w:sz w:val="24"/>
          <w:szCs w:val="24"/>
          <w:lang w:val="en-US" w:eastAsia="zh-CN"/>
        </w:rPr>
        <w:t>10</w:t>
      </w:r>
      <w:r>
        <w:rPr>
          <w:rFonts w:hint="eastAsia" w:asciiTheme="minorEastAsia" w:hAnsiTheme="minorEastAsia"/>
          <w:bCs/>
          <w:iCs/>
          <w:color w:val="000000"/>
          <w:sz w:val="24"/>
          <w:szCs w:val="24"/>
        </w:rPr>
        <w:t>个工作日内上门进行测评</w:t>
      </w:r>
      <w:r>
        <w:rPr>
          <w:rFonts w:hint="eastAsia" w:asciiTheme="minorEastAsia" w:hAnsiTheme="minorEastAsia"/>
          <w:color w:val="000000"/>
          <w:sz w:val="24"/>
          <w:szCs w:val="24"/>
        </w:rPr>
        <w:t>，中标单位必须提供为期一年的免费售后服务。</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EE141A"/>
    <w:multiLevelType w:val="multilevel"/>
    <w:tmpl w:val="02EE141A"/>
    <w:lvl w:ilvl="0" w:tentative="0">
      <w:start w:val="1"/>
      <w:numFmt w:val="decimal"/>
      <w:lvlText w:val="%1、"/>
      <w:lvlJc w:val="left"/>
      <w:pPr>
        <w:ind w:left="753" w:hanging="360"/>
      </w:pPr>
      <w:rPr>
        <w:rFonts w:hint="default"/>
      </w:rPr>
    </w:lvl>
    <w:lvl w:ilvl="1" w:tentative="0">
      <w:start w:val="1"/>
      <w:numFmt w:val="lowerLetter"/>
      <w:lvlText w:val="%2)"/>
      <w:lvlJc w:val="left"/>
      <w:pPr>
        <w:ind w:left="1233" w:hanging="420"/>
      </w:pPr>
    </w:lvl>
    <w:lvl w:ilvl="2" w:tentative="0">
      <w:start w:val="1"/>
      <w:numFmt w:val="lowerRoman"/>
      <w:lvlText w:val="%3."/>
      <w:lvlJc w:val="right"/>
      <w:pPr>
        <w:ind w:left="1653" w:hanging="420"/>
      </w:pPr>
    </w:lvl>
    <w:lvl w:ilvl="3" w:tentative="0">
      <w:start w:val="1"/>
      <w:numFmt w:val="decimal"/>
      <w:lvlText w:val="%4."/>
      <w:lvlJc w:val="left"/>
      <w:pPr>
        <w:ind w:left="2073" w:hanging="420"/>
      </w:pPr>
    </w:lvl>
    <w:lvl w:ilvl="4" w:tentative="0">
      <w:start w:val="1"/>
      <w:numFmt w:val="lowerLetter"/>
      <w:lvlText w:val="%5)"/>
      <w:lvlJc w:val="left"/>
      <w:pPr>
        <w:ind w:left="2493" w:hanging="420"/>
      </w:pPr>
    </w:lvl>
    <w:lvl w:ilvl="5" w:tentative="0">
      <w:start w:val="1"/>
      <w:numFmt w:val="lowerRoman"/>
      <w:lvlText w:val="%6."/>
      <w:lvlJc w:val="right"/>
      <w:pPr>
        <w:ind w:left="2913" w:hanging="420"/>
      </w:pPr>
    </w:lvl>
    <w:lvl w:ilvl="6" w:tentative="0">
      <w:start w:val="1"/>
      <w:numFmt w:val="decimal"/>
      <w:lvlText w:val="%7."/>
      <w:lvlJc w:val="left"/>
      <w:pPr>
        <w:ind w:left="3333" w:hanging="420"/>
      </w:pPr>
    </w:lvl>
    <w:lvl w:ilvl="7" w:tentative="0">
      <w:start w:val="1"/>
      <w:numFmt w:val="lowerLetter"/>
      <w:lvlText w:val="%8)"/>
      <w:lvlJc w:val="left"/>
      <w:pPr>
        <w:ind w:left="3753" w:hanging="420"/>
      </w:pPr>
    </w:lvl>
    <w:lvl w:ilvl="8" w:tentative="0">
      <w:start w:val="1"/>
      <w:numFmt w:val="lowerRoman"/>
      <w:lvlText w:val="%9."/>
      <w:lvlJc w:val="right"/>
      <w:pPr>
        <w:ind w:left="4173"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0CC9"/>
    <w:rsid w:val="0000190B"/>
    <w:rsid w:val="00001956"/>
    <w:rsid w:val="00001D3A"/>
    <w:rsid w:val="00002250"/>
    <w:rsid w:val="0000405A"/>
    <w:rsid w:val="00006360"/>
    <w:rsid w:val="00010910"/>
    <w:rsid w:val="00013900"/>
    <w:rsid w:val="00013ED0"/>
    <w:rsid w:val="00017201"/>
    <w:rsid w:val="00021111"/>
    <w:rsid w:val="0002163B"/>
    <w:rsid w:val="000224D4"/>
    <w:rsid w:val="00023BE9"/>
    <w:rsid w:val="0002449B"/>
    <w:rsid w:val="00030792"/>
    <w:rsid w:val="00033254"/>
    <w:rsid w:val="000357CE"/>
    <w:rsid w:val="000374AA"/>
    <w:rsid w:val="00041627"/>
    <w:rsid w:val="00041F9C"/>
    <w:rsid w:val="000428B0"/>
    <w:rsid w:val="00042A41"/>
    <w:rsid w:val="000467C0"/>
    <w:rsid w:val="00050321"/>
    <w:rsid w:val="00052A32"/>
    <w:rsid w:val="00053DC2"/>
    <w:rsid w:val="000578A7"/>
    <w:rsid w:val="000601E2"/>
    <w:rsid w:val="00060C8B"/>
    <w:rsid w:val="00073162"/>
    <w:rsid w:val="0008094B"/>
    <w:rsid w:val="000828D0"/>
    <w:rsid w:val="00082AD6"/>
    <w:rsid w:val="00082C5A"/>
    <w:rsid w:val="0008470B"/>
    <w:rsid w:val="00086395"/>
    <w:rsid w:val="000922B7"/>
    <w:rsid w:val="00093672"/>
    <w:rsid w:val="000952A4"/>
    <w:rsid w:val="000961C7"/>
    <w:rsid w:val="000A191C"/>
    <w:rsid w:val="000A3416"/>
    <w:rsid w:val="000A354A"/>
    <w:rsid w:val="000A3A2D"/>
    <w:rsid w:val="000A3F9F"/>
    <w:rsid w:val="000A4277"/>
    <w:rsid w:val="000B007B"/>
    <w:rsid w:val="000B108F"/>
    <w:rsid w:val="000B2EF8"/>
    <w:rsid w:val="000B3228"/>
    <w:rsid w:val="000B4E0B"/>
    <w:rsid w:val="000B5B7B"/>
    <w:rsid w:val="000C0151"/>
    <w:rsid w:val="000C19AB"/>
    <w:rsid w:val="000C221F"/>
    <w:rsid w:val="000C3E8E"/>
    <w:rsid w:val="000C46F1"/>
    <w:rsid w:val="000C6AE8"/>
    <w:rsid w:val="000D057F"/>
    <w:rsid w:val="000D255B"/>
    <w:rsid w:val="000D3930"/>
    <w:rsid w:val="000D3A21"/>
    <w:rsid w:val="000D4BB4"/>
    <w:rsid w:val="000D4FFE"/>
    <w:rsid w:val="000D73F8"/>
    <w:rsid w:val="000D7BBD"/>
    <w:rsid w:val="000E0F1A"/>
    <w:rsid w:val="000E40E5"/>
    <w:rsid w:val="000F0ACF"/>
    <w:rsid w:val="000F101A"/>
    <w:rsid w:val="000F104D"/>
    <w:rsid w:val="000F3E33"/>
    <w:rsid w:val="000F49D0"/>
    <w:rsid w:val="000F7706"/>
    <w:rsid w:val="00106D36"/>
    <w:rsid w:val="001104E4"/>
    <w:rsid w:val="00112609"/>
    <w:rsid w:val="00113E6C"/>
    <w:rsid w:val="00116EE4"/>
    <w:rsid w:val="00117925"/>
    <w:rsid w:val="0012110C"/>
    <w:rsid w:val="00126782"/>
    <w:rsid w:val="00127136"/>
    <w:rsid w:val="00127E6D"/>
    <w:rsid w:val="0013053A"/>
    <w:rsid w:val="001318E4"/>
    <w:rsid w:val="00136E49"/>
    <w:rsid w:val="00142B60"/>
    <w:rsid w:val="00142F31"/>
    <w:rsid w:val="0014355F"/>
    <w:rsid w:val="001456C3"/>
    <w:rsid w:val="00152007"/>
    <w:rsid w:val="001555E1"/>
    <w:rsid w:val="00157517"/>
    <w:rsid w:val="001576AD"/>
    <w:rsid w:val="0016031E"/>
    <w:rsid w:val="001615E4"/>
    <w:rsid w:val="00161D83"/>
    <w:rsid w:val="0016414F"/>
    <w:rsid w:val="00164EF7"/>
    <w:rsid w:val="0016599B"/>
    <w:rsid w:val="001724E9"/>
    <w:rsid w:val="00173AEA"/>
    <w:rsid w:val="00175854"/>
    <w:rsid w:val="00175C05"/>
    <w:rsid w:val="001821B5"/>
    <w:rsid w:val="00182CBF"/>
    <w:rsid w:val="0018379C"/>
    <w:rsid w:val="00184B89"/>
    <w:rsid w:val="0019387D"/>
    <w:rsid w:val="00193AC9"/>
    <w:rsid w:val="00194339"/>
    <w:rsid w:val="00195027"/>
    <w:rsid w:val="00195ED5"/>
    <w:rsid w:val="001A4993"/>
    <w:rsid w:val="001B066E"/>
    <w:rsid w:val="001B1FE2"/>
    <w:rsid w:val="001B2EFD"/>
    <w:rsid w:val="001B371A"/>
    <w:rsid w:val="001B3E9E"/>
    <w:rsid w:val="001B43EC"/>
    <w:rsid w:val="001B68BE"/>
    <w:rsid w:val="001B7B76"/>
    <w:rsid w:val="001C2165"/>
    <w:rsid w:val="001C6E95"/>
    <w:rsid w:val="001C7059"/>
    <w:rsid w:val="001D0788"/>
    <w:rsid w:val="001D1CCA"/>
    <w:rsid w:val="001D2B24"/>
    <w:rsid w:val="001D4C5B"/>
    <w:rsid w:val="001D5120"/>
    <w:rsid w:val="001E1283"/>
    <w:rsid w:val="001E394B"/>
    <w:rsid w:val="001E4F42"/>
    <w:rsid w:val="001F0DD8"/>
    <w:rsid w:val="001F0F45"/>
    <w:rsid w:val="001F2342"/>
    <w:rsid w:val="001F246C"/>
    <w:rsid w:val="001F25D2"/>
    <w:rsid w:val="001F695D"/>
    <w:rsid w:val="001F7F9C"/>
    <w:rsid w:val="002057E1"/>
    <w:rsid w:val="00206549"/>
    <w:rsid w:val="002074C9"/>
    <w:rsid w:val="0021228E"/>
    <w:rsid w:val="002139BA"/>
    <w:rsid w:val="00215972"/>
    <w:rsid w:val="00216608"/>
    <w:rsid w:val="002168C3"/>
    <w:rsid w:val="00217730"/>
    <w:rsid w:val="00220167"/>
    <w:rsid w:val="00221090"/>
    <w:rsid w:val="00221825"/>
    <w:rsid w:val="00224D54"/>
    <w:rsid w:val="00227082"/>
    <w:rsid w:val="002338AB"/>
    <w:rsid w:val="00234731"/>
    <w:rsid w:val="00234D3B"/>
    <w:rsid w:val="00237233"/>
    <w:rsid w:val="00237E0C"/>
    <w:rsid w:val="002416A4"/>
    <w:rsid w:val="00241F91"/>
    <w:rsid w:val="002428D2"/>
    <w:rsid w:val="00246C8C"/>
    <w:rsid w:val="00247CD5"/>
    <w:rsid w:val="00250252"/>
    <w:rsid w:val="00254AAE"/>
    <w:rsid w:val="00255275"/>
    <w:rsid w:val="00255C4A"/>
    <w:rsid w:val="002579ED"/>
    <w:rsid w:val="00260B24"/>
    <w:rsid w:val="0026590C"/>
    <w:rsid w:val="002672E4"/>
    <w:rsid w:val="002719CF"/>
    <w:rsid w:val="0027553F"/>
    <w:rsid w:val="0027750E"/>
    <w:rsid w:val="002800D0"/>
    <w:rsid w:val="002806E9"/>
    <w:rsid w:val="0028542D"/>
    <w:rsid w:val="00287603"/>
    <w:rsid w:val="00287A0E"/>
    <w:rsid w:val="00293122"/>
    <w:rsid w:val="002933B8"/>
    <w:rsid w:val="002A1C4C"/>
    <w:rsid w:val="002A4B3D"/>
    <w:rsid w:val="002A6A08"/>
    <w:rsid w:val="002A7C46"/>
    <w:rsid w:val="002B785A"/>
    <w:rsid w:val="002C11F5"/>
    <w:rsid w:val="002C16C0"/>
    <w:rsid w:val="002C4CC5"/>
    <w:rsid w:val="002C5002"/>
    <w:rsid w:val="002C55D2"/>
    <w:rsid w:val="002D2573"/>
    <w:rsid w:val="002D2786"/>
    <w:rsid w:val="002D2B1F"/>
    <w:rsid w:val="002D365D"/>
    <w:rsid w:val="002D4074"/>
    <w:rsid w:val="002D495A"/>
    <w:rsid w:val="002E067A"/>
    <w:rsid w:val="002E1107"/>
    <w:rsid w:val="002E48B7"/>
    <w:rsid w:val="002E4E1B"/>
    <w:rsid w:val="002F2BB5"/>
    <w:rsid w:val="002F78CE"/>
    <w:rsid w:val="00300B65"/>
    <w:rsid w:val="003039F8"/>
    <w:rsid w:val="00304558"/>
    <w:rsid w:val="00304E6F"/>
    <w:rsid w:val="00312258"/>
    <w:rsid w:val="0031607C"/>
    <w:rsid w:val="003232D9"/>
    <w:rsid w:val="003234D6"/>
    <w:rsid w:val="00324634"/>
    <w:rsid w:val="003247F7"/>
    <w:rsid w:val="0032692F"/>
    <w:rsid w:val="0032720A"/>
    <w:rsid w:val="003275F7"/>
    <w:rsid w:val="0033024A"/>
    <w:rsid w:val="003305BF"/>
    <w:rsid w:val="00331936"/>
    <w:rsid w:val="00332B2A"/>
    <w:rsid w:val="0033422E"/>
    <w:rsid w:val="0033453E"/>
    <w:rsid w:val="0033681B"/>
    <w:rsid w:val="00336F0E"/>
    <w:rsid w:val="00346DD3"/>
    <w:rsid w:val="00352E4D"/>
    <w:rsid w:val="00354271"/>
    <w:rsid w:val="0035433D"/>
    <w:rsid w:val="00357266"/>
    <w:rsid w:val="00357CE6"/>
    <w:rsid w:val="00362F30"/>
    <w:rsid w:val="00366A40"/>
    <w:rsid w:val="00372112"/>
    <w:rsid w:val="00373153"/>
    <w:rsid w:val="0037430F"/>
    <w:rsid w:val="003750F0"/>
    <w:rsid w:val="00375B80"/>
    <w:rsid w:val="0037711D"/>
    <w:rsid w:val="00380F6B"/>
    <w:rsid w:val="00382B74"/>
    <w:rsid w:val="003855DB"/>
    <w:rsid w:val="003868C9"/>
    <w:rsid w:val="00386A33"/>
    <w:rsid w:val="0039091D"/>
    <w:rsid w:val="00390CC9"/>
    <w:rsid w:val="00392C69"/>
    <w:rsid w:val="003A0177"/>
    <w:rsid w:val="003A0BAE"/>
    <w:rsid w:val="003A2C7C"/>
    <w:rsid w:val="003A3F4F"/>
    <w:rsid w:val="003A4744"/>
    <w:rsid w:val="003A4775"/>
    <w:rsid w:val="003A5F6B"/>
    <w:rsid w:val="003A6763"/>
    <w:rsid w:val="003A724B"/>
    <w:rsid w:val="003B0DAF"/>
    <w:rsid w:val="003B1FF6"/>
    <w:rsid w:val="003B4C26"/>
    <w:rsid w:val="003B640D"/>
    <w:rsid w:val="003B67E3"/>
    <w:rsid w:val="003C1836"/>
    <w:rsid w:val="003C38F2"/>
    <w:rsid w:val="003C62D7"/>
    <w:rsid w:val="003C6530"/>
    <w:rsid w:val="003C780E"/>
    <w:rsid w:val="003C7977"/>
    <w:rsid w:val="003D0748"/>
    <w:rsid w:val="003D2E4D"/>
    <w:rsid w:val="003D460E"/>
    <w:rsid w:val="003D55A2"/>
    <w:rsid w:val="003D65C5"/>
    <w:rsid w:val="003E0FA4"/>
    <w:rsid w:val="003E3BD3"/>
    <w:rsid w:val="003F5523"/>
    <w:rsid w:val="003F5E17"/>
    <w:rsid w:val="003F7266"/>
    <w:rsid w:val="003F7828"/>
    <w:rsid w:val="0040087D"/>
    <w:rsid w:val="0040148B"/>
    <w:rsid w:val="00401EA2"/>
    <w:rsid w:val="00402F24"/>
    <w:rsid w:val="004047DA"/>
    <w:rsid w:val="004104F9"/>
    <w:rsid w:val="00411139"/>
    <w:rsid w:val="00411428"/>
    <w:rsid w:val="00411479"/>
    <w:rsid w:val="00411F5F"/>
    <w:rsid w:val="0041227A"/>
    <w:rsid w:val="00412511"/>
    <w:rsid w:val="0041318F"/>
    <w:rsid w:val="004137D8"/>
    <w:rsid w:val="00413E75"/>
    <w:rsid w:val="00414E3A"/>
    <w:rsid w:val="00416117"/>
    <w:rsid w:val="004161E6"/>
    <w:rsid w:val="0041651A"/>
    <w:rsid w:val="004202A5"/>
    <w:rsid w:val="00423D5E"/>
    <w:rsid w:val="00423D97"/>
    <w:rsid w:val="00425F68"/>
    <w:rsid w:val="00426E4B"/>
    <w:rsid w:val="004339D5"/>
    <w:rsid w:val="004343DD"/>
    <w:rsid w:val="004355BA"/>
    <w:rsid w:val="00435EAA"/>
    <w:rsid w:val="00437E93"/>
    <w:rsid w:val="00440088"/>
    <w:rsid w:val="00441619"/>
    <w:rsid w:val="004439FE"/>
    <w:rsid w:val="00444E93"/>
    <w:rsid w:val="00445BE1"/>
    <w:rsid w:val="0044775A"/>
    <w:rsid w:val="004502ED"/>
    <w:rsid w:val="004509E5"/>
    <w:rsid w:val="00450CF9"/>
    <w:rsid w:val="00455EF6"/>
    <w:rsid w:val="00460B97"/>
    <w:rsid w:val="00461BE8"/>
    <w:rsid w:val="0046268F"/>
    <w:rsid w:val="00465191"/>
    <w:rsid w:val="00470C52"/>
    <w:rsid w:val="00473499"/>
    <w:rsid w:val="00474494"/>
    <w:rsid w:val="004755C3"/>
    <w:rsid w:val="00475D26"/>
    <w:rsid w:val="00480530"/>
    <w:rsid w:val="004809E5"/>
    <w:rsid w:val="004811F5"/>
    <w:rsid w:val="00481785"/>
    <w:rsid w:val="0048464C"/>
    <w:rsid w:val="00491BBC"/>
    <w:rsid w:val="00492021"/>
    <w:rsid w:val="00492B25"/>
    <w:rsid w:val="00492DE7"/>
    <w:rsid w:val="00497D4C"/>
    <w:rsid w:val="004A11C0"/>
    <w:rsid w:val="004A5451"/>
    <w:rsid w:val="004A6E72"/>
    <w:rsid w:val="004A7CB6"/>
    <w:rsid w:val="004B0E0E"/>
    <w:rsid w:val="004B1CED"/>
    <w:rsid w:val="004B3608"/>
    <w:rsid w:val="004C3E48"/>
    <w:rsid w:val="004C6302"/>
    <w:rsid w:val="004C68D2"/>
    <w:rsid w:val="004C7694"/>
    <w:rsid w:val="004D3AC0"/>
    <w:rsid w:val="004D40E9"/>
    <w:rsid w:val="004D46EB"/>
    <w:rsid w:val="004D6D81"/>
    <w:rsid w:val="004E042C"/>
    <w:rsid w:val="004F16D9"/>
    <w:rsid w:val="004F3F6A"/>
    <w:rsid w:val="004F5FF7"/>
    <w:rsid w:val="004F7A2D"/>
    <w:rsid w:val="004F7B3D"/>
    <w:rsid w:val="00502233"/>
    <w:rsid w:val="00503F00"/>
    <w:rsid w:val="005048A8"/>
    <w:rsid w:val="005115B3"/>
    <w:rsid w:val="0051407D"/>
    <w:rsid w:val="00515CA6"/>
    <w:rsid w:val="00516DF9"/>
    <w:rsid w:val="005179DB"/>
    <w:rsid w:val="00517AB3"/>
    <w:rsid w:val="00517EBF"/>
    <w:rsid w:val="0052105A"/>
    <w:rsid w:val="00521AB4"/>
    <w:rsid w:val="0052385F"/>
    <w:rsid w:val="00523B71"/>
    <w:rsid w:val="00524811"/>
    <w:rsid w:val="005257F6"/>
    <w:rsid w:val="00526231"/>
    <w:rsid w:val="0052692C"/>
    <w:rsid w:val="00526ACD"/>
    <w:rsid w:val="00526BEF"/>
    <w:rsid w:val="00530DF6"/>
    <w:rsid w:val="00531474"/>
    <w:rsid w:val="005317E3"/>
    <w:rsid w:val="00531AED"/>
    <w:rsid w:val="00532612"/>
    <w:rsid w:val="00533A02"/>
    <w:rsid w:val="00537201"/>
    <w:rsid w:val="0053745D"/>
    <w:rsid w:val="0054122A"/>
    <w:rsid w:val="005468C8"/>
    <w:rsid w:val="005512C4"/>
    <w:rsid w:val="0055141E"/>
    <w:rsid w:val="00556AFE"/>
    <w:rsid w:val="00556F89"/>
    <w:rsid w:val="00561B2B"/>
    <w:rsid w:val="00562826"/>
    <w:rsid w:val="00562AFC"/>
    <w:rsid w:val="00564C36"/>
    <w:rsid w:val="00571701"/>
    <w:rsid w:val="005720D6"/>
    <w:rsid w:val="005730E1"/>
    <w:rsid w:val="005769DC"/>
    <w:rsid w:val="00580467"/>
    <w:rsid w:val="00584380"/>
    <w:rsid w:val="005845CB"/>
    <w:rsid w:val="00586428"/>
    <w:rsid w:val="00592CFC"/>
    <w:rsid w:val="00594B73"/>
    <w:rsid w:val="00595853"/>
    <w:rsid w:val="005A0D9D"/>
    <w:rsid w:val="005A30D8"/>
    <w:rsid w:val="005A39B6"/>
    <w:rsid w:val="005A4967"/>
    <w:rsid w:val="005A6586"/>
    <w:rsid w:val="005A6BFF"/>
    <w:rsid w:val="005B0AEA"/>
    <w:rsid w:val="005B0F65"/>
    <w:rsid w:val="005B16B3"/>
    <w:rsid w:val="005B307F"/>
    <w:rsid w:val="005B4CC1"/>
    <w:rsid w:val="005B579B"/>
    <w:rsid w:val="005B6B15"/>
    <w:rsid w:val="005C247E"/>
    <w:rsid w:val="005C4906"/>
    <w:rsid w:val="005C71B9"/>
    <w:rsid w:val="005D3840"/>
    <w:rsid w:val="005D7503"/>
    <w:rsid w:val="005D76FB"/>
    <w:rsid w:val="005E0A27"/>
    <w:rsid w:val="005E0E26"/>
    <w:rsid w:val="005E499B"/>
    <w:rsid w:val="005F2C63"/>
    <w:rsid w:val="005F3473"/>
    <w:rsid w:val="005F3750"/>
    <w:rsid w:val="005F4C22"/>
    <w:rsid w:val="005F7C44"/>
    <w:rsid w:val="0060009E"/>
    <w:rsid w:val="00601009"/>
    <w:rsid w:val="0060110B"/>
    <w:rsid w:val="00601C94"/>
    <w:rsid w:val="006024BA"/>
    <w:rsid w:val="0060255E"/>
    <w:rsid w:val="006057B5"/>
    <w:rsid w:val="0060591F"/>
    <w:rsid w:val="00610A37"/>
    <w:rsid w:val="006127F0"/>
    <w:rsid w:val="0061418F"/>
    <w:rsid w:val="00614988"/>
    <w:rsid w:val="006156EB"/>
    <w:rsid w:val="00621827"/>
    <w:rsid w:val="00621BA8"/>
    <w:rsid w:val="006254F1"/>
    <w:rsid w:val="00626BD5"/>
    <w:rsid w:val="00631080"/>
    <w:rsid w:val="00636646"/>
    <w:rsid w:val="0064042F"/>
    <w:rsid w:val="006414AF"/>
    <w:rsid w:val="006434C7"/>
    <w:rsid w:val="006446B1"/>
    <w:rsid w:val="00647A9D"/>
    <w:rsid w:val="00652759"/>
    <w:rsid w:val="00655663"/>
    <w:rsid w:val="00656F3C"/>
    <w:rsid w:val="006626A3"/>
    <w:rsid w:val="00663065"/>
    <w:rsid w:val="00664EBE"/>
    <w:rsid w:val="006676F0"/>
    <w:rsid w:val="006678AA"/>
    <w:rsid w:val="00672A00"/>
    <w:rsid w:val="006741FE"/>
    <w:rsid w:val="00674CF4"/>
    <w:rsid w:val="00675D14"/>
    <w:rsid w:val="0067717C"/>
    <w:rsid w:val="00682358"/>
    <w:rsid w:val="00686CD6"/>
    <w:rsid w:val="0068758A"/>
    <w:rsid w:val="00690BDD"/>
    <w:rsid w:val="00691FB9"/>
    <w:rsid w:val="006925C9"/>
    <w:rsid w:val="00692D78"/>
    <w:rsid w:val="00693E89"/>
    <w:rsid w:val="0069470E"/>
    <w:rsid w:val="006A06B4"/>
    <w:rsid w:val="006A358C"/>
    <w:rsid w:val="006A5110"/>
    <w:rsid w:val="006A719F"/>
    <w:rsid w:val="006A7BCE"/>
    <w:rsid w:val="006B38B0"/>
    <w:rsid w:val="006B5079"/>
    <w:rsid w:val="006B5754"/>
    <w:rsid w:val="006B606B"/>
    <w:rsid w:val="006B72C0"/>
    <w:rsid w:val="006C29C8"/>
    <w:rsid w:val="006C4D06"/>
    <w:rsid w:val="006C51C2"/>
    <w:rsid w:val="006C54BC"/>
    <w:rsid w:val="006C5648"/>
    <w:rsid w:val="006C5B33"/>
    <w:rsid w:val="006C698B"/>
    <w:rsid w:val="006C6D61"/>
    <w:rsid w:val="006C7A8F"/>
    <w:rsid w:val="006D74EF"/>
    <w:rsid w:val="006E1A30"/>
    <w:rsid w:val="006E2A96"/>
    <w:rsid w:val="006E37E1"/>
    <w:rsid w:val="006E6DB5"/>
    <w:rsid w:val="006E7404"/>
    <w:rsid w:val="006F15C9"/>
    <w:rsid w:val="006F3FC0"/>
    <w:rsid w:val="006F73BA"/>
    <w:rsid w:val="007008DA"/>
    <w:rsid w:val="00702C4A"/>
    <w:rsid w:val="007051C7"/>
    <w:rsid w:val="007073A4"/>
    <w:rsid w:val="00710E97"/>
    <w:rsid w:val="007116F1"/>
    <w:rsid w:val="007127DA"/>
    <w:rsid w:val="00713328"/>
    <w:rsid w:val="00714DED"/>
    <w:rsid w:val="00715188"/>
    <w:rsid w:val="00717FCD"/>
    <w:rsid w:val="00720106"/>
    <w:rsid w:val="007215E8"/>
    <w:rsid w:val="0072221C"/>
    <w:rsid w:val="00722A7E"/>
    <w:rsid w:val="007249C3"/>
    <w:rsid w:val="00727EEB"/>
    <w:rsid w:val="00730B54"/>
    <w:rsid w:val="0073695F"/>
    <w:rsid w:val="007409AD"/>
    <w:rsid w:val="00741A5D"/>
    <w:rsid w:val="0074387F"/>
    <w:rsid w:val="00743EB9"/>
    <w:rsid w:val="0075287C"/>
    <w:rsid w:val="00752F02"/>
    <w:rsid w:val="00753698"/>
    <w:rsid w:val="00754759"/>
    <w:rsid w:val="00756025"/>
    <w:rsid w:val="00757E4F"/>
    <w:rsid w:val="00761A41"/>
    <w:rsid w:val="00763345"/>
    <w:rsid w:val="007640E6"/>
    <w:rsid w:val="007647C6"/>
    <w:rsid w:val="0076562E"/>
    <w:rsid w:val="0076626F"/>
    <w:rsid w:val="007669A9"/>
    <w:rsid w:val="007679DB"/>
    <w:rsid w:val="0077344F"/>
    <w:rsid w:val="007740E2"/>
    <w:rsid w:val="0077683C"/>
    <w:rsid w:val="00777094"/>
    <w:rsid w:val="00781319"/>
    <w:rsid w:val="00783C0B"/>
    <w:rsid w:val="00783D03"/>
    <w:rsid w:val="007854FE"/>
    <w:rsid w:val="007855D5"/>
    <w:rsid w:val="007858BC"/>
    <w:rsid w:val="007858D5"/>
    <w:rsid w:val="00785B33"/>
    <w:rsid w:val="00794E41"/>
    <w:rsid w:val="007A12D3"/>
    <w:rsid w:val="007A259B"/>
    <w:rsid w:val="007B0B01"/>
    <w:rsid w:val="007B1B80"/>
    <w:rsid w:val="007B2ADB"/>
    <w:rsid w:val="007B740C"/>
    <w:rsid w:val="007B7B6E"/>
    <w:rsid w:val="007C0AEB"/>
    <w:rsid w:val="007C0B7D"/>
    <w:rsid w:val="007C1298"/>
    <w:rsid w:val="007C1D42"/>
    <w:rsid w:val="007D1DCD"/>
    <w:rsid w:val="007D5F5C"/>
    <w:rsid w:val="007D7F55"/>
    <w:rsid w:val="007E4C8B"/>
    <w:rsid w:val="007E6208"/>
    <w:rsid w:val="007E6609"/>
    <w:rsid w:val="007E6D65"/>
    <w:rsid w:val="007F004E"/>
    <w:rsid w:val="007F06B9"/>
    <w:rsid w:val="007F16A1"/>
    <w:rsid w:val="007F483C"/>
    <w:rsid w:val="00801D9B"/>
    <w:rsid w:val="00802399"/>
    <w:rsid w:val="00803883"/>
    <w:rsid w:val="008050B6"/>
    <w:rsid w:val="00805177"/>
    <w:rsid w:val="00806B19"/>
    <w:rsid w:val="008106AD"/>
    <w:rsid w:val="008114F9"/>
    <w:rsid w:val="008115DC"/>
    <w:rsid w:val="00812155"/>
    <w:rsid w:val="008124A8"/>
    <w:rsid w:val="00814863"/>
    <w:rsid w:val="00816D62"/>
    <w:rsid w:val="0082011C"/>
    <w:rsid w:val="008254EF"/>
    <w:rsid w:val="00827099"/>
    <w:rsid w:val="008270C6"/>
    <w:rsid w:val="00827B3F"/>
    <w:rsid w:val="0083560A"/>
    <w:rsid w:val="008421AC"/>
    <w:rsid w:val="0084243F"/>
    <w:rsid w:val="00846E1F"/>
    <w:rsid w:val="0085022B"/>
    <w:rsid w:val="0085607A"/>
    <w:rsid w:val="00856550"/>
    <w:rsid w:val="008608B2"/>
    <w:rsid w:val="00863173"/>
    <w:rsid w:val="008658B5"/>
    <w:rsid w:val="00870B4A"/>
    <w:rsid w:val="0087143F"/>
    <w:rsid w:val="00876CAE"/>
    <w:rsid w:val="0088169B"/>
    <w:rsid w:val="00884CF5"/>
    <w:rsid w:val="00886A03"/>
    <w:rsid w:val="00890297"/>
    <w:rsid w:val="00892D25"/>
    <w:rsid w:val="008935F4"/>
    <w:rsid w:val="008A0D7E"/>
    <w:rsid w:val="008A1911"/>
    <w:rsid w:val="008A3143"/>
    <w:rsid w:val="008A3BE5"/>
    <w:rsid w:val="008A7488"/>
    <w:rsid w:val="008B03F4"/>
    <w:rsid w:val="008B0706"/>
    <w:rsid w:val="008B0900"/>
    <w:rsid w:val="008B406C"/>
    <w:rsid w:val="008B4259"/>
    <w:rsid w:val="008B57FB"/>
    <w:rsid w:val="008B779D"/>
    <w:rsid w:val="008C0914"/>
    <w:rsid w:val="008C0EC7"/>
    <w:rsid w:val="008C3F7E"/>
    <w:rsid w:val="008C5206"/>
    <w:rsid w:val="008C6259"/>
    <w:rsid w:val="008C7477"/>
    <w:rsid w:val="008C7D69"/>
    <w:rsid w:val="008D03E7"/>
    <w:rsid w:val="008D0DF9"/>
    <w:rsid w:val="008D408F"/>
    <w:rsid w:val="008D68EA"/>
    <w:rsid w:val="008D7BD7"/>
    <w:rsid w:val="008E23D0"/>
    <w:rsid w:val="008E2777"/>
    <w:rsid w:val="008E4EF8"/>
    <w:rsid w:val="008E6FA1"/>
    <w:rsid w:val="008F00E2"/>
    <w:rsid w:val="008F04B7"/>
    <w:rsid w:val="008F1FBB"/>
    <w:rsid w:val="008F20A5"/>
    <w:rsid w:val="008F2A8E"/>
    <w:rsid w:val="008F434B"/>
    <w:rsid w:val="008F5056"/>
    <w:rsid w:val="008F7215"/>
    <w:rsid w:val="00900BAC"/>
    <w:rsid w:val="0090276E"/>
    <w:rsid w:val="009030FA"/>
    <w:rsid w:val="0090410D"/>
    <w:rsid w:val="00911F43"/>
    <w:rsid w:val="0091206D"/>
    <w:rsid w:val="00912E4D"/>
    <w:rsid w:val="0091375C"/>
    <w:rsid w:val="00913EB6"/>
    <w:rsid w:val="00914A14"/>
    <w:rsid w:val="00915868"/>
    <w:rsid w:val="00916241"/>
    <w:rsid w:val="00920657"/>
    <w:rsid w:val="00921572"/>
    <w:rsid w:val="009218C5"/>
    <w:rsid w:val="00924054"/>
    <w:rsid w:val="009253B1"/>
    <w:rsid w:val="00925D4A"/>
    <w:rsid w:val="009301A7"/>
    <w:rsid w:val="00931657"/>
    <w:rsid w:val="00931A6F"/>
    <w:rsid w:val="00932965"/>
    <w:rsid w:val="00932BDE"/>
    <w:rsid w:val="009333CE"/>
    <w:rsid w:val="00934F01"/>
    <w:rsid w:val="00936EA2"/>
    <w:rsid w:val="00946014"/>
    <w:rsid w:val="0094757B"/>
    <w:rsid w:val="00947B3E"/>
    <w:rsid w:val="0095062B"/>
    <w:rsid w:val="00950EE1"/>
    <w:rsid w:val="00953FFF"/>
    <w:rsid w:val="009567F7"/>
    <w:rsid w:val="009574FE"/>
    <w:rsid w:val="0096143E"/>
    <w:rsid w:val="00962350"/>
    <w:rsid w:val="009624E5"/>
    <w:rsid w:val="00963CE0"/>
    <w:rsid w:val="00967B90"/>
    <w:rsid w:val="00970DD1"/>
    <w:rsid w:val="009751E4"/>
    <w:rsid w:val="009768CD"/>
    <w:rsid w:val="00976E0F"/>
    <w:rsid w:val="00976F73"/>
    <w:rsid w:val="009776E0"/>
    <w:rsid w:val="00980752"/>
    <w:rsid w:val="00984094"/>
    <w:rsid w:val="00986272"/>
    <w:rsid w:val="009902A2"/>
    <w:rsid w:val="00992863"/>
    <w:rsid w:val="0099316B"/>
    <w:rsid w:val="00996044"/>
    <w:rsid w:val="009A00FB"/>
    <w:rsid w:val="009A2A1D"/>
    <w:rsid w:val="009A40D9"/>
    <w:rsid w:val="009A47CB"/>
    <w:rsid w:val="009A508E"/>
    <w:rsid w:val="009A62F8"/>
    <w:rsid w:val="009B188E"/>
    <w:rsid w:val="009C6A59"/>
    <w:rsid w:val="009D29A8"/>
    <w:rsid w:val="009D4F7C"/>
    <w:rsid w:val="009D5AD1"/>
    <w:rsid w:val="009E0207"/>
    <w:rsid w:val="009E3956"/>
    <w:rsid w:val="009E3AB8"/>
    <w:rsid w:val="009E503D"/>
    <w:rsid w:val="009F364E"/>
    <w:rsid w:val="009F49E8"/>
    <w:rsid w:val="009F6701"/>
    <w:rsid w:val="009F6F9F"/>
    <w:rsid w:val="009F7387"/>
    <w:rsid w:val="00A00192"/>
    <w:rsid w:val="00A0118A"/>
    <w:rsid w:val="00A02E5C"/>
    <w:rsid w:val="00A02FB3"/>
    <w:rsid w:val="00A03557"/>
    <w:rsid w:val="00A0538C"/>
    <w:rsid w:val="00A0651D"/>
    <w:rsid w:val="00A10D8C"/>
    <w:rsid w:val="00A1100B"/>
    <w:rsid w:val="00A1215B"/>
    <w:rsid w:val="00A12FA8"/>
    <w:rsid w:val="00A13C8E"/>
    <w:rsid w:val="00A1610D"/>
    <w:rsid w:val="00A17A42"/>
    <w:rsid w:val="00A20E8A"/>
    <w:rsid w:val="00A21980"/>
    <w:rsid w:val="00A22761"/>
    <w:rsid w:val="00A26276"/>
    <w:rsid w:val="00A3008C"/>
    <w:rsid w:val="00A3615D"/>
    <w:rsid w:val="00A37969"/>
    <w:rsid w:val="00A40CFE"/>
    <w:rsid w:val="00A4544D"/>
    <w:rsid w:val="00A45B28"/>
    <w:rsid w:val="00A47FA0"/>
    <w:rsid w:val="00A51A0D"/>
    <w:rsid w:val="00A54997"/>
    <w:rsid w:val="00A549E5"/>
    <w:rsid w:val="00A55411"/>
    <w:rsid w:val="00A57929"/>
    <w:rsid w:val="00A61483"/>
    <w:rsid w:val="00A712E9"/>
    <w:rsid w:val="00A73087"/>
    <w:rsid w:val="00A74C36"/>
    <w:rsid w:val="00A76B40"/>
    <w:rsid w:val="00A8044A"/>
    <w:rsid w:val="00A81E67"/>
    <w:rsid w:val="00A834E3"/>
    <w:rsid w:val="00A855A8"/>
    <w:rsid w:val="00A8670E"/>
    <w:rsid w:val="00A909B3"/>
    <w:rsid w:val="00A92EE7"/>
    <w:rsid w:val="00A94A85"/>
    <w:rsid w:val="00A959F4"/>
    <w:rsid w:val="00AA0589"/>
    <w:rsid w:val="00AA11B2"/>
    <w:rsid w:val="00AA18B3"/>
    <w:rsid w:val="00AA2FD3"/>
    <w:rsid w:val="00AA3502"/>
    <w:rsid w:val="00AA6AC9"/>
    <w:rsid w:val="00AB0354"/>
    <w:rsid w:val="00AB197B"/>
    <w:rsid w:val="00AB404A"/>
    <w:rsid w:val="00AB4969"/>
    <w:rsid w:val="00AB537C"/>
    <w:rsid w:val="00AC1C6C"/>
    <w:rsid w:val="00AD0BD5"/>
    <w:rsid w:val="00AD5324"/>
    <w:rsid w:val="00AE02DA"/>
    <w:rsid w:val="00AE118E"/>
    <w:rsid w:val="00AE15E8"/>
    <w:rsid w:val="00AE29B1"/>
    <w:rsid w:val="00AE341B"/>
    <w:rsid w:val="00AE49E4"/>
    <w:rsid w:val="00AE624D"/>
    <w:rsid w:val="00AF3694"/>
    <w:rsid w:val="00AF5327"/>
    <w:rsid w:val="00AF6C7C"/>
    <w:rsid w:val="00B0258C"/>
    <w:rsid w:val="00B0289B"/>
    <w:rsid w:val="00B02BEF"/>
    <w:rsid w:val="00B02C1C"/>
    <w:rsid w:val="00B06444"/>
    <w:rsid w:val="00B11276"/>
    <w:rsid w:val="00B11DAF"/>
    <w:rsid w:val="00B121CE"/>
    <w:rsid w:val="00B135ED"/>
    <w:rsid w:val="00B17EBE"/>
    <w:rsid w:val="00B22520"/>
    <w:rsid w:val="00B25E1F"/>
    <w:rsid w:val="00B26791"/>
    <w:rsid w:val="00B26B2A"/>
    <w:rsid w:val="00B305AA"/>
    <w:rsid w:val="00B3330A"/>
    <w:rsid w:val="00B336D9"/>
    <w:rsid w:val="00B3562B"/>
    <w:rsid w:val="00B37C4F"/>
    <w:rsid w:val="00B405B4"/>
    <w:rsid w:val="00B437C6"/>
    <w:rsid w:val="00B43B94"/>
    <w:rsid w:val="00B44504"/>
    <w:rsid w:val="00B45267"/>
    <w:rsid w:val="00B50C14"/>
    <w:rsid w:val="00B51ED3"/>
    <w:rsid w:val="00B525EA"/>
    <w:rsid w:val="00B53250"/>
    <w:rsid w:val="00B53D83"/>
    <w:rsid w:val="00B54449"/>
    <w:rsid w:val="00B5558A"/>
    <w:rsid w:val="00B61CB7"/>
    <w:rsid w:val="00B65D08"/>
    <w:rsid w:val="00B70381"/>
    <w:rsid w:val="00B734AE"/>
    <w:rsid w:val="00B73809"/>
    <w:rsid w:val="00B7411A"/>
    <w:rsid w:val="00B74671"/>
    <w:rsid w:val="00B760C7"/>
    <w:rsid w:val="00B80C37"/>
    <w:rsid w:val="00B829DD"/>
    <w:rsid w:val="00B85BEA"/>
    <w:rsid w:val="00B90963"/>
    <w:rsid w:val="00B9138B"/>
    <w:rsid w:val="00B915C6"/>
    <w:rsid w:val="00B91F50"/>
    <w:rsid w:val="00BA05CF"/>
    <w:rsid w:val="00BA149D"/>
    <w:rsid w:val="00BA17D8"/>
    <w:rsid w:val="00BA293B"/>
    <w:rsid w:val="00BA3232"/>
    <w:rsid w:val="00BA5999"/>
    <w:rsid w:val="00BB1488"/>
    <w:rsid w:val="00BB555E"/>
    <w:rsid w:val="00BC1DF1"/>
    <w:rsid w:val="00BC3683"/>
    <w:rsid w:val="00BC381F"/>
    <w:rsid w:val="00BC40C0"/>
    <w:rsid w:val="00BC7007"/>
    <w:rsid w:val="00BC7E22"/>
    <w:rsid w:val="00BD0888"/>
    <w:rsid w:val="00BD6B52"/>
    <w:rsid w:val="00BE054E"/>
    <w:rsid w:val="00BE278C"/>
    <w:rsid w:val="00BE293D"/>
    <w:rsid w:val="00BE65C2"/>
    <w:rsid w:val="00BE6DCD"/>
    <w:rsid w:val="00BF0C6A"/>
    <w:rsid w:val="00BF3191"/>
    <w:rsid w:val="00BF3D0F"/>
    <w:rsid w:val="00BF4100"/>
    <w:rsid w:val="00BF44C8"/>
    <w:rsid w:val="00BF5B4C"/>
    <w:rsid w:val="00BF5F85"/>
    <w:rsid w:val="00C006BE"/>
    <w:rsid w:val="00C0086A"/>
    <w:rsid w:val="00C04B36"/>
    <w:rsid w:val="00C123BD"/>
    <w:rsid w:val="00C16AD9"/>
    <w:rsid w:val="00C174A5"/>
    <w:rsid w:val="00C32A72"/>
    <w:rsid w:val="00C33027"/>
    <w:rsid w:val="00C35E1B"/>
    <w:rsid w:val="00C36091"/>
    <w:rsid w:val="00C40F89"/>
    <w:rsid w:val="00C4400E"/>
    <w:rsid w:val="00C44A0C"/>
    <w:rsid w:val="00C46D87"/>
    <w:rsid w:val="00C502CA"/>
    <w:rsid w:val="00C51AAA"/>
    <w:rsid w:val="00C51FE7"/>
    <w:rsid w:val="00C52789"/>
    <w:rsid w:val="00C61550"/>
    <w:rsid w:val="00C632CE"/>
    <w:rsid w:val="00C63A02"/>
    <w:rsid w:val="00C70BBE"/>
    <w:rsid w:val="00C76149"/>
    <w:rsid w:val="00C773C5"/>
    <w:rsid w:val="00C77DA9"/>
    <w:rsid w:val="00C8034B"/>
    <w:rsid w:val="00C8287C"/>
    <w:rsid w:val="00C839E0"/>
    <w:rsid w:val="00C841D1"/>
    <w:rsid w:val="00C8548C"/>
    <w:rsid w:val="00C90F9A"/>
    <w:rsid w:val="00C928B0"/>
    <w:rsid w:val="00C94CDC"/>
    <w:rsid w:val="00C9674A"/>
    <w:rsid w:val="00C96AD8"/>
    <w:rsid w:val="00C96F41"/>
    <w:rsid w:val="00CA3301"/>
    <w:rsid w:val="00CA47F9"/>
    <w:rsid w:val="00CA5B53"/>
    <w:rsid w:val="00CB0314"/>
    <w:rsid w:val="00CB0347"/>
    <w:rsid w:val="00CB1D36"/>
    <w:rsid w:val="00CB5D86"/>
    <w:rsid w:val="00CC4D3B"/>
    <w:rsid w:val="00CC50FF"/>
    <w:rsid w:val="00CC5978"/>
    <w:rsid w:val="00CC725B"/>
    <w:rsid w:val="00CD0697"/>
    <w:rsid w:val="00CD45D3"/>
    <w:rsid w:val="00CD4772"/>
    <w:rsid w:val="00CE0E38"/>
    <w:rsid w:val="00CE4995"/>
    <w:rsid w:val="00CE7B66"/>
    <w:rsid w:val="00CF0853"/>
    <w:rsid w:val="00CF0C8A"/>
    <w:rsid w:val="00CF1846"/>
    <w:rsid w:val="00CF1BBE"/>
    <w:rsid w:val="00D0234E"/>
    <w:rsid w:val="00D0450E"/>
    <w:rsid w:val="00D053BB"/>
    <w:rsid w:val="00D068D6"/>
    <w:rsid w:val="00D11F84"/>
    <w:rsid w:val="00D12888"/>
    <w:rsid w:val="00D14986"/>
    <w:rsid w:val="00D14A38"/>
    <w:rsid w:val="00D157FC"/>
    <w:rsid w:val="00D15EED"/>
    <w:rsid w:val="00D1617A"/>
    <w:rsid w:val="00D202FD"/>
    <w:rsid w:val="00D2062C"/>
    <w:rsid w:val="00D21FC3"/>
    <w:rsid w:val="00D22F18"/>
    <w:rsid w:val="00D3291A"/>
    <w:rsid w:val="00D34557"/>
    <w:rsid w:val="00D34687"/>
    <w:rsid w:val="00D34FEE"/>
    <w:rsid w:val="00D36145"/>
    <w:rsid w:val="00D363CF"/>
    <w:rsid w:val="00D36C46"/>
    <w:rsid w:val="00D36CB5"/>
    <w:rsid w:val="00D41689"/>
    <w:rsid w:val="00D441BB"/>
    <w:rsid w:val="00D44A56"/>
    <w:rsid w:val="00D470A3"/>
    <w:rsid w:val="00D47B9E"/>
    <w:rsid w:val="00D569DC"/>
    <w:rsid w:val="00D56D4D"/>
    <w:rsid w:val="00D6039C"/>
    <w:rsid w:val="00D61403"/>
    <w:rsid w:val="00D63209"/>
    <w:rsid w:val="00D65931"/>
    <w:rsid w:val="00D65962"/>
    <w:rsid w:val="00D74502"/>
    <w:rsid w:val="00D74B86"/>
    <w:rsid w:val="00D74DEF"/>
    <w:rsid w:val="00D7566B"/>
    <w:rsid w:val="00D762A0"/>
    <w:rsid w:val="00D84E45"/>
    <w:rsid w:val="00D857DD"/>
    <w:rsid w:val="00D92119"/>
    <w:rsid w:val="00D926D0"/>
    <w:rsid w:val="00D92B70"/>
    <w:rsid w:val="00D97BCB"/>
    <w:rsid w:val="00D97C8E"/>
    <w:rsid w:val="00DA3A9C"/>
    <w:rsid w:val="00DB19F3"/>
    <w:rsid w:val="00DB2626"/>
    <w:rsid w:val="00DB6BE4"/>
    <w:rsid w:val="00DB7EFE"/>
    <w:rsid w:val="00DC0D7D"/>
    <w:rsid w:val="00DC1800"/>
    <w:rsid w:val="00DC2397"/>
    <w:rsid w:val="00DC254B"/>
    <w:rsid w:val="00DC2DFE"/>
    <w:rsid w:val="00DC3396"/>
    <w:rsid w:val="00DC39F7"/>
    <w:rsid w:val="00DC56DE"/>
    <w:rsid w:val="00DC65DE"/>
    <w:rsid w:val="00DC7B5D"/>
    <w:rsid w:val="00DC7D08"/>
    <w:rsid w:val="00DD5643"/>
    <w:rsid w:val="00DD569E"/>
    <w:rsid w:val="00DD5881"/>
    <w:rsid w:val="00DD5B32"/>
    <w:rsid w:val="00DD6D45"/>
    <w:rsid w:val="00DE1CBD"/>
    <w:rsid w:val="00DE4D74"/>
    <w:rsid w:val="00DE5714"/>
    <w:rsid w:val="00DF1E44"/>
    <w:rsid w:val="00DF34E9"/>
    <w:rsid w:val="00DF3AE9"/>
    <w:rsid w:val="00DF44D4"/>
    <w:rsid w:val="00E01330"/>
    <w:rsid w:val="00E0383A"/>
    <w:rsid w:val="00E04111"/>
    <w:rsid w:val="00E049F8"/>
    <w:rsid w:val="00E04D43"/>
    <w:rsid w:val="00E106A1"/>
    <w:rsid w:val="00E109A0"/>
    <w:rsid w:val="00E1559A"/>
    <w:rsid w:val="00E16D7E"/>
    <w:rsid w:val="00E1775A"/>
    <w:rsid w:val="00E2074B"/>
    <w:rsid w:val="00E216C8"/>
    <w:rsid w:val="00E21CE8"/>
    <w:rsid w:val="00E22251"/>
    <w:rsid w:val="00E22DDE"/>
    <w:rsid w:val="00E23AA0"/>
    <w:rsid w:val="00E27C6C"/>
    <w:rsid w:val="00E37E2E"/>
    <w:rsid w:val="00E435B2"/>
    <w:rsid w:val="00E436A8"/>
    <w:rsid w:val="00E4586F"/>
    <w:rsid w:val="00E463B6"/>
    <w:rsid w:val="00E52497"/>
    <w:rsid w:val="00E53C49"/>
    <w:rsid w:val="00E55362"/>
    <w:rsid w:val="00E618EF"/>
    <w:rsid w:val="00E61C09"/>
    <w:rsid w:val="00E62989"/>
    <w:rsid w:val="00E64610"/>
    <w:rsid w:val="00E6492A"/>
    <w:rsid w:val="00E653F0"/>
    <w:rsid w:val="00E66273"/>
    <w:rsid w:val="00E672B7"/>
    <w:rsid w:val="00E67A61"/>
    <w:rsid w:val="00E7195D"/>
    <w:rsid w:val="00E74790"/>
    <w:rsid w:val="00E74D6E"/>
    <w:rsid w:val="00E762D1"/>
    <w:rsid w:val="00E827A7"/>
    <w:rsid w:val="00E86234"/>
    <w:rsid w:val="00E86A72"/>
    <w:rsid w:val="00E90699"/>
    <w:rsid w:val="00E90C10"/>
    <w:rsid w:val="00E92227"/>
    <w:rsid w:val="00E93F16"/>
    <w:rsid w:val="00E93F8E"/>
    <w:rsid w:val="00E94FE6"/>
    <w:rsid w:val="00E97600"/>
    <w:rsid w:val="00EA12DF"/>
    <w:rsid w:val="00EA3120"/>
    <w:rsid w:val="00EA51B3"/>
    <w:rsid w:val="00EA6425"/>
    <w:rsid w:val="00EA7967"/>
    <w:rsid w:val="00EB04D3"/>
    <w:rsid w:val="00EB1ED7"/>
    <w:rsid w:val="00EB212F"/>
    <w:rsid w:val="00EB3089"/>
    <w:rsid w:val="00EB3378"/>
    <w:rsid w:val="00EB3A0B"/>
    <w:rsid w:val="00EB44F8"/>
    <w:rsid w:val="00EB4AB9"/>
    <w:rsid w:val="00EC176E"/>
    <w:rsid w:val="00EC5402"/>
    <w:rsid w:val="00EC5BD1"/>
    <w:rsid w:val="00ED12AB"/>
    <w:rsid w:val="00ED19D8"/>
    <w:rsid w:val="00ED327D"/>
    <w:rsid w:val="00ED3F87"/>
    <w:rsid w:val="00EE33E7"/>
    <w:rsid w:val="00EE3BA2"/>
    <w:rsid w:val="00EF01A0"/>
    <w:rsid w:val="00EF0BEC"/>
    <w:rsid w:val="00EF419A"/>
    <w:rsid w:val="00EF4373"/>
    <w:rsid w:val="00EF6CFC"/>
    <w:rsid w:val="00F0536C"/>
    <w:rsid w:val="00F11581"/>
    <w:rsid w:val="00F144DA"/>
    <w:rsid w:val="00F2039B"/>
    <w:rsid w:val="00F27BBA"/>
    <w:rsid w:val="00F307A9"/>
    <w:rsid w:val="00F318F5"/>
    <w:rsid w:val="00F32B2D"/>
    <w:rsid w:val="00F34ACF"/>
    <w:rsid w:val="00F37A8A"/>
    <w:rsid w:val="00F37D15"/>
    <w:rsid w:val="00F418A7"/>
    <w:rsid w:val="00F41D68"/>
    <w:rsid w:val="00F43B97"/>
    <w:rsid w:val="00F462A3"/>
    <w:rsid w:val="00F52B11"/>
    <w:rsid w:val="00F52F37"/>
    <w:rsid w:val="00F52F40"/>
    <w:rsid w:val="00F5791E"/>
    <w:rsid w:val="00F64914"/>
    <w:rsid w:val="00F649ED"/>
    <w:rsid w:val="00F67437"/>
    <w:rsid w:val="00F67682"/>
    <w:rsid w:val="00F70AA4"/>
    <w:rsid w:val="00F70D1B"/>
    <w:rsid w:val="00F7270B"/>
    <w:rsid w:val="00F7306C"/>
    <w:rsid w:val="00F733C7"/>
    <w:rsid w:val="00F73CE4"/>
    <w:rsid w:val="00F75FF7"/>
    <w:rsid w:val="00F818C0"/>
    <w:rsid w:val="00F83455"/>
    <w:rsid w:val="00F848D1"/>
    <w:rsid w:val="00F87474"/>
    <w:rsid w:val="00F8782C"/>
    <w:rsid w:val="00F87A78"/>
    <w:rsid w:val="00F933DA"/>
    <w:rsid w:val="00F97ADA"/>
    <w:rsid w:val="00FA073E"/>
    <w:rsid w:val="00FA1011"/>
    <w:rsid w:val="00FA3D62"/>
    <w:rsid w:val="00FA3EA4"/>
    <w:rsid w:val="00FA48BC"/>
    <w:rsid w:val="00FA6F06"/>
    <w:rsid w:val="00FA79D0"/>
    <w:rsid w:val="00FB28BF"/>
    <w:rsid w:val="00FB35D5"/>
    <w:rsid w:val="00FB40D8"/>
    <w:rsid w:val="00FB699C"/>
    <w:rsid w:val="00FC0289"/>
    <w:rsid w:val="00FC186A"/>
    <w:rsid w:val="00FC2D4A"/>
    <w:rsid w:val="00FC3093"/>
    <w:rsid w:val="00FC33E5"/>
    <w:rsid w:val="00FC68B6"/>
    <w:rsid w:val="00FD003C"/>
    <w:rsid w:val="00FD0192"/>
    <w:rsid w:val="00FD35BB"/>
    <w:rsid w:val="00FD68E1"/>
    <w:rsid w:val="00FD6B45"/>
    <w:rsid w:val="00FE3442"/>
    <w:rsid w:val="00FE3908"/>
    <w:rsid w:val="00FE3AC2"/>
    <w:rsid w:val="00FE42A1"/>
    <w:rsid w:val="00FE55C1"/>
    <w:rsid w:val="00FE7243"/>
    <w:rsid w:val="00FF3124"/>
    <w:rsid w:val="00FF4646"/>
    <w:rsid w:val="00FF5A27"/>
    <w:rsid w:val="00FF7A31"/>
    <w:rsid w:val="045A77D7"/>
    <w:rsid w:val="049820AD"/>
    <w:rsid w:val="076D7821"/>
    <w:rsid w:val="09BF02EA"/>
    <w:rsid w:val="0E460DCC"/>
    <w:rsid w:val="1DD10432"/>
    <w:rsid w:val="280653FC"/>
    <w:rsid w:val="2B936C69"/>
    <w:rsid w:val="2F1877C3"/>
    <w:rsid w:val="2F2B3CDF"/>
    <w:rsid w:val="34C5219B"/>
    <w:rsid w:val="37967B26"/>
    <w:rsid w:val="3B844B5E"/>
    <w:rsid w:val="3DBE661F"/>
    <w:rsid w:val="3EDA2E05"/>
    <w:rsid w:val="42732927"/>
    <w:rsid w:val="464949DA"/>
    <w:rsid w:val="464C6278"/>
    <w:rsid w:val="47DE7B5D"/>
    <w:rsid w:val="48CB3DCC"/>
    <w:rsid w:val="4C8A272B"/>
    <w:rsid w:val="4EC442B0"/>
    <w:rsid w:val="52C73151"/>
    <w:rsid w:val="55630EE8"/>
    <w:rsid w:val="56FC7846"/>
    <w:rsid w:val="57507D7C"/>
    <w:rsid w:val="5E3E75D9"/>
    <w:rsid w:val="5EF13A09"/>
    <w:rsid w:val="62797F9D"/>
    <w:rsid w:val="669E6224"/>
    <w:rsid w:val="68D3227F"/>
    <w:rsid w:val="71C92AB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semiHidden/>
    <w:unhideWhenUsed/>
    <w:qFormat/>
    <w:uiPriority w:val="99"/>
    <w:pPr>
      <w:ind w:firstLine="420" w:firstLineChars="100"/>
    </w:pPr>
  </w:style>
  <w:style w:type="paragraph" w:styleId="3">
    <w:name w:val="Body Text"/>
    <w:basedOn w:val="1"/>
    <w:semiHidden/>
    <w:unhideWhenUsed/>
    <w:qFormat/>
    <w:uiPriority w:val="99"/>
    <w:pPr>
      <w:spacing w:after="120"/>
    </w:p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List Paragraph"/>
    <w:basedOn w:val="1"/>
    <w:qFormat/>
    <w:uiPriority w:val="34"/>
    <w:pPr>
      <w:ind w:firstLine="420" w:firstLineChars="200"/>
    </w:pPr>
  </w:style>
  <w:style w:type="paragraph" w:customStyle="1" w:styleId="9">
    <w:name w:val="p0"/>
    <w:basedOn w:val="1"/>
    <w:qFormat/>
    <w:uiPriority w:val="0"/>
    <w:pPr>
      <w:widowControl/>
      <w:jc w:val="left"/>
    </w:pPr>
    <w:rPr>
      <w:rFonts w:ascii="Times New Roman" w:hAnsi="Times New Roman" w:eastAsia="宋体" w:cs="Times New Roman"/>
      <w:kern w:val="0"/>
      <w:sz w:val="24"/>
      <w:szCs w:val="24"/>
    </w:rPr>
  </w:style>
  <w:style w:type="character" w:customStyle="1" w:styleId="10">
    <w:name w:val="页眉 字符"/>
    <w:basedOn w:val="7"/>
    <w:link w:val="5"/>
    <w:qFormat/>
    <w:uiPriority w:val="99"/>
    <w:rPr>
      <w:sz w:val="18"/>
      <w:szCs w:val="18"/>
    </w:rPr>
  </w:style>
  <w:style w:type="character" w:customStyle="1" w:styleId="11">
    <w:name w:val="页脚 字符"/>
    <w:basedOn w:val="7"/>
    <w:link w:val="4"/>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4</Pages>
  <Words>2368</Words>
  <Characters>2458</Characters>
  <Lines>19</Lines>
  <Paragraphs>5</Paragraphs>
  <TotalTime>1</TotalTime>
  <ScaleCrop>false</ScaleCrop>
  <LinksUpToDate>false</LinksUpToDate>
  <CharactersWithSpaces>2480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2021-11-22T07:44:00Z</dcterms:created>
  <dc:creator>黄光明</dc:creator>
  <cp:lastModifiedBy>猫猫</cp:lastModifiedBy>
  <dcterms:modified xsi:type="dcterms:W3CDTF">2024-11-18T08:53:48Z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4E2F1C9FC229447F9E85611316C987B3_12</vt:lpwstr>
  </property>
</Properties>
</file>