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18A29">
      <w:pPr>
        <w:spacing w:line="240" w:lineRule="auto"/>
        <w:rPr>
          <w:rFonts w:hint="eastAsia" w:ascii="微软雅黑" w:hAnsi="微软雅黑" w:eastAsia="微软雅黑" w:cs="Times New Roman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24"/>
          <w:szCs w:val="24"/>
          <w:lang w:val="en-US" w:eastAsia="zh-CN"/>
        </w:rPr>
        <w:t>一、采购清单</w:t>
      </w:r>
    </w:p>
    <w:tbl>
      <w:tblPr>
        <w:tblStyle w:val="2"/>
        <w:tblpPr w:leftFromText="180" w:rightFromText="180" w:vertAnchor="text" w:horzAnchor="page" w:tblpXSpec="center" w:tblpY="761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93"/>
        <w:gridCol w:w="8554"/>
        <w:gridCol w:w="1041"/>
        <w:gridCol w:w="1075"/>
        <w:gridCol w:w="1075"/>
      </w:tblGrid>
      <w:tr w14:paraId="1BE5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5F5C6"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B95DD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品   名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926D15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型号及规格</w:t>
            </w:r>
          </w:p>
        </w:tc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7C62AB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4E02F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C7B2B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品牌</w:t>
            </w:r>
          </w:p>
        </w:tc>
      </w:tr>
      <w:tr w14:paraId="758B8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B9A268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8DBDAD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P1.8室内全彩色显示屏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48B52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像素材料：黑色表贴三合一LED灯管</w:t>
            </w:r>
          </w:p>
          <w:p w14:paraId="3E07A325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封装方式：SMD1515三合一，表面黑色雾化处理，表面不反光；</w:t>
            </w:r>
          </w:p>
          <w:p w14:paraId="14CA528A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像素间距：≤1.86mm</w:t>
            </w:r>
          </w:p>
          <w:p w14:paraId="5AD53FB7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屏幕净显示尺寸：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≥高2.88m*宽5.44m=15.67㎡</w:t>
            </w:r>
          </w:p>
          <w:p w14:paraId="6DF56502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物理分辨率：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≥1548行*2924列=4526352像素</w:t>
            </w:r>
          </w:p>
          <w:p w14:paraId="3581ACBD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像素密度：≥288906点/㎡</w:t>
            </w:r>
          </w:p>
          <w:p w14:paraId="0A607B09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屏幕峰值功耗：≤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W/㎡、平均功耗≤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W/㎡</w:t>
            </w:r>
          </w:p>
          <w:p w14:paraId="2C36ED8C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白平衡亮度：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cd/㎡，亮度调节自动/手 动，0-100%可调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（提供具有CMA、CNAS认可的第三方检测报告复印件并加盖原厂公章）</w:t>
            </w:r>
          </w:p>
          <w:p w14:paraId="1585A286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亮度均匀性：≥97%</w:t>
            </w:r>
          </w:p>
          <w:p w14:paraId="150CEC51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可视视角（水平、垂直）：≥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°</w:t>
            </w:r>
          </w:p>
          <w:p w14:paraId="6AAAC9E6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色温：2000°K－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000°K可调</w:t>
            </w:r>
          </w:p>
          <w:p w14:paraId="5EEFF6A1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色域：≥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%NTSC</w:t>
            </w:r>
          </w:p>
          <w:p w14:paraId="68436F0A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灰度等级：16bit</w:t>
            </w:r>
          </w:p>
          <w:p w14:paraId="1B57EF58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换帧频率：≥60Hz</w:t>
            </w:r>
          </w:p>
          <w:p w14:paraId="17236380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刷新频率：≥3840Hz</w:t>
            </w:r>
          </w:p>
          <w:p w14:paraId="3D361620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对比度：≥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000：1</w:t>
            </w:r>
          </w:p>
          <w:p w14:paraId="0B70B4C6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色温误差：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175K</w:t>
            </w:r>
          </w:p>
          <w:p w14:paraId="5C0DDDA6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发光点中心距偏差：≤3% </w:t>
            </w:r>
          </w:p>
          <w:p w14:paraId="2AF4C22B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LED显示屏动态节能设计，具有智能 (黑屏)节电功能，开启智能节电功能比没有开启节能60%以上</w:t>
            </w:r>
          </w:p>
          <w:p w14:paraId="13A9D98D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在室温下，LED显示屏供电电源的功率因数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90%，转换效率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70%</w:t>
            </w:r>
          </w:p>
          <w:p w14:paraId="01A509D5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能源效率≥2.4cd/W，达到能效一级标准</w:t>
            </w:r>
          </w:p>
          <w:p w14:paraId="5BC99912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工频磁场抗扰程度测试符合性能判据A</w:t>
            </w:r>
          </w:p>
          <w:p w14:paraId="272C36CF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工作时噪声满足NR-25(噪声标准曲线)，屏前后左右四个方向1.0米处噪音＜1.4dB</w:t>
            </w:r>
          </w:p>
          <w:p w14:paraId="4A38E99E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PCB采用FR-4材质，灯驱合一，电路及表面处理采用多层盲孔设计及沉金工艺设计</w:t>
            </w:r>
          </w:p>
          <w:p w14:paraId="369CE58A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单点校正功能：具有单个LED发光管的亮度校正和颜色校正的功能</w:t>
            </w:r>
          </w:p>
          <w:p w14:paraId="0171C03F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支持HDR3.0高图像动态技术</w:t>
            </w:r>
          </w:p>
          <w:p w14:paraId="575D74B9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支持单点亮度色度校正功能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校正后亮度损失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8%</w:t>
            </w:r>
          </w:p>
          <w:p w14:paraId="4885A987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屏体正面为亚黑处理，反光率≤2%</w:t>
            </w:r>
          </w:p>
          <w:p w14:paraId="50403A8F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智能除湿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长时间没有使用屏体，屏体自动切入除湿模式，使屏体从10到100%亮度逐步显示，达到保护LED灯珠的效果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（提供具有CMA、CNAS认可的第三方检测报告复印件并加盖原厂公章）</w:t>
            </w:r>
          </w:p>
          <w:p w14:paraId="6CF2D80F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模组电源接口采用4P接插头，免工具维护，同时具有防呆设计，预防接错电源线短路而导致的烧毁模组行为</w:t>
            </w:r>
          </w:p>
          <w:p w14:paraId="7BF312AD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控制软件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可实现监控显示屏工作状态，具有故障自动告警功能，发生故障立即发送消息至指定邮箱。LED显示屏具备多点测温系统，具备电源温度控制系统</w:t>
            </w:r>
          </w:p>
          <w:p w14:paraId="40297F17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具备单模组数据存储功能，校正数据自动回读技术</w:t>
            </w:r>
          </w:p>
          <w:p w14:paraId="1D9DD51A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支持掉电存储功能，不丢失数据，上电自动恢复，无需重复配置</w:t>
            </w:r>
          </w:p>
          <w:p w14:paraId="07574987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具有信号加密传输功能，支持控制器与屏体之间信号加密传输功能，防止网络恶意入侵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（提供具有CMA、CNAS认可的第三方检测报告复印件并加盖原厂公章）</w:t>
            </w:r>
          </w:p>
          <w:p w14:paraId="6245112F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数据传输安全技术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防信号远程窃密技术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防电力远程窃密技术</w:t>
            </w:r>
          </w:p>
          <w:p w14:paraId="06C0DEC9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显示屏支持信号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电源N+1冗余备份</w:t>
            </w:r>
          </w:p>
          <w:p w14:paraId="56BAEB80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LED显示屏绿色健康分级认证技术规范性能达到A++要求</w:t>
            </w:r>
          </w:p>
          <w:p w14:paraId="6D5DE9C2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LED显示屏具备现场屏体开关机次数及使用时长记录，以及对现场温湿度的监测反馈，并形成数据保存周期为100天(企业提供以往100天数据) ，并可在控制软件端提取数据，保证用户实时了解现场屏体及使用环境情况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（提供具有CMA、CNAS认可的第三方检测报告复印件并加盖原厂公章）</w:t>
            </w:r>
          </w:p>
          <w:p w14:paraId="5B3ECCCF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产品具备动态扫描方式LED显示屏去消隐驱动保护电路，以防止因单颗LED反向漏电流异常引起的串亮现象,满足去消隐，无残影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（提供具有CMA、CNAS认可的第三方检测报告复印件并加盖原厂公章）</w:t>
            </w:r>
          </w:p>
          <w:p w14:paraId="6ED55177">
            <w:pPr>
              <w:numPr>
                <w:ilvl w:val="0"/>
                <w:numId w:val="1"/>
              </w:numPr>
              <w:ind w:left="0" w:leftChars="0" w:firstLine="11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产品通过盐雾10级试验、高低温存储及运行试验、防尘IP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X试验、振动试验、冷热冲击试验、抗紫外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UV辐射5级试验</w:t>
            </w:r>
          </w:p>
        </w:tc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CAF67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773F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15.67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013C3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康辉</w:t>
            </w:r>
          </w:p>
        </w:tc>
      </w:tr>
      <w:tr w14:paraId="3BF1E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1398E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9CCAF7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接收卡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F47ED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1、单卡12个HUB75E接口，输出24组RGB数据，最大带载512x512像素。</w:t>
            </w:r>
          </w:p>
          <w:p w14:paraId="1BC63AE6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、显示性能：支持高灰高刷、低亮高灰显示，可消除某行偏暗、低灰偏红、鬼影等细节问题。通过对伽马表算法的优化，使得显示屏在降低亮度时能保持灰阶的完整无损失、完美显示，呈现低亮度高灰阶的显示效果。</w:t>
            </w:r>
          </w:p>
          <w:p w14:paraId="35C41801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3、亮色度校正：为保障屏幕色彩一致性，支持亮度、色度逐点校正，提供校正低灰补偿，保障低灰显示效果。</w:t>
            </w:r>
          </w:p>
          <w:p w14:paraId="4E31AE6C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4、Gamma独立调节：支持RGB Gamma 独立调节功能，红、绿、蓝gamma值可独立调节，修正颜色跳变及偏色，有效控制显示屏低灰不均匀、白平衡漂移等问题，使画面更加真实。</w:t>
            </w:r>
          </w:p>
          <w:p w14:paraId="078FEF88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5、一键修缝：支持一键修缝功能，可消除显示单元间的亮暗线，且不影响原始校正系数。</w:t>
            </w:r>
          </w:p>
          <w:p w14:paraId="0FE3ACC4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6、芯片适应性：支持各种PWM芯片、双锁存芯片、通用芯片和士兰微芯片。</w:t>
            </w:r>
          </w:p>
          <w:p w14:paraId="7A80289C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</w:rPr>
              <w:t>扫描显示适应性：支持静态屏到128扫之间的任意扫描类型。（提供具有CMA、CNAS认可的第三方检测报告复印件并加盖原厂公章）</w:t>
            </w:r>
          </w:p>
          <w:p w14:paraId="36DBD31C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8、智能串线功能：无需了解接收卡串线顺序，用户可根据屏幕闪烁提示，在软件上完成映射设置，便于屏幕调试。</w:t>
            </w:r>
          </w:p>
          <w:p w14:paraId="5EB4B140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</w:rPr>
              <w:t>异形处理：支持抽点显示与数据偏移，可完成异形屏带载，搭配专用异形发送设备时还可实现高保真图像变形显示，在异形屏幕上播放普通素材时有效避免内容缺失，轻松实现各种异型屏（如：沉浸式、内外球等）。（提供具有CMA、CNAS认可的第三方检测报告复印件并加盖原厂公章）</w:t>
            </w:r>
          </w:p>
          <w:p w14:paraId="02446410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10、一键回读：通过软件可一键回读所有配置文件信息，方便进行产品维护。</w:t>
            </w:r>
          </w:p>
          <w:p w14:paraId="7B8CC9AC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11、通讯检测：可对产品网络通信质量状态进行实时检测，反馈数据包总数、错误包数及网线连接顺序、在线接收卡数量等数据。</w:t>
            </w:r>
          </w:p>
        </w:tc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651B6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89C1D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76C3A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康辉</w:t>
            </w:r>
          </w:p>
        </w:tc>
      </w:tr>
      <w:tr w14:paraId="0E472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D6747A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947C4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视频处理器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8F36B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设备配备有真彩色LCD面板，可通过LCD面板查看当前设备状态信息。</w:t>
            </w:r>
          </w:p>
          <w:p w14:paraId="2BD2661B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1路DP，1路HDMI1.4，2路HDMI1.3，2路DVI，其中DP及HDMI1.4最高支持4K@30Hz。</w:t>
            </w:r>
          </w:p>
          <w:p w14:paraId="03D8A9D6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支持12网路千兆网口最高支持780万像素，最宽支持12000像素，最高支持4000像素</w:t>
            </w:r>
          </w:p>
          <w:p w14:paraId="658992E7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LED发送卡与视频处理器二合一，连线少，稳定性兼容性提升。</w:t>
            </w:r>
          </w:p>
          <w:p w14:paraId="2E7751F0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支持USB、网口及串口控制，支持中控控制。</w:t>
            </w:r>
          </w:p>
          <w:p w14:paraId="1E5EC785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支持EDID配置管理：支持EDID（Extended Display Identification Data，扩展显示识别数据）的读取、修改、自定义。</w:t>
            </w:r>
          </w:p>
          <w:p w14:paraId="11598A4E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非矩形带载，支持网线任意串线，留空部分不占带载资源，提高网口利用率。</w:t>
            </w:r>
            <w:r>
              <w:rPr>
                <w:rFonts w:hint="eastAsia" w:ascii="宋体" w:hAnsi="宋体" w:eastAsia="宋体" w:cs="宋体"/>
                <w:highlight w:val="none"/>
              </w:rPr>
              <w:t>（提供具有CMA、CNAS认可的第三方检测报告复印件并加盖原厂公章）</w:t>
            </w:r>
          </w:p>
          <w:p w14:paraId="01D591A4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支持分组屏管理，可同时管理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8组屏幕，每组屏幕相应的输出口分辨率可分别设定，以应对异形屏或复杂场景下多种显示终端的混合控制。</w:t>
            </w:r>
          </w:p>
          <w:p w14:paraId="349F80FF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支持在线对设备进行自检，所有板卡状态均可检测，可实现设备故障快速定位，大大降低设备运营维护成本。</w:t>
            </w:r>
            <w:r>
              <w:rPr>
                <w:rFonts w:hint="eastAsia" w:ascii="宋体" w:hAnsi="宋体" w:eastAsia="宋体" w:cs="宋体"/>
                <w:highlight w:val="none"/>
              </w:rPr>
              <w:t>（提供具有CMA、CNAS认可的第三方检测报告复印件并加盖原厂公章）</w:t>
            </w:r>
          </w:p>
          <w:p w14:paraId="2B2A49BA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无需外加监视卡即可回显所有输入，用户可通过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PC端或移动端APP，实时查看当前设备输出画面内容以及所有输入信号画面内容。</w:t>
            </w:r>
          </w:p>
          <w:p w14:paraId="197FCF9D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支持灵活更换输入板卡和输出板卡，无需修改或升级固件，可智能识别槽位上插入的板卡类型，并智能完成相应的参数配置，无需用户手动介入。</w:t>
            </w:r>
            <w:r>
              <w:rPr>
                <w:rFonts w:hint="eastAsia" w:ascii="宋体" w:hAnsi="宋体" w:eastAsia="宋体" w:cs="宋体"/>
                <w:highlight w:val="none"/>
              </w:rPr>
              <w:t>（提供具有CMA、CNAS认可的第三方检测报告复印件并加盖原厂公章）</w:t>
            </w:r>
          </w:p>
          <w:p w14:paraId="64138CDC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高规格的安规安全设计，器件选型全部采用满足IEC62368-I、UL94、GB4943等标准认证的器件，适用全球不同国家。</w:t>
            </w:r>
            <w:r>
              <w:rPr>
                <w:rFonts w:hint="eastAsia" w:ascii="宋体" w:hAnsi="宋体" w:eastAsia="宋体" w:cs="宋体"/>
                <w:highlight w:val="none"/>
              </w:rPr>
              <w:t>（提供具有CMA、CNAS认可的第三方检测报告复印件并加盖原厂公章）</w:t>
            </w:r>
          </w:p>
          <w:p w14:paraId="06A14DC6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无论是信号切换还是整个场景模板的切换，设备均可完成无缝的过渡，且具备淡入淡出特效，切换过程中不会出现黑屏、闪烁、延迟等现象。</w:t>
            </w:r>
          </w:p>
          <w:p w14:paraId="7FD4F8AB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设备最多可同时输出3个相同或不同的输入信号画面，画面大小、位置可任意调整</w:t>
            </w:r>
          </w:p>
          <w:p w14:paraId="3CD7E051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可对画面进行任意缩小放大，画面位置可任意设定，画面内容可裁剪。具备视频补偿处理算法，画面缩小无尺寸限制，并保留图像细节，减轻画面放大多倍后产生的失焦现象</w:t>
            </w:r>
          </w:p>
          <w:p w14:paraId="11BD4C6F"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可对设备的输出亮度和对比度进行调节，调节范围0-255。</w:t>
            </w:r>
          </w:p>
        </w:tc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7A256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975E7B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68561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康辉</w:t>
            </w:r>
          </w:p>
        </w:tc>
      </w:tr>
      <w:tr w14:paraId="4FFE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D1E0AF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DE24E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配电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柜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AF7F9">
            <w:pPr>
              <w:numPr>
                <w:ilvl w:val="0"/>
                <w:numId w:val="3"/>
              </w:num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额定功率：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0KW，输出路数：≥3路；</w:t>
            </w:r>
          </w:p>
          <w:p w14:paraId="02A00D68">
            <w:pPr>
              <w:numPr>
                <w:ilvl w:val="0"/>
                <w:numId w:val="3"/>
              </w:num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配电柜输入电压为交流380V±15%，工频50Hz。具有过压、浪涌、短路、过流、过载、漏电等保护功能；</w:t>
            </w:r>
          </w:p>
          <w:p w14:paraId="0255EA4B">
            <w:pPr>
              <w:numPr>
                <w:ilvl w:val="0"/>
                <w:numId w:val="3"/>
              </w:num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内置避雷器，具有避雷防雷功能；</w:t>
            </w:r>
          </w:p>
          <w:p w14:paraId="0E33F9FF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小程序扫描PC端软件二维码生成的动态密码进入主页面；手机绑定设备后扫描PC端二维码才能生成动态密码，进入设置页面进行参数设置；</w:t>
            </w:r>
            <w:r>
              <w:rPr>
                <w:rFonts w:hint="eastAsia" w:ascii="宋体" w:hAnsi="宋体" w:eastAsia="宋体" w:cs="宋体"/>
                <w:highlight w:val="none"/>
              </w:rPr>
              <w:t>（提供具有CMA、CNAS认可的第三方检测报告复印件并加盖原厂公章）</w:t>
            </w:r>
          </w:p>
          <w:p w14:paraId="0B7BD055"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lang w:eastAsia="zh-CN"/>
              </w:rPr>
              <w:t>配电柜含多功能卡控制，具有远程控制功能；</w:t>
            </w:r>
          </w:p>
          <w:p w14:paraId="1D003F43"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lang w:eastAsia="zh-CN"/>
              </w:rPr>
              <w:t>支持通过LED显示屏智慧控制系统软件实现远程开关电箱、远程通讯、电源监视、温度监控、消防监控等操作；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 w14:paraId="0096C967"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设备防雷等级30KA，在雷击时跳闸保护，防止负载端设备损坏，过30秒以后自动合闸送电；</w:t>
            </w:r>
            <w:r>
              <w:rPr>
                <w:rFonts w:hint="eastAsia" w:ascii="宋体" w:hAnsi="宋体" w:eastAsia="宋体" w:cs="宋体"/>
                <w:highlight w:val="none"/>
              </w:rPr>
              <w:t>（提供具有CMA、CNAS认可的第三方检测报告复印件并加盖原厂公章）</w:t>
            </w:r>
          </w:p>
          <w:p w14:paraId="31B904C0"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通过调节自动/手动/锁定开关可切换式、手动模式和锁定模式。</w:t>
            </w:r>
            <w:r>
              <w:rPr>
                <w:rFonts w:hint="eastAsia" w:ascii="宋体" w:hAnsi="宋体" w:eastAsia="宋体" w:cs="宋体"/>
                <w:highlight w:val="none"/>
              </w:rPr>
              <w:t>（提供具有CMA、CNAS认可的第三方检测报告复印件并加盖原厂公章）</w:t>
            </w:r>
          </w:p>
        </w:tc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89908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A5DB0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5D1B0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国产</w:t>
            </w:r>
          </w:p>
        </w:tc>
      </w:tr>
      <w:tr w14:paraId="5EFEB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2EAF6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10991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框架结构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870DE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钢结构：钢架构件（含接合板）采用Q235B钢制作，结构用钢应符合《GB700-88》规定的Q235要求，保证其抗拉强度、伸长率、屈服点，碳、硫、磷的极限含量；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焊条：手工焊：Q235连接用E43系列焊条；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自动焊：Q235连接用H08系列焊条；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要求：抗震7级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抗风8级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包边：不锈钢包边；</w:t>
            </w:r>
          </w:p>
        </w:tc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010433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 w14:paraId="2319CDB4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 w14:paraId="6332E37C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国产</w:t>
            </w:r>
          </w:p>
        </w:tc>
      </w:tr>
      <w:tr w14:paraId="4CB22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9CBAD1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821DE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工程布线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0D637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强电：主线YJV5*4、分线RVV3*2.5*3组(含线管铺设)</w:t>
            </w:r>
          </w:p>
          <w:p w14:paraId="048EBB6C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弱电：六类网线*12根(含线管铺设)</w:t>
            </w:r>
          </w:p>
        </w:tc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3E7B03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批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 w14:paraId="73EF4A53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 w14:paraId="63466BD6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国产</w:t>
            </w:r>
          </w:p>
        </w:tc>
      </w:tr>
      <w:tr w14:paraId="0B7D5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894E7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1DB4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安装调试</w:t>
            </w:r>
          </w:p>
        </w:tc>
        <w:tc>
          <w:tcPr>
            <w:tcW w:w="3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925FD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运输、安装、调试、售后服务等</w:t>
            </w:r>
          </w:p>
        </w:tc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F1D6A4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 w14:paraId="6624B445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 w14:paraId="094E86F9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国产</w:t>
            </w:r>
            <w:bookmarkStart w:id="0" w:name="_GoBack"/>
            <w:bookmarkEnd w:id="0"/>
          </w:p>
        </w:tc>
      </w:tr>
    </w:tbl>
    <w:p w14:paraId="65AF2213"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 w14:paraId="76F1A055">
      <w:pPr>
        <w:pStyle w:val="5"/>
        <w:ind w:left="0" w:leftChars="0" w:firstLine="0" w:firstLineChars="0"/>
        <w:rPr>
          <w:rFonts w:hint="eastAsia"/>
        </w:rPr>
      </w:pPr>
    </w:p>
    <w:p w14:paraId="26E81B9E">
      <w:pPr>
        <w:spacing w:line="276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二、商务要求：</w:t>
      </w:r>
    </w:p>
    <w:p w14:paraId="2ADBE37A">
      <w:pPr>
        <w:widowControl/>
        <w:spacing w:line="360" w:lineRule="auto"/>
        <w:ind w:left="315" w:hanging="315" w:hangingChars="15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1、带“★”部分为产品主要参数，必须满足以上技术指标，若无法提供符合要求的检测报告和相关证书复印件（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并</w:t>
      </w:r>
      <w:r>
        <w:rPr>
          <w:rFonts w:hint="eastAsia" w:ascii="宋体" w:hAnsi="宋体" w:cs="宋体"/>
          <w:color w:val="000000"/>
          <w:kern w:val="0"/>
          <w:szCs w:val="21"/>
        </w:rPr>
        <w:t>以附件形式上传，资料须原厂盖章），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并在中标之后3个工作日内提供中小微企业声明函（货物）（格式自拟），否</w:t>
      </w:r>
      <w:r>
        <w:rPr>
          <w:rFonts w:hint="eastAsia" w:ascii="宋体" w:hAnsi="宋体" w:cs="宋体"/>
          <w:color w:val="000000"/>
          <w:kern w:val="0"/>
          <w:szCs w:val="21"/>
        </w:rPr>
        <w:t>则取消其中标资格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p w14:paraId="193E93D6">
      <w:pPr>
        <w:widowControl/>
        <w:spacing w:line="360" w:lineRule="auto"/>
        <w:ind w:left="315" w:hanging="315" w:hangingChars="1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2、供应商应在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嵊州</w:t>
      </w:r>
      <w:r>
        <w:rPr>
          <w:rFonts w:hint="eastAsia" w:ascii="宋体" w:hAnsi="宋体" w:cs="宋体"/>
          <w:color w:val="000000"/>
          <w:kern w:val="0"/>
          <w:szCs w:val="21"/>
        </w:rPr>
        <w:t>市内有固定售后服务网点或者分公司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提供7*24小时服务，接到用户报修电话，</w:t>
      </w:r>
      <w:r>
        <w:rPr>
          <w:rFonts w:hint="eastAsia" w:ascii="宋体" w:hAnsi="宋体" w:cs="宋体"/>
          <w:kern w:val="0"/>
          <w:szCs w:val="21"/>
        </w:rPr>
        <w:t>半小时内响应，1小时内赶到现场，并且保修期内有专人对系统进行一年二次检查，维护。三年内不少于4次的重大活动现场保障服务。</w:t>
      </w:r>
    </w:p>
    <w:p w14:paraId="501800A1">
      <w:pPr>
        <w:widowControl/>
        <w:spacing w:line="360" w:lineRule="auto"/>
        <w:ind w:left="315" w:hanging="315" w:hangingChars="1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3、投标时应提供LED显示屏、控制系统等招标参数中要求提供的各种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证书、检测报告</w:t>
      </w:r>
      <w:r>
        <w:rPr>
          <w:rFonts w:hint="eastAsia" w:ascii="宋体" w:hAnsi="宋体" w:cs="宋体"/>
          <w:color w:val="000000"/>
          <w:kern w:val="0"/>
          <w:szCs w:val="21"/>
        </w:rPr>
        <w:t>等，如有弄虚作假取消中标资格并承担相关责任。</w:t>
      </w:r>
    </w:p>
    <w:p w14:paraId="4480E091">
      <w:pPr>
        <w:widowControl/>
        <w:spacing w:line="360" w:lineRule="auto"/>
        <w:ind w:left="315" w:hanging="315" w:hangingChars="1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4、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采购货物清单中所有设备提供</w:t>
      </w:r>
      <w:r>
        <w:rPr>
          <w:rFonts w:hint="eastAsia" w:ascii="宋体" w:hAnsi="宋体" w:eastAsia="宋体" w:cs="宋体"/>
          <w:color w:val="FF0000"/>
          <w:kern w:val="0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年免费质保服务（预成交信息截止3个工作日内提供LED屏生产制造商针对本项目的授权及</w:t>
      </w:r>
      <w:r>
        <w:rPr>
          <w:rFonts w:hint="eastAsia" w:ascii="宋体" w:hAnsi="宋体" w:eastAsia="宋体" w:cs="宋体"/>
          <w:color w:val="FF0000"/>
          <w:kern w:val="0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年免费质保函），如无法提供则视为虚假响应取消其中标资格。</w:t>
      </w:r>
    </w:p>
    <w:p w14:paraId="67F0CFA1">
      <w:pPr>
        <w:widowControl/>
        <w:spacing w:line="360" w:lineRule="auto"/>
        <w:ind w:left="315" w:hanging="315" w:hangingChars="15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5、本项目的所有设备需进行安装调试，直到各系统设备能正常运行使用。安装、调试时中标人必须指派专业技术人员安装，直至验收合格。</w:t>
      </w:r>
    </w:p>
    <w:p w14:paraId="09E38FAC">
      <w:pPr>
        <w:widowControl/>
        <w:spacing w:line="360" w:lineRule="auto"/>
        <w:ind w:left="315" w:hanging="315" w:hangingChars="15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为保证投标产品功能的真实性，投标截止后，用户选择中标供应商之前，预中标供应商提供样品1套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同规格室内P1.8全彩色显示屏、控制系统、视频处理器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至用户单位进行功能演示测试，由采购人组织专家进行评审，无法符合参数条件的均取消预中标资格，（如有虚假应标的行为，对该厂商追究相关责任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将按“在线询价、反向竞价违约处理规则”作废标处理，并将报送财政部门做进一步处罚）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直至有符合要求的供应商产生。</w:t>
      </w:r>
    </w:p>
    <w:p w14:paraId="63A9C7F1">
      <w:pPr>
        <w:widowControl/>
        <w:spacing w:line="360" w:lineRule="auto"/>
        <w:ind w:left="315" w:hanging="315" w:hangingChars="15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、工期：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具备施工条件后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7个工作日内安装调试完成。</w:t>
      </w:r>
    </w:p>
    <w:p w14:paraId="69A4FB14">
      <w:pPr>
        <w:widowControl/>
        <w:spacing w:line="360" w:lineRule="auto"/>
        <w:ind w:left="315" w:hanging="315" w:hangingChars="15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Cs w:val="21"/>
        </w:rPr>
        <w:t>、验收中若发现成交供应商不按招标文件、投标承诺及合同要求供货，偷工减料或降低供货质量等，如拒不整改，需求方有权解除合同，并要求投标方赔偿设备总价的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0%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p w14:paraId="2A2036A7">
      <w:pPr>
        <w:widowControl/>
        <w:spacing w:line="360" w:lineRule="auto"/>
        <w:ind w:left="315" w:hanging="315" w:hangingChars="150"/>
        <w:rPr>
          <w:rFonts w:hint="default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Cs w:val="21"/>
        </w:rPr>
        <w:t>、以上设备报价包含安装、调试、税金等一切费用，</w:t>
      </w:r>
      <w:r>
        <w:rPr>
          <w:rFonts w:hint="eastAsia" w:ascii="宋体" w:hAnsi="宋体" w:cs="宋体"/>
          <w:szCs w:val="21"/>
        </w:rPr>
        <w:t>中标供应商不得再向业主提出额外付费要求。</w:t>
      </w:r>
    </w:p>
    <w:p w14:paraId="5411106E"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EA881"/>
    <w:multiLevelType w:val="singleLevel"/>
    <w:tmpl w:val="C92EA88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</w:abstractNum>
  <w:abstractNum w:abstractNumId="1">
    <w:nsid w:val="CA5064F0"/>
    <w:multiLevelType w:val="singleLevel"/>
    <w:tmpl w:val="CA5064F0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</w:abstractNum>
  <w:abstractNum w:abstractNumId="2">
    <w:nsid w:val="51E64049"/>
    <w:multiLevelType w:val="singleLevel"/>
    <w:tmpl w:val="51E64049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1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53754"/>
    <w:rsid w:val="3D3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3945</Words>
  <Characters>4406</Characters>
  <Lines>0</Lines>
  <Paragraphs>0</Paragraphs>
  <TotalTime>1</TotalTime>
  <ScaleCrop>false</ScaleCrop>
  <LinksUpToDate>false</LinksUpToDate>
  <CharactersWithSpaces>4419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2025-07-07T02:17:00Z</dcterms:created>
  <dc:creator>Administrator</dc:creator>
  <cp:lastModifiedBy>祝振富</cp:lastModifiedBy>
  <dcterms:modified xsi:type="dcterms:W3CDTF">2025-07-07T02:22:48Z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eyJoZGlkIjoiODk4ZjU4ODkyYTc3MjJlYzRiOGNiZDhiYTY1N2MwNjMiLCJ1c2VySWQiOiIxNjY5NTU0Mzg3In0=</vt:lpwstr>
  </property>
  <property fmtid="{D5CDD505-2E9C-101B-9397-08002B2CF9AE}" pid="4" name="ICV">
    <vt:lpwstr>3188EE6CC5274873AA0DA0371E64CDA8_12</vt:lpwstr>
  </property>
</Properties>
</file>