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rPr>
          <w:rFonts w:hint="eastAsia"/>
          <w:lang w:val="en-US" w:eastAsia="zh-CN"/>
        </w:rPr>
        <w:t>存储扩展柜在线询价</w:t>
      </w:r>
      <w:r>
        <w:rPr>
          <w:rFonts w:hint="eastAsia"/>
        </w:rPr>
        <w:t>文档</w:t>
      </w:r>
    </w:p>
    <w:p>
      <w:pPr>
        <w:pStyle w:val="14"/>
        <w:ind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 xml:space="preserve">1、采购标的：   </w:t>
      </w:r>
    </w:p>
    <w:p>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 xml:space="preserve">   因本院pacs存储空间即将告罄，需新增一台存储扩展柜，用于本院pacs业务数据存储。</w:t>
      </w:r>
    </w:p>
    <w:p>
      <w:pPr>
        <w:pStyle w:val="14"/>
        <w:ind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2、技术及服务要求</w:t>
      </w:r>
    </w:p>
    <w:tbl>
      <w:tblPr>
        <w:tblStyle w:val="10"/>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3343"/>
        <w:gridCol w:w="805"/>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7" w:type="dxa"/>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名称</w:t>
            </w: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项目</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指标要求</w:t>
            </w:r>
          </w:p>
        </w:tc>
        <w:tc>
          <w:tcPr>
            <w:tcW w:w="805" w:type="dxa"/>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数量</w:t>
            </w:r>
          </w:p>
        </w:tc>
        <w:tc>
          <w:tcPr>
            <w:tcW w:w="941" w:type="dxa"/>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restart"/>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存储扩容</w:t>
            </w:r>
            <w:r>
              <w:rPr>
                <w:rFonts w:hint="eastAsia" w:ascii="宋体" w:hAnsi="宋体" w:cstheme="minorBidi"/>
                <w:kern w:val="2"/>
                <w:sz w:val="24"/>
                <w:szCs w:val="24"/>
                <w:lang w:val="en-US" w:eastAsia="zh-CN" w:bidi="ar-SA"/>
              </w:rPr>
              <w:t>柜</w:t>
            </w: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存储扩容要求</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原DELLEMC SCv3000存储扩容</w:t>
            </w:r>
          </w:p>
        </w:tc>
        <w:tc>
          <w:tcPr>
            <w:tcW w:w="805" w:type="dxa"/>
            <w:vMerge w:val="restart"/>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1</w:t>
            </w:r>
          </w:p>
        </w:tc>
        <w:tc>
          <w:tcPr>
            <w:tcW w:w="941" w:type="dxa"/>
            <w:vMerge w:val="restart"/>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★总体要求</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要求实现与上虞市第二人民医院现有的扩容存储融合成一套存储资源池使用,单点登录,统一界面管理</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实现存储在线无缝透明的扩容,业务不能停机,服务器无需重新映射,对业务系统完全透明,需要自动继承原有的卷设置</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提供存储管理界面截图。</w:t>
            </w:r>
          </w:p>
        </w:tc>
        <w:tc>
          <w:tcPr>
            <w:tcW w:w="805"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941"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兼容性要求</w:t>
            </w:r>
          </w:p>
        </w:tc>
        <w:tc>
          <w:tcPr>
            <w:tcW w:w="3343" w:type="dxa"/>
            <w:noWrap w:val="0"/>
            <w:vAlign w:val="center"/>
          </w:tcPr>
          <w:p>
            <w:pPr>
              <w:widowControl/>
              <w:spacing w:before="100" w:beforeAutospacing="1" w:after="100" w:afterAutospacing="1"/>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为了避免售后服务质量与设备兼容性问题,要求所扩容磁盘由设备厂商统一提供,扩容存储型号为DELLEMC SCv3000存储, SN:DL7SJ53。</w:t>
            </w:r>
          </w:p>
        </w:tc>
        <w:tc>
          <w:tcPr>
            <w:tcW w:w="805"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941"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磁盘扩容配置</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 xml:space="preserve">存储机头扩容1个磁盘扩展柜和2条2米专用 SAS连接线缆，扩展柜磁盘配置要求≥12块硬盘,单盘容量大于等于10T。 </w:t>
            </w:r>
          </w:p>
        </w:tc>
        <w:tc>
          <w:tcPr>
            <w:tcW w:w="805"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941"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双活网关授权容量许可扩容</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由于扩容存储是接入VPLEX使用，此次需要对VPLEX网关的授权容量许可进行扩容，此次扩容容量不少于10T。</w:t>
            </w:r>
          </w:p>
        </w:tc>
        <w:tc>
          <w:tcPr>
            <w:tcW w:w="805"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941"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实施服务</w:t>
            </w:r>
          </w:p>
        </w:tc>
        <w:tc>
          <w:tcPr>
            <w:tcW w:w="3343" w:type="dxa"/>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此次扩容的磁盘扩展柜和磁盘需要原厂工程师提供上门安装实施服务，上门安装实施服务和扩容验收时需要工程师提供近半年内原厂缴纳的社保证明材料。</w:t>
            </w:r>
          </w:p>
        </w:tc>
        <w:tc>
          <w:tcPr>
            <w:tcW w:w="805"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941"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vMerge w:val="continue"/>
            <w:noWrap w:val="0"/>
            <w:vAlign w:val="center"/>
          </w:tcPr>
          <w:p>
            <w:pPr>
              <w:spacing w:line="360" w:lineRule="auto"/>
              <w:jc w:val="center"/>
              <w:rPr>
                <w:rFonts w:hint="eastAsia" w:ascii="宋体" w:hAnsi="宋体" w:eastAsiaTheme="minorEastAsia" w:cstheme="minorBidi"/>
                <w:kern w:val="2"/>
                <w:sz w:val="24"/>
                <w:szCs w:val="24"/>
                <w:lang w:val="en-US" w:eastAsia="zh-CN" w:bidi="ar-SA"/>
              </w:rPr>
            </w:pPr>
          </w:p>
        </w:tc>
        <w:tc>
          <w:tcPr>
            <w:tcW w:w="1947" w:type="dxa"/>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维保</w:t>
            </w:r>
          </w:p>
        </w:tc>
        <w:tc>
          <w:tcPr>
            <w:tcW w:w="3343" w:type="dxa"/>
            <w:noWrap w:val="0"/>
            <w:vAlign w:val="center"/>
          </w:tcPr>
          <w:p>
            <w:pPr>
              <w:jc w:val="left"/>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7*24小时，3年维保</w:t>
            </w:r>
          </w:p>
        </w:tc>
        <w:tc>
          <w:tcPr>
            <w:tcW w:w="805" w:type="dxa"/>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3</w:t>
            </w:r>
          </w:p>
        </w:tc>
        <w:tc>
          <w:tcPr>
            <w:tcW w:w="941" w:type="dxa"/>
            <w:noWrap w:val="0"/>
            <w:vAlign w:val="center"/>
          </w:tcPr>
          <w:p>
            <w:pPr>
              <w:spacing w:line="360" w:lineRule="auto"/>
              <w:jc w:val="center"/>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年</w:t>
            </w:r>
          </w:p>
        </w:tc>
      </w:tr>
    </w:tbl>
    <w:p>
      <w:pPr>
        <w:pStyle w:val="14"/>
        <w:numPr>
          <w:ilvl w:val="0"/>
          <w:numId w:val="0"/>
        </w:numPr>
        <w:ind w:leftChars="0"/>
        <w:rPr>
          <w:rFonts w:hint="eastAsia" w:ascii="宋体" w:hAnsi="宋体" w:eastAsiaTheme="minorEastAsia" w:cstheme="minorBidi"/>
          <w:kern w:val="2"/>
          <w:sz w:val="24"/>
          <w:szCs w:val="24"/>
          <w:lang w:val="en-US" w:eastAsia="zh-CN" w:bidi="ar-SA"/>
        </w:rPr>
      </w:pPr>
    </w:p>
    <w:p>
      <w:pPr>
        <w:pStyle w:val="14"/>
        <w:ind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3、商务要求</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具有独立承担民事责任的能力：在中华人民共和国境内注册的法人或其他组织或自然人</w:t>
      </w:r>
      <w:bookmarkStart w:id="7" w:name="_GoBack"/>
      <w:bookmarkEnd w:id="7"/>
      <w:r>
        <w:rPr>
          <w:rFonts w:hint="eastAsia" w:ascii="宋体" w:hAnsi="宋体" w:eastAsiaTheme="minorEastAsia" w:cstheme="minorBidi"/>
          <w:kern w:val="2"/>
          <w:sz w:val="24"/>
          <w:szCs w:val="24"/>
          <w:lang w:val="en-US" w:eastAsia="zh-CN" w:bidi="ar-SA"/>
        </w:rPr>
        <w:t>，报价（响应）时提交有效的营业执照（或事业法人登记证或身份证等相关证明）副本复印件。分支机构报价的，须提供总公司和分公司营业执照副本复印件，总公司出具给分支机构的授权书。</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参加采购活动前3年内，在经营活动中没有重大违法记录：在经营活动中没有重大违法记录。</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信用记录：供应商未被列入“信用中国”网站“记录失信被执行人或重大税收违法案件当事人名单”记录名单；不处于中国政府采购网“政府采购严重违法失信行为信息记录”中的禁止参加政府采购活动期间。（以采购代理机构于投标（响应）截止时间当天在“信用中国”网站及中国政府采购网查询结果为准，如相关失信记录已失效，供应商需提供相关证明资料）。</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不得影响医院所有在用业务系统及临床业务工作。</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5</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合同签订后</w:t>
      </w:r>
      <w:r>
        <w:rPr>
          <w:rFonts w:hint="eastAsia" w:ascii="宋体" w:hAnsi="宋体" w:cstheme="minorBidi"/>
          <w:kern w:val="2"/>
          <w:sz w:val="24"/>
          <w:szCs w:val="24"/>
          <w:lang w:val="en-US" w:eastAsia="zh-CN" w:bidi="ar-SA"/>
        </w:rPr>
        <w:t>7</w:t>
      </w:r>
      <w:r>
        <w:rPr>
          <w:rFonts w:hint="eastAsia" w:ascii="宋体" w:hAnsi="宋体" w:eastAsiaTheme="minorEastAsia" w:cstheme="minorBidi"/>
          <w:kern w:val="2"/>
          <w:sz w:val="24"/>
          <w:szCs w:val="24"/>
          <w:lang w:val="en-US" w:eastAsia="zh-CN" w:bidi="ar-SA"/>
        </w:rPr>
        <w:t>个工作日安排</w:t>
      </w:r>
      <w:r>
        <w:rPr>
          <w:rFonts w:hint="eastAsia" w:ascii="宋体" w:hAnsi="宋体" w:cstheme="minorBidi"/>
          <w:kern w:val="2"/>
          <w:sz w:val="24"/>
          <w:szCs w:val="24"/>
          <w:lang w:val="en-US" w:eastAsia="zh-CN" w:bidi="ar-SA"/>
        </w:rPr>
        <w:t>原厂</w:t>
      </w:r>
      <w:r>
        <w:rPr>
          <w:rFonts w:hint="eastAsia" w:ascii="宋体" w:hAnsi="宋体" w:eastAsiaTheme="minorEastAsia" w:cstheme="minorBidi"/>
          <w:kern w:val="2"/>
          <w:sz w:val="24"/>
          <w:szCs w:val="24"/>
          <w:lang w:val="en-US" w:eastAsia="zh-CN" w:bidi="ar-SA"/>
        </w:rPr>
        <w:t>工程师进场施工</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zh-CN" w:eastAsia="zh-CN" w:bidi="ar-SA"/>
        </w:rPr>
        <w:t>若未能按时完成实施部署的，采购人</w:t>
      </w:r>
      <w:r>
        <w:rPr>
          <w:rFonts w:hint="eastAsia" w:ascii="宋体" w:hAnsi="宋体" w:eastAsiaTheme="minorEastAsia" w:cstheme="minorBidi"/>
          <w:kern w:val="2"/>
          <w:sz w:val="24"/>
          <w:szCs w:val="24"/>
          <w:lang w:val="en-US" w:eastAsia="zh-CN" w:bidi="ar-SA"/>
        </w:rPr>
        <w:t>将视作验收未通过。</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6</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zh-CN" w:eastAsia="zh-CN" w:bidi="ar-SA"/>
        </w:rPr>
        <w:t>该项目必须实现与医院现有</w:t>
      </w:r>
      <w:r>
        <w:rPr>
          <w:rFonts w:hint="eastAsia" w:ascii="宋体" w:hAnsi="宋体" w:eastAsiaTheme="minorEastAsia" w:cstheme="minorBidi"/>
          <w:kern w:val="2"/>
          <w:sz w:val="24"/>
          <w:szCs w:val="24"/>
          <w:lang w:val="en-US" w:eastAsia="zh-CN" w:bidi="ar-SA"/>
        </w:rPr>
        <w:t>各个</w:t>
      </w:r>
      <w:r>
        <w:rPr>
          <w:rFonts w:hint="eastAsia" w:ascii="宋体" w:hAnsi="宋体" w:eastAsiaTheme="minorEastAsia" w:cstheme="minorBidi"/>
          <w:kern w:val="2"/>
          <w:sz w:val="24"/>
          <w:szCs w:val="24"/>
          <w:lang w:val="zh-CN" w:eastAsia="zh-CN" w:bidi="ar-SA"/>
        </w:rPr>
        <w:t>系统的</w:t>
      </w:r>
      <w:r>
        <w:rPr>
          <w:rFonts w:hint="eastAsia" w:ascii="宋体" w:hAnsi="宋体" w:eastAsiaTheme="minorEastAsia" w:cstheme="minorBidi"/>
          <w:kern w:val="2"/>
          <w:sz w:val="24"/>
          <w:szCs w:val="24"/>
          <w:lang w:val="en-US" w:eastAsia="zh-CN" w:bidi="ar-SA"/>
        </w:rPr>
        <w:t>进行</w:t>
      </w:r>
      <w:r>
        <w:rPr>
          <w:rFonts w:hint="eastAsia" w:ascii="宋体" w:hAnsi="宋体" w:eastAsiaTheme="minorEastAsia" w:cstheme="minorBidi"/>
          <w:kern w:val="2"/>
          <w:sz w:val="24"/>
          <w:szCs w:val="24"/>
          <w:lang w:val="zh-CN" w:eastAsia="zh-CN" w:bidi="ar-SA"/>
        </w:rPr>
        <w:t>无缝对接，对接系统可能由此产生的所有费用，由投标人自行承担，具体费用按中标产品特性根据市场情况自行商榷，中标人需在投标前</w:t>
      </w:r>
      <w:r>
        <w:rPr>
          <w:rFonts w:hint="eastAsia" w:ascii="宋体" w:hAnsi="宋体" w:eastAsiaTheme="minorEastAsia" w:cstheme="minorBidi"/>
          <w:kern w:val="2"/>
          <w:sz w:val="24"/>
          <w:szCs w:val="24"/>
          <w:lang w:val="en-US" w:eastAsia="zh-CN" w:bidi="ar-SA"/>
        </w:rPr>
        <w:t>根据自身产品</w:t>
      </w:r>
      <w:r>
        <w:rPr>
          <w:rFonts w:hint="eastAsia" w:ascii="宋体" w:hAnsi="宋体" w:eastAsiaTheme="minorEastAsia" w:cstheme="minorBidi"/>
          <w:kern w:val="2"/>
          <w:sz w:val="24"/>
          <w:szCs w:val="24"/>
          <w:lang w:val="zh-CN" w:eastAsia="zh-CN" w:bidi="ar-SA"/>
        </w:rPr>
        <w:t>评估好接口费用后再报价，采购人不再额外支付费用（合同签订后要求采购人额外支付费用的，采购人将视作验收未通过）</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7</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zh-CN" w:eastAsia="zh-CN" w:bidi="ar-SA"/>
        </w:rPr>
        <w:t>整体系统需符合信息安全</w:t>
      </w:r>
      <w:r>
        <w:rPr>
          <w:rFonts w:hint="eastAsia" w:ascii="宋体" w:hAnsi="宋体" w:eastAsiaTheme="minorEastAsia" w:cstheme="minorBidi"/>
          <w:kern w:val="2"/>
          <w:sz w:val="24"/>
          <w:szCs w:val="24"/>
          <w:lang w:val="en-US" w:eastAsia="zh-CN" w:bidi="ar-SA"/>
        </w:rPr>
        <w:t>二</w:t>
      </w:r>
      <w:r>
        <w:rPr>
          <w:rFonts w:hint="eastAsia" w:ascii="宋体" w:hAnsi="宋体" w:eastAsiaTheme="minorEastAsia" w:cstheme="minorBidi"/>
          <w:kern w:val="2"/>
          <w:sz w:val="24"/>
          <w:szCs w:val="24"/>
          <w:lang w:val="zh-CN" w:eastAsia="zh-CN" w:bidi="ar-SA"/>
        </w:rPr>
        <w:t>级等保规范要求，网络架构需要配合采购人按照</w:t>
      </w:r>
      <w:r>
        <w:rPr>
          <w:rFonts w:hint="eastAsia" w:ascii="宋体" w:hAnsi="宋体" w:eastAsiaTheme="minorEastAsia" w:cstheme="minorBidi"/>
          <w:kern w:val="2"/>
          <w:sz w:val="24"/>
          <w:szCs w:val="24"/>
          <w:lang w:val="en-US" w:eastAsia="zh-CN" w:bidi="ar-SA"/>
        </w:rPr>
        <w:t>二</w:t>
      </w:r>
      <w:r>
        <w:rPr>
          <w:rFonts w:hint="eastAsia" w:ascii="宋体" w:hAnsi="宋体" w:eastAsiaTheme="minorEastAsia" w:cstheme="minorBidi"/>
          <w:kern w:val="2"/>
          <w:sz w:val="24"/>
          <w:szCs w:val="24"/>
          <w:lang w:val="zh-CN" w:eastAsia="zh-CN" w:bidi="ar-SA"/>
        </w:rPr>
        <w:t xml:space="preserve">级等保管理要求执行，信息数据安全及病人隐私信息保护要求需要按照规范要求执行。 </w:t>
      </w:r>
    </w:p>
    <w:p>
      <w:pPr>
        <w:pStyle w:val="14"/>
        <w:widowControl/>
        <w:autoSpaceDE w:val="0"/>
        <w:autoSpaceDN w:val="0"/>
        <w:spacing w:line="360" w:lineRule="auto"/>
        <w:ind w:left="425" w:firstLine="0" w:firstLineChars="0"/>
        <w:jc w:val="left"/>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8</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zh-CN" w:eastAsia="zh-CN" w:bidi="ar-SA"/>
        </w:rPr>
        <w:t>投标人应制订项目详细的实施方案，</w:t>
      </w:r>
      <w:r>
        <w:rPr>
          <w:rFonts w:hint="eastAsia" w:ascii="宋体" w:hAnsi="宋体" w:eastAsiaTheme="minorEastAsia" w:cstheme="minorBidi"/>
          <w:kern w:val="2"/>
          <w:sz w:val="24"/>
          <w:szCs w:val="24"/>
          <w:lang w:val="en-US" w:eastAsia="zh-CN" w:bidi="ar-SA"/>
        </w:rPr>
        <w:t>包括技术资料、进度计划等，</w:t>
      </w:r>
      <w:r>
        <w:rPr>
          <w:rFonts w:hint="eastAsia" w:ascii="宋体" w:hAnsi="宋体" w:eastAsiaTheme="minorEastAsia" w:cstheme="minorBidi"/>
          <w:kern w:val="2"/>
          <w:sz w:val="24"/>
          <w:szCs w:val="24"/>
          <w:lang w:val="zh-CN" w:eastAsia="zh-CN" w:bidi="ar-SA"/>
        </w:rPr>
        <w:t>确保项目按时完成。</w:t>
      </w:r>
    </w:p>
    <w:p>
      <w:pPr>
        <w:pStyle w:val="14"/>
        <w:ind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4、验收标准及质保要求</w:t>
      </w:r>
    </w:p>
    <w:p>
      <w:pPr>
        <w:pStyle w:val="14"/>
        <w:ind w:left="425"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1</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投标人应当具有良好的服务理念和完善的售后服务体系，能够按照投标技术方案提供系统集成技术支持服务。</w:t>
      </w:r>
    </w:p>
    <w:p>
      <w:pPr>
        <w:pStyle w:val="14"/>
        <w:ind w:left="425"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2</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在系统建设、使用、运维等过程中遇到问题时，都能够得到投标人相应的技术支持与帮助。</w:t>
      </w:r>
    </w:p>
    <w:p>
      <w:pPr>
        <w:pStyle w:val="14"/>
        <w:ind w:left="425"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3</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根据医院的业务特点和用户认知程度不同，提出系统而有效的培训方案。</w:t>
      </w:r>
      <w:bookmarkStart w:id="0" w:name="_Toc17342"/>
      <w:bookmarkStart w:id="1" w:name="_Toc514333569"/>
      <w:bookmarkStart w:id="2" w:name="_Toc14908813"/>
    </w:p>
    <w:p>
      <w:pPr>
        <w:pStyle w:val="14"/>
        <w:ind w:left="425"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4</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采购人依据采购文件、合同要求、设备性能等，参照设备采购清单，进行产品品牌、型号、数量到货初验（所有货物一次性到达安装现场），如在项目初验时或正式验收时发现产品达不到验收标准或合同规定的性能指标，供方必须立即调整或更换产品，并赔偿由此给用户造成的损失。</w:t>
      </w:r>
    </w:p>
    <w:p>
      <w:pPr>
        <w:pStyle w:val="14"/>
        <w:ind w:left="425" w:firstLine="0" w:firstLineChars="0"/>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中标人应在项目竣工后，按规定提交有关竣工资料。</w:t>
      </w:r>
      <w:bookmarkEnd w:id="0"/>
      <w:bookmarkEnd w:id="1"/>
      <w:bookmarkEnd w:id="2"/>
    </w:p>
    <w:p>
      <w:pPr>
        <w:pStyle w:val="14"/>
        <w:ind w:left="425" w:firstLine="0" w:firstLineChars="0"/>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6</w:t>
      </w:r>
      <w:r>
        <w:rPr>
          <w:rFonts w:hint="eastAsia" w:ascii="宋体" w:hAnsi="宋体" w:cstheme="minorBidi"/>
          <w:kern w:val="2"/>
          <w:sz w:val="24"/>
          <w:szCs w:val="24"/>
          <w:lang w:val="en-US" w:eastAsia="zh-CN" w:bidi="ar-SA"/>
        </w:rPr>
        <w:t>.</w:t>
      </w:r>
      <w:r>
        <w:rPr>
          <w:rFonts w:hint="eastAsia" w:ascii="宋体" w:hAnsi="宋体" w:eastAsiaTheme="minorEastAsia" w:cstheme="minorBidi"/>
          <w:kern w:val="2"/>
          <w:sz w:val="24"/>
          <w:szCs w:val="24"/>
          <w:lang w:val="en-US" w:eastAsia="zh-CN" w:bidi="ar-SA"/>
        </w:rPr>
        <w:t>本项目</w:t>
      </w:r>
      <w:r>
        <w:rPr>
          <w:rFonts w:hint="eastAsia" w:ascii="宋体" w:hAnsi="宋体" w:eastAsiaTheme="minorEastAsia" w:cstheme="minorBidi"/>
          <w:kern w:val="2"/>
          <w:sz w:val="24"/>
          <w:szCs w:val="24"/>
          <w:lang w:val="zh-CN" w:eastAsia="zh-CN" w:bidi="ar-SA"/>
        </w:rPr>
        <w:t>要求7×24小时现场服务响应，如突遇故障或系统性能下降，工作时间即时做出明确响应和安排，工作时间30分钟内、非工作时间60分钟内予以响应，2小时内做出初步故障诊断报告；现场工程师无法紧急处置的情况下，中标人应即时响应，指派支持开发技术工程师进行远程维护，不能远程维护解决的，在接到电话6小时内及时派技术人员前往现场处理故障问题，并无条件连续24小时不间断处理，紧急情况的判定无条件以采购人判定为准；无法明确故障原因的，须同其他硬件抢修人员一并组织抢修直至问题解决和明确故障原因；应配合做好硬件及网络设备更新、迁移、本地及异地备份容灾等工作。</w:t>
      </w:r>
    </w:p>
    <w:p>
      <w:pPr>
        <w:pStyle w:val="14"/>
        <w:spacing w:before="120" w:line="360" w:lineRule="auto"/>
        <w:ind w:firstLine="0" w:firstLineChars="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5、付款方式及要求</w:t>
      </w:r>
    </w:p>
    <w:p>
      <w:pPr>
        <w:spacing w:line="360" w:lineRule="auto"/>
        <w:ind w:firstLine="480" w:firstLineChars="200"/>
        <w:rPr>
          <w:rFonts w:hint="eastAsia" w:ascii="宋体" w:hAnsi="宋体" w:eastAsiaTheme="minorEastAsia" w:cstheme="minorBidi"/>
          <w:kern w:val="2"/>
          <w:sz w:val="24"/>
          <w:szCs w:val="24"/>
          <w:lang w:val="en-US" w:eastAsia="zh-CN" w:bidi="ar-SA"/>
        </w:rPr>
      </w:pPr>
      <w:bookmarkStart w:id="3" w:name="_Toc23777"/>
      <w:bookmarkStart w:id="4" w:name="_Toc2030"/>
      <w:r>
        <w:rPr>
          <w:rFonts w:hint="eastAsia" w:ascii="宋体" w:hAnsi="宋体" w:eastAsiaTheme="minorEastAsia" w:cstheme="minorBidi"/>
          <w:kern w:val="2"/>
          <w:sz w:val="24"/>
          <w:szCs w:val="24"/>
          <w:lang w:val="en-US" w:eastAsia="zh-CN" w:bidi="ar-SA"/>
        </w:rPr>
        <w:t>1．</w:t>
      </w:r>
      <w:r>
        <w:rPr>
          <w:rFonts w:hint="eastAsia" w:ascii="宋体" w:hAnsi="宋体" w:eastAsiaTheme="minorEastAsia" w:cstheme="minorBidi"/>
          <w:kern w:val="2"/>
          <w:sz w:val="24"/>
          <w:szCs w:val="24"/>
          <w:lang w:val="zh-CN" w:eastAsia="zh-CN" w:bidi="ar-SA"/>
        </w:rPr>
        <w:t>付款方式</w:t>
      </w:r>
    </w:p>
    <w:p>
      <w:pPr>
        <w:spacing w:line="360" w:lineRule="auto"/>
        <w:ind w:firstLine="480" w:firstLineChars="200"/>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zh-CN" w:eastAsia="zh-CN" w:bidi="ar-SA"/>
        </w:rPr>
        <w:t>签订合同后15个工作日内甲方向乙方支付合同总金额的</w:t>
      </w:r>
      <w:r>
        <w:rPr>
          <w:rFonts w:hint="eastAsia" w:ascii="宋体" w:hAnsi="宋体" w:cstheme="minorBidi"/>
          <w:kern w:val="2"/>
          <w:sz w:val="24"/>
          <w:szCs w:val="24"/>
          <w:lang w:val="en-US" w:eastAsia="zh-CN" w:bidi="ar-SA"/>
        </w:rPr>
        <w:t>4</w:t>
      </w:r>
      <w:r>
        <w:rPr>
          <w:rFonts w:hint="eastAsia" w:ascii="宋体" w:hAnsi="宋体" w:eastAsiaTheme="minorEastAsia" w:cstheme="minorBidi"/>
          <w:kern w:val="2"/>
          <w:sz w:val="24"/>
          <w:szCs w:val="24"/>
          <w:lang w:val="zh-CN" w:eastAsia="zh-CN" w:bidi="ar-SA"/>
        </w:rPr>
        <w:t>0%为预付款，且乙方须根据政策文件要求的时间节点内完成项目实施并正常上线。完成项目实施后运行3个月无异议，则可提请验收，验收合格后支付</w:t>
      </w:r>
      <w:r>
        <w:rPr>
          <w:rFonts w:hint="eastAsia" w:ascii="宋体" w:hAnsi="宋体" w:cstheme="minorBidi"/>
          <w:kern w:val="2"/>
          <w:sz w:val="24"/>
          <w:szCs w:val="24"/>
          <w:lang w:val="en-US" w:eastAsia="zh-CN" w:bidi="ar-SA"/>
        </w:rPr>
        <w:t>5</w:t>
      </w:r>
      <w:r>
        <w:rPr>
          <w:rFonts w:hint="eastAsia" w:ascii="宋体" w:hAnsi="宋体" w:eastAsiaTheme="minorEastAsia" w:cstheme="minorBidi"/>
          <w:kern w:val="2"/>
          <w:sz w:val="24"/>
          <w:szCs w:val="24"/>
          <w:lang w:val="zh-CN" w:eastAsia="zh-CN" w:bidi="ar-SA"/>
        </w:rPr>
        <w:t>0%合同项目款，验收合格满</w:t>
      </w:r>
      <w:r>
        <w:rPr>
          <w:rFonts w:hint="eastAsia" w:ascii="宋体" w:hAnsi="宋体" w:eastAsiaTheme="minorEastAsia" w:cstheme="minorBidi"/>
          <w:kern w:val="2"/>
          <w:sz w:val="24"/>
          <w:szCs w:val="24"/>
          <w:lang w:val="en-US" w:eastAsia="zh-CN" w:bidi="ar-SA"/>
        </w:rPr>
        <w:t>3</w:t>
      </w:r>
      <w:r>
        <w:rPr>
          <w:rFonts w:hint="eastAsia" w:ascii="宋体" w:hAnsi="宋体" w:eastAsiaTheme="minorEastAsia" w:cstheme="minorBidi"/>
          <w:kern w:val="2"/>
          <w:sz w:val="24"/>
          <w:szCs w:val="24"/>
          <w:lang w:val="zh-CN" w:eastAsia="zh-CN" w:bidi="ar-SA"/>
        </w:rPr>
        <w:t>年且无异议的付清余款（所有款项均不计息）。</w:t>
      </w:r>
    </w:p>
    <w:p>
      <w:pPr>
        <w:spacing w:line="360" w:lineRule="auto"/>
        <w:ind w:firstLine="480" w:firstLineChars="200"/>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2.</w:t>
      </w:r>
      <w:r>
        <w:rPr>
          <w:rFonts w:hint="eastAsia" w:ascii="宋体" w:hAnsi="宋体" w:eastAsiaTheme="minorEastAsia" w:cstheme="minorBidi"/>
          <w:kern w:val="2"/>
          <w:sz w:val="24"/>
          <w:szCs w:val="24"/>
          <w:lang w:val="zh-CN" w:eastAsia="zh-CN" w:bidi="ar-SA"/>
        </w:rPr>
        <w:t>付款要求</w:t>
      </w:r>
    </w:p>
    <w:p>
      <w:pPr>
        <w:autoSpaceDE w:val="0"/>
        <w:autoSpaceDN w:val="0"/>
        <w:adjustRightInd w:val="0"/>
        <w:spacing w:line="360" w:lineRule="auto"/>
        <w:ind w:firstLine="480" w:firstLineChars="200"/>
        <w:jc w:val="left"/>
        <w:rPr>
          <w:rFonts w:hint="eastAsia" w:ascii="宋体" w:hAnsi="宋体" w:eastAsiaTheme="minorEastAsia" w:cstheme="minorBidi"/>
          <w:kern w:val="2"/>
          <w:sz w:val="24"/>
          <w:szCs w:val="24"/>
          <w:lang w:val="zh-CN" w:eastAsia="zh-CN" w:bidi="ar-SA"/>
        </w:rPr>
      </w:pPr>
      <w:bookmarkStart w:id="5" w:name="_Toc14311"/>
      <w:bookmarkStart w:id="6" w:name="_Toc18189"/>
      <w:r>
        <w:rPr>
          <w:rFonts w:hint="eastAsia" w:ascii="宋体" w:hAnsi="宋体" w:eastAsiaTheme="minorEastAsia" w:cstheme="minorBidi"/>
          <w:kern w:val="2"/>
          <w:sz w:val="24"/>
          <w:szCs w:val="24"/>
          <w:lang w:val="zh-CN" w:eastAsia="zh-CN" w:bidi="ar-SA"/>
        </w:rPr>
        <w:t>乙方在收款之前，应向甲方提供发票，甲方凭发票付款。如乙方未按约定提供发票的，甲方有权拒绝付款，直至收到乙方提交的相应发票为止，在此情况下，甲方不承担逾期付款违约责任。</w:t>
      </w:r>
    </w:p>
    <w:bookmarkEnd w:id="3"/>
    <w:bookmarkEnd w:id="4"/>
    <w:bookmarkEnd w:id="5"/>
    <w:bookmarkEnd w:id="6"/>
    <w:p>
      <w:pPr>
        <w:autoSpaceDE w:val="0"/>
        <w:autoSpaceDN w:val="0"/>
        <w:adjustRightInd w:val="0"/>
        <w:spacing w:line="360" w:lineRule="auto"/>
        <w:jc w:val="left"/>
        <w:rPr>
          <w:rFonts w:hint="eastAsia" w:ascii="宋体" w:hAnsi="宋体" w:eastAsiaTheme="minorEastAsia" w:cstheme="minorBidi"/>
          <w:kern w:val="2"/>
          <w:sz w:val="24"/>
          <w:szCs w:val="24"/>
          <w:lang w:val="zh-CN" w:eastAsia="zh-CN" w:bidi="ar-SA"/>
        </w:rPr>
      </w:pPr>
      <w:r>
        <w:rPr>
          <w:rFonts w:hint="eastAsia" w:ascii="宋体" w:hAnsi="宋体" w:eastAsiaTheme="minorEastAsia" w:cstheme="minorBidi"/>
          <w:kern w:val="2"/>
          <w:sz w:val="24"/>
          <w:szCs w:val="24"/>
          <w:lang w:val="en-US" w:eastAsia="zh-CN" w:bidi="ar-SA"/>
        </w:rPr>
        <w:t>6、保密条款</w:t>
      </w:r>
      <w:r>
        <w:rPr>
          <w:rFonts w:hint="eastAsia" w:ascii="宋体" w:hAnsi="宋体" w:eastAsiaTheme="minorEastAsia" w:cstheme="minorBidi"/>
          <w:kern w:val="2"/>
          <w:sz w:val="24"/>
          <w:szCs w:val="24"/>
          <w:lang w:val="zh-CN" w:eastAsia="zh-CN" w:bidi="ar-SA"/>
        </w:rPr>
        <w:t xml:space="preserve">  </w:t>
      </w:r>
    </w:p>
    <w:p>
      <w:pPr>
        <w:autoSpaceDE w:val="0"/>
        <w:autoSpaceDN w:val="0"/>
        <w:adjustRightInd w:val="0"/>
        <w:spacing w:line="360" w:lineRule="auto"/>
        <w:ind w:firstLine="480" w:firstLineChars="20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采购人向中标人提供的，属于采购人所有或专有的，或采购人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网络信息等非公开的、保密的或专业的信息和数据。中标人对保密信息谨慎、妥善持有，并严格保密，没有采购人事先书面同意，不得向任何第三方披露，对外宣传。</w:t>
      </w:r>
    </w:p>
    <w:p>
      <w:pPr>
        <w:autoSpaceDE w:val="0"/>
        <w:autoSpaceDN w:val="0"/>
        <w:adjustRightInd w:val="0"/>
        <w:spacing w:line="360" w:lineRule="auto"/>
        <w:ind w:firstLine="480" w:firstLineChars="20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中标人仅可为双方合作之必需，将经采购人书面同意指定的保密信息披露给采购人指定的第三方公司，并且该公司应首先以书面形式承诺保守该保密信息。中标人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人披露保密信息，中标人将立即通知采购人此类要求。若中标人按上述要求必须提供保密信息，中标人将配合采购人采取合法及合理的措施，要求所提供的保密信息能得到保密的待遇。</w:t>
      </w:r>
    </w:p>
    <w:p>
      <w:pPr>
        <w:autoSpaceDE w:val="0"/>
        <w:autoSpaceDN w:val="0"/>
        <w:adjustRightInd w:val="0"/>
        <w:spacing w:line="360" w:lineRule="auto"/>
        <w:ind w:firstLine="480" w:firstLineChars="200"/>
        <w:jc w:val="lef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若中标人或有关人员违反保密义务，中标人须承担全部无限责任（包括法律责任），并赔偿采购人由此造成的全部损失。中标人没有得到采购人的书面同意，不得将其在本合同项下的保密权利和义务转让给第三方。</w:t>
      </w:r>
    </w:p>
    <w:p>
      <w:pPr>
        <w:autoSpaceDE w:val="0"/>
        <w:autoSpaceDN w:val="0"/>
        <w:adjustRightInd w:val="0"/>
        <w:spacing w:line="360" w:lineRule="auto"/>
        <w:ind w:firstLine="480" w:firstLineChars="200"/>
        <w:jc w:val="left"/>
        <w:rPr>
          <w:rFonts w:ascii="微软雅黑" w:hAnsi="微软雅黑" w:eastAsia="微软雅黑" w:cs="微软雅黑"/>
          <w:szCs w:val="21"/>
        </w:rPr>
      </w:pPr>
      <w:r>
        <w:rPr>
          <w:rFonts w:hint="eastAsia" w:ascii="宋体" w:hAnsi="宋体" w:eastAsiaTheme="minorEastAsia" w:cstheme="minorBidi"/>
          <w:kern w:val="2"/>
          <w:sz w:val="24"/>
          <w:szCs w:val="24"/>
          <w:lang w:val="en-US" w:eastAsia="zh-CN" w:bidi="ar-SA"/>
        </w:rPr>
        <w:t>除采购人以书面形式明确表达外，采购人向中标人披露保密信息并不构成采购人向中标人转让或授予中标人享有采购人对其专利、技术秘密或其他知识产权等秘密拥有的利益。保密要求不受项目合同时间限制，无论是否合同有效期内或有效期外，中标人都必须遵守采购人的保密要求。中标人相关人员须在入场实施或运维前与采购人签订《信息安全保密协议》，在实施及运维过程中，必须遵守医院相关信息安全管理制度，保证采购人数据与网络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40606"/>
    <w:multiLevelType w:val="multilevel"/>
    <w:tmpl w:val="78940606"/>
    <w:lvl w:ilvl="0" w:tentative="0">
      <w:start w:val="1"/>
      <w:numFmt w:val="chineseCountingThousand"/>
      <w:suff w:val="space"/>
      <w:lvlText w:val="第%1章"/>
      <w:lvlJc w:val="left"/>
      <w:pPr>
        <w:ind w:left="0" w:firstLine="0"/>
      </w:pPr>
      <w:rPr>
        <w:rFonts w:hint="eastAsia"/>
      </w:rPr>
    </w:lvl>
    <w:lvl w:ilvl="1" w:tentative="0">
      <w:start w:val="1"/>
      <w:numFmt w:val="decimal"/>
      <w:pStyle w:val="2"/>
      <w:isLgl/>
      <w:suff w:val="space"/>
      <w:lvlText w:val="%1.%2"/>
      <w:lvlJc w:val="left"/>
      <w:pPr>
        <w:ind w:left="0" w:firstLine="0"/>
      </w:pPr>
      <w:rPr>
        <w:rFonts w:hint="eastAsia" w:ascii="微软雅黑" w:hAnsi="微软雅黑" w:eastAsia="微软雅黑"/>
      </w:rPr>
    </w:lvl>
    <w:lvl w:ilvl="2" w:tentative="0">
      <w:start w:val="1"/>
      <w:numFmt w:val="decimal"/>
      <w:isLgl/>
      <w:suff w:val="space"/>
      <w:lvlText w:val="%1.%2.%3"/>
      <w:lvlJc w:val="left"/>
      <w:pPr>
        <w:ind w:left="0" w:firstLine="0"/>
      </w:pPr>
      <w:rPr>
        <w:rFonts w:hint="eastAsia" w:ascii="微软雅黑" w:hAnsi="微软雅黑" w:eastAsia="微软雅黑"/>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ascii="微软雅黑" w:hAnsi="微软雅黑" w:eastAsia="微软雅黑"/>
      </w:rPr>
    </w:lvl>
    <w:lvl w:ilvl="5" w:tentative="0">
      <w:start w:val="1"/>
      <w:numFmt w:val="decimal"/>
      <w:isLgl/>
      <w:suff w:val="space"/>
      <w:lvlText w:val="%1.%2.%3.%4.%5.%6"/>
      <w:lvlJc w:val="left"/>
      <w:pPr>
        <w:ind w:left="0" w:firstLine="0"/>
      </w:pPr>
      <w:rPr>
        <w:rFonts w:hint="eastAsia" w:ascii="微软雅黑" w:hAnsi="微软雅黑" w:eastAsia="微软雅黑"/>
      </w:rPr>
    </w:lvl>
    <w:lvl w:ilvl="6" w:tentative="0">
      <w:start w:val="1"/>
      <w:numFmt w:val="decimal"/>
      <w:isLgl/>
      <w:suff w:val="space"/>
      <w:lvlText w:val="%1.%2.%3.%4.%5.%6.%7"/>
      <w:lvlJc w:val="left"/>
      <w:pPr>
        <w:ind w:left="0" w:firstLine="0"/>
      </w:pPr>
      <w:rPr>
        <w:rFonts w:hint="eastAsia" w:ascii="微软雅黑" w:hAnsi="微软雅黑" w:eastAsia="微软雅黑"/>
      </w:rPr>
    </w:lvl>
    <w:lvl w:ilvl="7" w:tentative="0">
      <w:start w:val="1"/>
      <w:numFmt w:val="decimal"/>
      <w:isLgl/>
      <w:suff w:val="space"/>
      <w:lvlText w:val="%1.%2.%3.%4.%5.%6.%7.%8"/>
      <w:lvlJc w:val="left"/>
      <w:pPr>
        <w:ind w:left="0" w:firstLine="0"/>
      </w:pPr>
      <w:rPr>
        <w:rFonts w:hint="eastAsia" w:ascii="微软雅黑" w:hAnsi="微软雅黑" w:eastAsia="微软雅黑"/>
      </w:rPr>
    </w:lvl>
    <w:lvl w:ilvl="8" w:tentative="0">
      <w:start w:val="1"/>
      <w:numFmt w:val="decimal"/>
      <w:isLgl/>
      <w:suff w:val="space"/>
      <w:lvlText w:val="%1.%2.%3.%4.%5.%6.%7.%8.%9"/>
      <w:lvlJc w:val="left"/>
      <w:pPr>
        <w:ind w:left="0" w:firstLine="0"/>
      </w:pPr>
      <w:rPr>
        <w:rFonts w:hint="eastAsia" w:ascii="微软雅黑" w:hAnsi="微软雅黑" w:eastAsia="微软雅黑"/>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MmVjNWMwYTA3ODVhNTliZGU5YWQxMzA4MmVlOWIifQ=="/>
  </w:docVars>
  <w:rsids>
    <w:rsidRoot w:val="00782136"/>
    <w:rsid w:val="00015152"/>
    <w:rsid w:val="00040F06"/>
    <w:rsid w:val="000F4C23"/>
    <w:rsid w:val="001622B5"/>
    <w:rsid w:val="0016460F"/>
    <w:rsid w:val="0019241E"/>
    <w:rsid w:val="001B4D10"/>
    <w:rsid w:val="001B5828"/>
    <w:rsid w:val="001D66BE"/>
    <w:rsid w:val="002663F9"/>
    <w:rsid w:val="00305493"/>
    <w:rsid w:val="00341EFC"/>
    <w:rsid w:val="004C48B0"/>
    <w:rsid w:val="004D4607"/>
    <w:rsid w:val="005D0480"/>
    <w:rsid w:val="00697FE1"/>
    <w:rsid w:val="00736BAF"/>
    <w:rsid w:val="007820F4"/>
    <w:rsid w:val="00782136"/>
    <w:rsid w:val="008D1D77"/>
    <w:rsid w:val="00B87940"/>
    <w:rsid w:val="00C722DC"/>
    <w:rsid w:val="00C92D47"/>
    <w:rsid w:val="00CA7986"/>
    <w:rsid w:val="00DC7D50"/>
    <w:rsid w:val="00E33945"/>
    <w:rsid w:val="00F349B3"/>
    <w:rsid w:val="00FB08F0"/>
    <w:rsid w:val="0491603D"/>
    <w:rsid w:val="0E903DF5"/>
    <w:rsid w:val="13150B1C"/>
    <w:rsid w:val="15F61B15"/>
    <w:rsid w:val="16257B63"/>
    <w:rsid w:val="1A80358B"/>
    <w:rsid w:val="23671ADD"/>
    <w:rsid w:val="29D3129C"/>
    <w:rsid w:val="2CB466E5"/>
    <w:rsid w:val="2CCE619F"/>
    <w:rsid w:val="2D6E00E4"/>
    <w:rsid w:val="2FFD4D92"/>
    <w:rsid w:val="323D769A"/>
    <w:rsid w:val="37D956D5"/>
    <w:rsid w:val="3A0A01C8"/>
    <w:rsid w:val="41445DF1"/>
    <w:rsid w:val="41884BB6"/>
    <w:rsid w:val="46A00372"/>
    <w:rsid w:val="471843AC"/>
    <w:rsid w:val="48647F3F"/>
    <w:rsid w:val="4E734B78"/>
    <w:rsid w:val="54186A87"/>
    <w:rsid w:val="5D6C6FB6"/>
    <w:rsid w:val="654707E4"/>
    <w:rsid w:val="6E216E2F"/>
    <w:rsid w:val="6F7145E7"/>
    <w:rsid w:val="708D4638"/>
    <w:rsid w:val="7817080B"/>
    <w:rsid w:val="7A091FC6"/>
    <w:rsid w:val="7B984DAA"/>
    <w:rsid w:val="7CEA73B5"/>
    <w:rsid w:val="7D8E58B0"/>
    <w:rsid w:val="7E6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2">
    <w:name w:val="heading 2"/>
    <w:basedOn w:val="1"/>
    <w:next w:val="3"/>
    <w:unhideWhenUsed/>
    <w:qFormat/>
    <w:uiPriority w:val="0"/>
    <w:pPr>
      <w:keepNext/>
      <w:keepLines/>
      <w:numPr>
        <w:ilvl w:val="1"/>
        <w:numId w:val="1"/>
      </w:numPr>
      <w:spacing w:before="260" w:after="260" w:line="416" w:lineRule="auto"/>
      <w:outlineLvl w:val="1"/>
    </w:pPr>
    <w:rPr>
      <w:rFonts w:asciiTheme="majorHAnsi" w:hAnsiTheme="majorHAnsi"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Body Text Indent"/>
    <w:basedOn w:val="1"/>
    <w:next w:val="3"/>
    <w:qFormat/>
    <w:uiPriority w:val="99"/>
    <w:pPr>
      <w:adjustRightInd w:val="0"/>
      <w:spacing w:line="360" w:lineRule="auto"/>
      <w:ind w:firstLine="490"/>
    </w:pPr>
    <w:rPr>
      <w:rFonts w:ascii="宋体" w:hAnsi="宋体" w:cs="宋体"/>
      <w:sz w:val="24"/>
      <w:szCs w:val="24"/>
    </w:rPr>
  </w:style>
  <w:style w:type="paragraph" w:styleId="6">
    <w:name w:val="Body Text"/>
    <w:basedOn w:val="1"/>
    <w:next w:val="7"/>
    <w:qFormat/>
    <w:uiPriority w:val="99"/>
    <w:rPr>
      <w:rFonts w:ascii="Times New Roman" w:hAnsi="Times New Roman" w:eastAsia="宋体" w:cs="Times New Roman"/>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正文"/>
    <w:basedOn w:val="1"/>
    <w:qFormat/>
    <w:uiPriority w:val="0"/>
    <w:pPr>
      <w:spacing w:beforeLines="50" w:afterLines="50" w:line="360" w:lineRule="auto"/>
      <w:ind w:firstLine="480" w:firstLineChars="200"/>
    </w:pPr>
    <w:rPr>
      <w:rFonts w:ascii="Times New Roman" w:hAnsi="Times New Roman" w:eastAsia="宋体" w:cs="Times New Roman"/>
      <w:kern w:val="0"/>
      <w:sz w:val="24"/>
      <w:szCs w:val="20"/>
    </w:rPr>
  </w:style>
  <w:style w:type="character" w:customStyle="1" w:styleId="16">
    <w:name w:val="font21"/>
    <w:basedOn w:val="11"/>
    <w:qFormat/>
    <w:uiPriority w:val="0"/>
    <w:rPr>
      <w:rFonts w:hint="eastAsia" w:ascii="等线" w:hAnsi="等线" w:eastAsia="等线"/>
      <w:color w:val="000000"/>
      <w:sz w:val="20"/>
      <w:szCs w:val="20"/>
      <w:u w:val="none"/>
    </w:rPr>
  </w:style>
  <w:style w:type="character" w:customStyle="1" w:styleId="17">
    <w:name w:val="font31"/>
    <w:basedOn w:val="11"/>
    <w:qFormat/>
    <w:uiPriority w:val="0"/>
    <w:rPr>
      <w:rFonts w:hint="eastAsia" w:ascii="宋体" w:hAnsi="宋体" w:eastAsia="宋体"/>
      <w:color w:val="000000"/>
      <w:sz w:val="20"/>
      <w:szCs w:val="20"/>
      <w:u w:val="none"/>
    </w:rPr>
  </w:style>
  <w:style w:type="character" w:customStyle="1" w:styleId="18">
    <w:name w:val="font41"/>
    <w:basedOn w:val="11"/>
    <w:qFormat/>
    <w:uiPriority w:val="0"/>
    <w:rPr>
      <w:rFonts w:hint="default" w:ascii="Segoe UI" w:hAnsi="Segoe UI" w:cs="Segoe U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726</Words>
  <Characters>4139</Characters>
  <Lines>34</Lines>
  <Paragraphs>9</Paragraphs>
  <TotalTime>37</TotalTime>
  <ScaleCrop>false</ScaleCrop>
  <LinksUpToDate>false</LinksUpToDate>
  <CharactersWithSpaces>4856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2022-10-15T03:58:00Z</dcterms:created>
  <dc:creator>韩 晶晶</dc:creator>
  <cp:lastModifiedBy>chenchen</cp:lastModifiedBy>
  <cp:lastPrinted>2025-05-22T02:30:00Z</cp:lastPrinted>
  <dcterms:modified xsi:type="dcterms:W3CDTF">2025-05-30T02:18:32Z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C8F41CBD1A9B41E2ADE88AED7FF7AC60_12</vt:lpwstr>
  </property>
</Properties>
</file>